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val="0"/>
        <w:wordWrap w:val="0"/>
        <w:overflowPunct w:val="0"/>
        <w:topLinePunct w:val="0"/>
        <w:bidi w:val="0"/>
        <w:adjustRightInd/>
        <w:snapToGrid w:val="0"/>
        <w:ind w:firstLine="0" w:firstLineChars="0"/>
        <w:jc w:val="center"/>
        <w:textAlignment w:val="auto"/>
        <w:rPr>
          <w:rFonts w:eastAsia="黑体"/>
          <w:b/>
          <w:color w:val="auto"/>
          <w:sz w:val="52"/>
          <w:szCs w:val="52"/>
          <w:highlight w:val="none"/>
        </w:rPr>
      </w:pPr>
    </w:p>
    <w:p>
      <w:pPr>
        <w:keepNext w:val="0"/>
        <w:keepLines w:val="0"/>
        <w:pageBreakBefore w:val="0"/>
        <w:widowControl w:val="0"/>
        <w:kinsoku w:val="0"/>
        <w:wordWrap w:val="0"/>
        <w:overflowPunct w:val="0"/>
        <w:topLinePunct w:val="0"/>
        <w:autoSpaceDE/>
        <w:autoSpaceDN/>
        <w:bidi w:val="0"/>
        <w:adjustRightInd/>
        <w:snapToGrid w:val="0"/>
        <w:spacing w:line="360" w:lineRule="auto"/>
        <w:ind w:firstLine="0" w:firstLineChars="0"/>
        <w:jc w:val="center"/>
        <w:textAlignment w:val="auto"/>
        <w:rPr>
          <w:rFonts w:hint="eastAsia" w:eastAsia="黑体"/>
          <w:b/>
          <w:color w:val="auto"/>
          <w:sz w:val="46"/>
          <w:szCs w:val="46"/>
          <w:highlight w:val="none"/>
        </w:rPr>
      </w:pPr>
      <w:r>
        <w:rPr>
          <w:rFonts w:hint="eastAsia" w:eastAsia="黑体"/>
          <w:b/>
          <w:color w:val="auto"/>
          <w:sz w:val="46"/>
          <w:szCs w:val="46"/>
          <w:highlight w:val="none"/>
        </w:rPr>
        <w:t>元谋县姜驿中型灌区续建配套与</w:t>
      </w:r>
    </w:p>
    <w:p>
      <w:pPr>
        <w:keepNext w:val="0"/>
        <w:keepLines w:val="0"/>
        <w:pageBreakBefore w:val="0"/>
        <w:widowControl w:val="0"/>
        <w:kinsoku w:val="0"/>
        <w:wordWrap w:val="0"/>
        <w:overflowPunct w:val="0"/>
        <w:topLinePunct w:val="0"/>
        <w:autoSpaceDE/>
        <w:autoSpaceDN/>
        <w:bidi w:val="0"/>
        <w:adjustRightInd/>
        <w:snapToGrid w:val="0"/>
        <w:spacing w:line="360" w:lineRule="auto"/>
        <w:ind w:firstLine="0" w:firstLineChars="0"/>
        <w:jc w:val="center"/>
        <w:textAlignment w:val="auto"/>
        <w:rPr>
          <w:rFonts w:eastAsia="黑体"/>
          <w:b/>
          <w:color w:val="auto"/>
          <w:sz w:val="46"/>
          <w:szCs w:val="46"/>
          <w:highlight w:val="none"/>
        </w:rPr>
      </w:pPr>
      <w:r>
        <w:rPr>
          <w:rFonts w:hint="eastAsia" w:eastAsia="黑体"/>
          <w:b/>
          <w:color w:val="auto"/>
          <w:sz w:val="46"/>
          <w:szCs w:val="46"/>
          <w:highlight w:val="none"/>
        </w:rPr>
        <w:t>节水改造项目</w:t>
      </w:r>
    </w:p>
    <w:p>
      <w:pPr>
        <w:keepNext w:val="0"/>
        <w:keepLines w:val="0"/>
        <w:pageBreakBefore w:val="0"/>
        <w:widowControl w:val="0"/>
        <w:kinsoku w:val="0"/>
        <w:wordWrap w:val="0"/>
        <w:overflowPunct w:val="0"/>
        <w:topLinePunct w:val="0"/>
        <w:autoSpaceDE/>
        <w:autoSpaceDN/>
        <w:bidi w:val="0"/>
        <w:adjustRightInd/>
        <w:snapToGrid w:val="0"/>
        <w:spacing w:line="360" w:lineRule="auto"/>
        <w:ind w:firstLine="0" w:firstLineChars="0"/>
        <w:jc w:val="center"/>
        <w:textAlignment w:val="auto"/>
        <w:rPr>
          <w:rFonts w:hint="eastAsia" w:eastAsia="黑体"/>
          <w:b/>
          <w:color w:val="auto"/>
          <w:sz w:val="48"/>
          <w:szCs w:val="48"/>
          <w:highlight w:val="none"/>
        </w:rPr>
      </w:pPr>
      <w:r>
        <w:rPr>
          <w:rFonts w:eastAsia="黑体"/>
          <w:b/>
          <w:color w:val="auto"/>
          <w:sz w:val="84"/>
          <w:szCs w:val="84"/>
          <w:highlight w:val="none"/>
        </w:rPr>
        <w:t>环境影响报告书</w:t>
      </w:r>
    </w:p>
    <w:p>
      <w:pPr>
        <w:keepNext w:val="0"/>
        <w:keepLines w:val="0"/>
        <w:pageBreakBefore w:val="0"/>
        <w:widowControl w:val="0"/>
        <w:topLinePunct w:val="0"/>
        <w:autoSpaceDE/>
        <w:autoSpaceDN/>
        <w:bidi w:val="0"/>
        <w:adjustRightInd/>
        <w:snapToGrid w:val="0"/>
        <w:ind w:firstLine="0" w:firstLineChars="0"/>
        <w:jc w:val="center"/>
        <w:textAlignment w:val="auto"/>
        <w:rPr>
          <w:rFonts w:eastAsia="黑体"/>
          <w:b/>
          <w:color w:val="0000FF"/>
          <w:sz w:val="48"/>
          <w:szCs w:val="48"/>
          <w:highlight w:val="none"/>
        </w:rPr>
      </w:pPr>
      <w:r>
        <w:rPr>
          <w:rFonts w:hint="eastAsia" w:eastAsia="黑体"/>
          <w:b/>
          <w:color w:val="0000FF"/>
          <w:sz w:val="48"/>
          <w:szCs w:val="48"/>
          <w:highlight w:val="none"/>
        </w:rPr>
        <w:t>（</w:t>
      </w:r>
      <w:r>
        <w:rPr>
          <w:rFonts w:hint="eastAsia" w:eastAsia="黑体"/>
          <w:b/>
          <w:color w:val="0000FF"/>
          <w:sz w:val="48"/>
          <w:szCs w:val="48"/>
          <w:highlight w:val="none"/>
          <w:lang w:val="en-US" w:eastAsia="zh-CN"/>
        </w:rPr>
        <w:t>报批</w:t>
      </w:r>
      <w:r>
        <w:rPr>
          <w:rFonts w:eastAsia="黑体"/>
          <w:b/>
          <w:color w:val="0000FF"/>
          <w:sz w:val="48"/>
          <w:szCs w:val="48"/>
          <w:highlight w:val="none"/>
        </w:rPr>
        <w:t>稿）</w:t>
      </w:r>
    </w:p>
    <w:p>
      <w:pPr>
        <w:keepNext w:val="0"/>
        <w:keepLines w:val="0"/>
        <w:pageBreakBefore w:val="0"/>
        <w:widowControl w:val="0"/>
        <w:kinsoku w:val="0"/>
        <w:wordWrap w:val="0"/>
        <w:overflowPunct w:val="0"/>
        <w:topLinePunct w:val="0"/>
        <w:bidi w:val="0"/>
        <w:adjustRightInd/>
        <w:snapToGrid w:val="0"/>
        <w:ind w:firstLine="0" w:firstLineChars="0"/>
        <w:textAlignment w:val="auto"/>
        <w:rPr>
          <w:b/>
          <w:bCs/>
          <w:color w:val="auto"/>
          <w:sz w:val="72"/>
          <w:highlight w:val="none"/>
        </w:rPr>
      </w:pPr>
    </w:p>
    <w:p>
      <w:pPr>
        <w:keepNext w:val="0"/>
        <w:keepLines w:val="0"/>
        <w:pageBreakBefore w:val="0"/>
        <w:widowControl w:val="0"/>
        <w:kinsoku w:val="0"/>
        <w:wordWrap w:val="0"/>
        <w:overflowPunct w:val="0"/>
        <w:topLinePunct w:val="0"/>
        <w:bidi w:val="0"/>
        <w:adjustRightInd/>
        <w:snapToGrid w:val="0"/>
        <w:ind w:firstLine="0" w:firstLineChars="0"/>
        <w:textAlignment w:val="auto"/>
        <w:rPr>
          <w:b/>
          <w:bCs/>
          <w:color w:val="auto"/>
          <w:sz w:val="72"/>
          <w:highlight w:val="none"/>
        </w:rPr>
      </w:pPr>
    </w:p>
    <w:p>
      <w:pPr>
        <w:keepNext w:val="0"/>
        <w:keepLines w:val="0"/>
        <w:pageBreakBefore w:val="0"/>
        <w:widowControl w:val="0"/>
        <w:kinsoku w:val="0"/>
        <w:wordWrap w:val="0"/>
        <w:overflowPunct w:val="0"/>
        <w:topLinePunct w:val="0"/>
        <w:bidi w:val="0"/>
        <w:adjustRightInd/>
        <w:snapToGrid w:val="0"/>
        <w:ind w:firstLine="0" w:firstLineChars="0"/>
        <w:jc w:val="both"/>
        <w:textAlignment w:val="auto"/>
        <w:rPr>
          <w:rFonts w:eastAsia="黑体"/>
          <w:b/>
          <w:color w:val="auto"/>
          <w:sz w:val="32"/>
          <w:szCs w:val="32"/>
          <w:highlight w:val="none"/>
        </w:rPr>
      </w:pPr>
    </w:p>
    <w:p>
      <w:pPr>
        <w:pStyle w:val="21"/>
        <w:keepNext w:val="0"/>
        <w:keepLines w:val="0"/>
        <w:pageBreakBefore w:val="0"/>
        <w:widowControl w:val="0"/>
        <w:topLinePunct w:val="0"/>
        <w:bidi w:val="0"/>
        <w:adjustRightInd/>
        <w:snapToGrid w:val="0"/>
        <w:ind w:firstLine="0" w:firstLineChars="0"/>
        <w:textAlignment w:val="auto"/>
        <w:rPr>
          <w:rFonts w:eastAsia="黑体"/>
          <w:b/>
          <w:color w:val="auto"/>
          <w:sz w:val="32"/>
          <w:szCs w:val="32"/>
          <w:highlight w:val="none"/>
        </w:rPr>
      </w:pPr>
    </w:p>
    <w:p>
      <w:pPr>
        <w:keepNext w:val="0"/>
        <w:keepLines w:val="0"/>
        <w:pageBreakBefore w:val="0"/>
        <w:widowControl w:val="0"/>
        <w:topLinePunct w:val="0"/>
        <w:bidi w:val="0"/>
        <w:adjustRightInd/>
        <w:snapToGrid w:val="0"/>
        <w:ind w:firstLine="0" w:firstLineChars="0"/>
        <w:textAlignment w:val="auto"/>
        <w:rPr>
          <w:rFonts w:eastAsia="黑体"/>
          <w:b/>
          <w:color w:val="auto"/>
          <w:sz w:val="32"/>
          <w:szCs w:val="32"/>
          <w:highlight w:val="none"/>
        </w:rPr>
      </w:pPr>
    </w:p>
    <w:p>
      <w:pPr>
        <w:pStyle w:val="21"/>
        <w:keepNext w:val="0"/>
        <w:keepLines w:val="0"/>
        <w:pageBreakBefore w:val="0"/>
        <w:widowControl w:val="0"/>
        <w:topLinePunct w:val="0"/>
        <w:bidi w:val="0"/>
        <w:adjustRightInd/>
        <w:snapToGrid w:val="0"/>
        <w:ind w:firstLine="0" w:firstLineChars="0"/>
        <w:textAlignment w:val="auto"/>
        <w:rPr>
          <w:rFonts w:eastAsia="黑体"/>
          <w:b/>
          <w:color w:val="auto"/>
          <w:sz w:val="32"/>
          <w:szCs w:val="32"/>
          <w:highlight w:val="none"/>
        </w:rPr>
      </w:pPr>
    </w:p>
    <w:p>
      <w:pPr>
        <w:keepNext w:val="0"/>
        <w:keepLines w:val="0"/>
        <w:pageBreakBefore w:val="0"/>
        <w:widowControl w:val="0"/>
        <w:topLinePunct w:val="0"/>
        <w:bidi w:val="0"/>
        <w:adjustRightInd/>
        <w:snapToGrid w:val="0"/>
        <w:ind w:firstLine="0" w:firstLineChars="0"/>
        <w:textAlignment w:val="auto"/>
        <w:rPr>
          <w:color w:val="auto"/>
          <w:highlight w:val="none"/>
        </w:rPr>
      </w:pPr>
    </w:p>
    <w:p>
      <w:pPr>
        <w:keepNext w:val="0"/>
        <w:keepLines w:val="0"/>
        <w:pageBreakBefore w:val="0"/>
        <w:widowControl w:val="0"/>
        <w:kinsoku w:val="0"/>
        <w:wordWrap w:val="0"/>
        <w:overflowPunct w:val="0"/>
        <w:topLinePunct w:val="0"/>
        <w:bidi w:val="0"/>
        <w:adjustRightInd/>
        <w:snapToGrid w:val="0"/>
        <w:ind w:firstLine="0" w:firstLineChars="0"/>
        <w:jc w:val="center"/>
        <w:textAlignment w:val="auto"/>
        <w:rPr>
          <w:rFonts w:eastAsia="黑体"/>
          <w:b/>
          <w:color w:val="auto"/>
          <w:sz w:val="32"/>
          <w:szCs w:val="32"/>
          <w:highlight w:val="none"/>
        </w:rPr>
      </w:pPr>
      <w:r>
        <w:rPr>
          <w:rFonts w:eastAsia="黑体"/>
          <w:b/>
          <w:color w:val="auto"/>
          <w:sz w:val="32"/>
          <w:szCs w:val="32"/>
          <w:highlight w:val="none"/>
        </w:rPr>
        <w:t>建设单位：</w:t>
      </w:r>
      <w:r>
        <w:rPr>
          <w:rFonts w:hint="eastAsia" w:eastAsia="黑体"/>
          <w:b/>
          <w:color w:val="auto"/>
          <w:sz w:val="32"/>
          <w:szCs w:val="32"/>
          <w:highlight w:val="none"/>
          <w:lang w:eastAsia="zh-CN"/>
        </w:rPr>
        <w:t>元谋县灌区</w:t>
      </w:r>
      <w:r>
        <w:rPr>
          <w:rFonts w:eastAsia="黑体"/>
          <w:b/>
          <w:color w:val="auto"/>
          <w:sz w:val="32"/>
          <w:szCs w:val="32"/>
          <w:highlight w:val="none"/>
        </w:rPr>
        <w:t>管理局</w:t>
      </w:r>
    </w:p>
    <w:p>
      <w:pPr>
        <w:keepNext w:val="0"/>
        <w:keepLines w:val="0"/>
        <w:pageBreakBefore w:val="0"/>
        <w:widowControl w:val="0"/>
        <w:kinsoku w:val="0"/>
        <w:wordWrap w:val="0"/>
        <w:overflowPunct w:val="0"/>
        <w:topLinePunct w:val="0"/>
        <w:bidi w:val="0"/>
        <w:adjustRightInd/>
        <w:snapToGrid w:val="0"/>
        <w:ind w:firstLine="0" w:firstLineChars="0"/>
        <w:jc w:val="center"/>
        <w:textAlignment w:val="auto"/>
        <w:rPr>
          <w:rFonts w:hint="eastAsia" w:eastAsia="黑体"/>
          <w:b/>
          <w:color w:val="auto"/>
          <w:sz w:val="32"/>
          <w:szCs w:val="32"/>
          <w:highlight w:val="none"/>
          <w:lang w:eastAsia="zh-CN"/>
        </w:rPr>
      </w:pPr>
      <w:r>
        <w:rPr>
          <w:rFonts w:eastAsia="黑体"/>
          <w:b/>
          <w:color w:val="auto"/>
          <w:sz w:val="32"/>
          <w:szCs w:val="32"/>
          <w:highlight w:val="none"/>
        </w:rPr>
        <w:t>评价单位：</w:t>
      </w:r>
      <w:r>
        <w:rPr>
          <w:rFonts w:hint="eastAsia" w:eastAsia="黑体"/>
          <w:b/>
          <w:color w:val="auto"/>
          <w:sz w:val="32"/>
          <w:szCs w:val="32"/>
          <w:highlight w:val="none"/>
          <w:lang w:val="en-US" w:eastAsia="zh-CN"/>
        </w:rPr>
        <w:t>云南水工源工程设计有限公司</w:t>
      </w:r>
    </w:p>
    <w:p>
      <w:pPr>
        <w:keepNext w:val="0"/>
        <w:keepLines w:val="0"/>
        <w:pageBreakBefore w:val="0"/>
        <w:widowControl w:val="0"/>
        <w:kinsoku w:val="0"/>
        <w:wordWrap w:val="0"/>
        <w:overflowPunct w:val="0"/>
        <w:topLinePunct w:val="0"/>
        <w:autoSpaceDE w:val="0"/>
        <w:autoSpaceDN w:val="0"/>
        <w:bidi w:val="0"/>
        <w:adjustRightInd/>
        <w:snapToGrid w:val="0"/>
        <w:ind w:firstLine="0" w:firstLineChars="0"/>
        <w:jc w:val="center"/>
        <w:textAlignment w:val="auto"/>
        <w:rPr>
          <w:rFonts w:eastAsia="黑体"/>
          <w:b/>
          <w:color w:val="auto"/>
          <w:sz w:val="32"/>
          <w:szCs w:val="32"/>
          <w:highlight w:val="none"/>
        </w:rPr>
      </w:pPr>
      <w:r>
        <w:rPr>
          <w:rFonts w:eastAsia="黑体"/>
          <w:b/>
          <w:color w:val="auto"/>
          <w:sz w:val="32"/>
          <w:szCs w:val="32"/>
          <w:highlight w:val="none"/>
        </w:rPr>
        <w:t>编制日期：二零二</w:t>
      </w:r>
      <w:r>
        <w:rPr>
          <w:rFonts w:hint="eastAsia" w:eastAsia="黑体"/>
          <w:b/>
          <w:color w:val="auto"/>
          <w:sz w:val="32"/>
          <w:szCs w:val="32"/>
          <w:highlight w:val="none"/>
          <w:lang w:val="en-US" w:eastAsia="zh-CN"/>
        </w:rPr>
        <w:t>四</w:t>
      </w:r>
      <w:r>
        <w:rPr>
          <w:rFonts w:eastAsia="黑体"/>
          <w:b/>
          <w:color w:val="auto"/>
          <w:sz w:val="32"/>
          <w:szCs w:val="32"/>
          <w:highlight w:val="none"/>
        </w:rPr>
        <w:t>年</w:t>
      </w:r>
      <w:r>
        <w:rPr>
          <w:rFonts w:hint="eastAsia" w:eastAsia="黑体"/>
          <w:b/>
          <w:color w:val="auto"/>
          <w:sz w:val="32"/>
          <w:szCs w:val="32"/>
          <w:highlight w:val="none"/>
          <w:lang w:val="en-US" w:eastAsia="zh-CN"/>
        </w:rPr>
        <w:t>五</w:t>
      </w:r>
      <w:r>
        <w:rPr>
          <w:rFonts w:eastAsia="黑体"/>
          <w:b/>
          <w:color w:val="auto"/>
          <w:sz w:val="32"/>
          <w:szCs w:val="32"/>
          <w:highlight w:val="none"/>
        </w:rPr>
        <w:t>月</w:t>
      </w:r>
    </w:p>
    <w:p>
      <w:pPr>
        <w:spacing w:line="240" w:lineRule="auto"/>
        <w:jc w:val="center"/>
        <w:rPr>
          <w:b/>
          <w:bCs/>
          <w:color w:val="auto"/>
          <w:sz w:val="28"/>
          <w:szCs w:val="32"/>
          <w:highlight w:val="none"/>
        </w:rPr>
      </w:pPr>
    </w:p>
    <w:p>
      <w:pPr>
        <w:spacing w:line="240" w:lineRule="auto"/>
        <w:jc w:val="center"/>
        <w:rPr>
          <w:b/>
          <w:bCs/>
          <w:color w:val="auto"/>
          <w:sz w:val="28"/>
          <w:szCs w:val="32"/>
          <w:highlight w:val="none"/>
        </w:rPr>
      </w:pPr>
    </w:p>
    <w:p>
      <w:pPr>
        <w:spacing w:line="240" w:lineRule="auto"/>
        <w:jc w:val="center"/>
        <w:rPr>
          <w:b/>
          <w:bCs/>
          <w:color w:val="auto"/>
          <w:sz w:val="28"/>
          <w:szCs w:val="32"/>
          <w:highlight w:val="none"/>
        </w:rPr>
      </w:pPr>
    </w:p>
    <w:p>
      <w:pPr>
        <w:spacing w:line="240" w:lineRule="auto"/>
        <w:jc w:val="center"/>
        <w:rPr>
          <w:b/>
          <w:bCs/>
          <w:color w:val="auto"/>
          <w:sz w:val="28"/>
          <w:szCs w:val="32"/>
          <w:highlight w:val="none"/>
        </w:rPr>
      </w:pPr>
    </w:p>
    <w:p>
      <w:pPr>
        <w:spacing w:line="240" w:lineRule="auto"/>
        <w:jc w:val="center"/>
        <w:rPr>
          <w:b/>
          <w:bCs/>
          <w:color w:val="auto"/>
          <w:sz w:val="28"/>
          <w:szCs w:val="32"/>
          <w:highlight w:val="none"/>
        </w:rPr>
      </w:pPr>
    </w:p>
    <w:p>
      <w:pPr>
        <w:spacing w:line="240" w:lineRule="auto"/>
        <w:jc w:val="center"/>
        <w:rPr>
          <w:b/>
          <w:bCs/>
          <w:color w:val="auto"/>
          <w:sz w:val="28"/>
          <w:szCs w:val="32"/>
          <w:highlight w:val="none"/>
        </w:rPr>
      </w:pPr>
      <w:r>
        <w:rPr>
          <w:b/>
          <w:bCs/>
          <w:color w:val="auto"/>
          <w:sz w:val="28"/>
          <w:szCs w:val="32"/>
          <w:highlight w:val="none"/>
        </w:rPr>
        <w:t>现场照片</w:t>
      </w:r>
    </w:p>
    <w:tbl>
      <w:tblPr>
        <w:tblStyle w:val="29"/>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4386"/>
        <w:gridCol w:w="4389"/>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970"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s="Times New Roman"/>
                <w:color w:val="auto"/>
                <w:kern w:val="0"/>
                <w:szCs w:val="21"/>
                <w:highlight w:val="none"/>
              </w:rPr>
            </w:pPr>
            <w:r>
              <w:rPr>
                <w:rFonts w:ascii="Times New Roman" w:hAnsi="Times New Roman" w:cs="Times New Roman"/>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1385570</wp:posOffset>
                      </wp:positionH>
                      <wp:positionV relativeFrom="paragraph">
                        <wp:posOffset>1638935</wp:posOffset>
                      </wp:positionV>
                      <wp:extent cx="1249045" cy="302895"/>
                      <wp:effectExtent l="0" t="0" r="0" b="0"/>
                      <wp:wrapNone/>
                      <wp:docPr id="1"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9.1pt;margin-top:129.05pt;height:23.85pt;width:98.35pt;z-index:251660288;mso-width-relative:page;mso-height-relative:page;" filled="f" stroked="f" coordsize="21600,21600" o:gfxdata="UEsDBAoAAAAAAIdO4kAAAAAAAAAAAAAAAAAEAAAAZHJzL1BLAwQUAAAACACHTuJA+bMDl9gAAAAL&#10;AQAADwAAAGRycy9kb3ducmV2LnhtbE2PwU7DMAyG70i8Q2QkbixpaVHXNd0BxBXEBki7ZY3XVjRO&#10;1WRreXvMCW62/On391fbxQ3iglPoPWlIVgoEUuNtT62G9/3zXQEiREPWDJ5QwzcG2NbXV5UprZ/p&#10;DS+72AoOoVAaDV2MYyllaDp0Jqz8iMS3k5+cibxOrbSTmTncDTJV6kE60xN/6MyIjx02X7uz0/Dx&#10;cjp8Zuq1fXL5OPtFSXJrqfXtTaI2ICIu8Q+GX31Wh5qdjv5MNohBQ5oUKaM85EUCgoksydYgjhru&#10;VV6ArCv5v0P9A1BLAwQUAAAACACHTuJAg7eVHrgBAABfAwAADgAAAGRycy9lMm9Eb2MueG1srVNL&#10;btswEN0XyB0I7mPKalokguUAhZFsgrZAmgPQFGkR4K8c2pIv0N6gq26677l8jg5p1WmSTRbdUOTM&#10;8L15b6jF9WgN2ckI2ruWzmcVJdIJ32m3aenDl5vzS0ogcddx451s6V4CvV6evVkMoZG1773pZCQI&#10;4qAZQkv7lELDGIheWg4zH6TDpPLR8oTHuGFd5AOiW8PqqnrPBh+7EL2QABhdHZN0QoyvAfRKaSFX&#10;XmytdOmIGqXhCSVBrwPQZelWKSnSJ6VAJmJaikpTWZEE9+u8suWCN5vIQ6/F1AJ/TQvPNFmuHZKe&#10;oFY8cbKN+gWU1SJ68CrNhLfsKKQ4girm1TNv7nseZNGCVkM4mQ7/D1Z83H2ORHf4Eihx3OLADz++&#10;H37+Pvz6Rur5xbvs0BCgwcL7gKVp/ODHXD3FAYNZ+KiizV+URDCP/u5P/soxEZEv1RdXFUISgbm3&#10;VX15VeDZ4+0QId1Kb0netDTi/IqtfHcHCRmx9G9JJnP+RhtTZmjckwAW5gjLrR9bzLs0rsep77Xv&#10;9ihnwNG3FL5ueZSUbEPUmx6Ji7xyGX0vtNMbyYP991woHv+L5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5swOX2AAAAAsBAAAPAAAAAAAAAAEAIAAAACIAAABkcnMvZG93bnJldi54bWxQSwECFAAU&#10;AAAACACHTuJAg7eVHrgBAABfAwAADgAAAAAAAAABACAAAAAnAQAAZHJzL2Uyb0RvYy54bWxQSwUG&#10;AAAAAAYABgBZAQAAUQU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ascii="Times New Roman" w:hAnsi="Times New Roman" w:cs="Times New Roman"/>
                <w:color w:val="auto"/>
                <w:highlight w:val="none"/>
              </w:rPr>
              <w:drawing>
                <wp:inline distT="0" distB="0" distL="114300" distR="114300">
                  <wp:extent cx="2594610" cy="1945640"/>
                  <wp:effectExtent l="0" t="0" r="15240" b="16510"/>
                  <wp:docPr id="22" name="图片 2" descr="DJI_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DJI_0095"/>
                          <pic:cNvPicPr>
                            <a:picLocks noChangeAspect="1"/>
                          </pic:cNvPicPr>
                        </pic:nvPicPr>
                        <pic:blipFill>
                          <a:blip r:embed="rId14"/>
                          <a:stretch>
                            <a:fillRect/>
                          </a:stretch>
                        </pic:blipFill>
                        <pic:spPr>
                          <a:xfrm>
                            <a:off x="0" y="0"/>
                            <a:ext cx="2594610" cy="1945640"/>
                          </a:xfrm>
                          <a:prstGeom prst="rect">
                            <a:avLst/>
                          </a:prstGeom>
                          <a:noFill/>
                          <a:ln>
                            <a:noFill/>
                          </a:ln>
                        </pic:spPr>
                      </pic:pic>
                    </a:graphicData>
                  </a:graphic>
                </wp:inline>
              </w:drawing>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s="Times New Roman"/>
                <w:color w:val="auto"/>
                <w:kern w:val="0"/>
                <w:szCs w:val="21"/>
                <w:highlight w:val="none"/>
              </w:rPr>
            </w:pPr>
            <w:r>
              <w:rPr>
                <w:rFonts w:ascii="Times New Roman" w:hAnsi="Times New Roman" w:cs="Times New Roman"/>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1340485</wp:posOffset>
                      </wp:positionH>
                      <wp:positionV relativeFrom="paragraph">
                        <wp:posOffset>1648460</wp:posOffset>
                      </wp:positionV>
                      <wp:extent cx="1249045" cy="302895"/>
                      <wp:effectExtent l="0" t="0" r="0" b="0"/>
                      <wp:wrapNone/>
                      <wp:docPr id="63"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5.55pt;margin-top:129.8pt;height:23.85pt;width:98.35pt;z-index:251663360;mso-width-relative:page;mso-height-relative:page;" filled="f" stroked="f" coordsize="21600,21600" o:gfxdata="UEsDBAoAAAAAAIdO4kAAAAAAAAAAAAAAAAAEAAAAZHJzL1BLAwQUAAAACACHTuJAZ09UwtgAAAAL&#10;AQAADwAAAGRycy9kb3ducmV2LnhtbE2PTU/DMAyG70j7D5GRuLEk+2Sl6Q5DXEGMDYlb1nhtReNU&#10;TbaWf485wc2WH71+3nw7+lZcsY9NIAN6qkAglcE1VBk4vD/fP4CIyZKzbSA08I0RtsXkJreZCwO9&#10;4XWfKsEhFDNroE6py6SMZY3exmnokPh2Dr23ide+kq63A4f7Vs6UWklvG+IPte1wV2P5tb94A8eX&#10;8+fHQr1WT37ZDWFUkvxGGnN3q9UjiIRj+oPhV5/VoWCnU7iQi6I1MNNaM8rDcrMCwcRCrbnMycBc&#10;recgi1z+71D8AFBLAwQUAAAACACHTuJAAwbJ87oBAABgAwAADgAAAGRycy9lMm9Eb2MueG1srVPN&#10;bhMxEL4j8Q6W72Q321K1q2wqoahcECAVHsDxjrOW/IfHyW5eAN6AExfuPFeeg7GTplAuPXDxjufn&#10;m/m+8S5uJ2vYDiJq7zo+n9WcgZO+127T8c+f7l5dc4ZJuF4Y76Dje0B+u3z5YjGGFho/eNNDZATi&#10;sB1Dx4eUQltVKAewAmc+gKOg8tGKRNe4qfooRkK3pmrq+qoafexD9BIQybs6BvkJMT4H0CulJay8&#10;3Fpw6YgawYhElHDQAfmyTKsUyPRBKYTETMeJaSonNSF7nc9quRDtJoowaHkaQTxnhCecrNCOmp6h&#10;ViIJto36HyirZfToVZpJb6sjkaIIsZjXT7S5H0SAwoWkxnAWHf8frHy/+xiZ7jt+dcGZE5Y2fvj+&#10;7fDj1+HnV9bML19nicaALWXeB8pN0xs/0cN58CM5M/NJRZu/xIlRnATenwWGKTGZi5rLm5ogmaTY&#10;Rd1c3xT46rE6RExvwVuWjY5HWmDRVezeYaJJKPUhJTdz/k4bU5Zo3F8OSsyeKo9+HDFbaVpPJz5r&#10;3++Jzki77zh+2YoInG1D1JuBGhd6pZiEL21PjyRv9s97afH4Y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GdPVMLYAAAACwEAAA8AAAAAAAAAAQAgAAAAIgAAAGRycy9kb3ducmV2LnhtbFBLAQIU&#10;ABQAAAAIAIdO4kADBsnzugEAAGADAAAOAAAAAAAAAAEAIAAAACcBAABkcnMvZTJvRG9jLnhtbFBL&#10;BQYAAAAABgAGAFkBAABTBQ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ascii="Times New Roman" w:hAnsi="Times New Roman" w:cs="Times New Roman"/>
                <w:color w:val="auto"/>
                <w:highlight w:val="none"/>
              </w:rPr>
              <w:drawing>
                <wp:inline distT="0" distB="0" distL="114300" distR="114300">
                  <wp:extent cx="2594610" cy="1945640"/>
                  <wp:effectExtent l="0" t="0" r="15240" b="16510"/>
                  <wp:docPr id="23" name="图片 3" descr="DJI_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descr="DJI_0093"/>
                          <pic:cNvPicPr>
                            <a:picLocks noChangeAspect="1"/>
                          </pic:cNvPicPr>
                        </pic:nvPicPr>
                        <pic:blipFill>
                          <a:blip r:embed="rId15"/>
                          <a:stretch>
                            <a:fillRect/>
                          </a:stretch>
                        </pic:blipFill>
                        <pic:spPr>
                          <a:xfrm>
                            <a:off x="0" y="0"/>
                            <a:ext cx="2594610" cy="1945640"/>
                          </a:xfrm>
                          <a:prstGeom prst="rect">
                            <a:avLst/>
                          </a:prstGeom>
                          <a:noFill/>
                          <a:ln>
                            <a:noFill/>
                          </a:ln>
                        </pic:spPr>
                      </pic:pic>
                    </a:graphicData>
                  </a:graphic>
                </wp:inline>
              </w:drawing>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auto"/>
                <w:kern w:val="0"/>
                <w:szCs w:val="21"/>
                <w:highlight w:val="none"/>
                <w:lang w:eastAsia="zh-CN"/>
              </w:rPr>
            </w:pPr>
            <w:r>
              <w:rPr>
                <w:rFonts w:hint="eastAsia" w:ascii="Times New Roman" w:hAnsi="Times New Roman" w:cs="Times New Roman"/>
                <w:color w:val="auto"/>
                <w:kern w:val="0"/>
                <w:szCs w:val="21"/>
                <w:highlight w:val="none"/>
                <w:lang w:eastAsia="zh-CN"/>
              </w:rPr>
              <w:t>管首高位水池</w:t>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auto"/>
                <w:kern w:val="0"/>
                <w:szCs w:val="21"/>
                <w:highlight w:val="none"/>
                <w:lang w:eastAsia="zh-CN"/>
              </w:rPr>
            </w:pPr>
            <w:r>
              <w:rPr>
                <w:rFonts w:hint="eastAsia" w:cs="Times New Roman"/>
                <w:color w:val="auto"/>
                <w:kern w:val="0"/>
                <w:szCs w:val="21"/>
                <w:highlight w:val="none"/>
                <w:lang w:eastAsia="zh-CN"/>
              </w:rPr>
              <w:t>华峰</w:t>
            </w:r>
            <w:r>
              <w:rPr>
                <w:rFonts w:hint="eastAsia" w:ascii="Times New Roman" w:hAnsi="Times New Roman" w:cs="Times New Roman"/>
                <w:color w:val="auto"/>
                <w:kern w:val="0"/>
                <w:szCs w:val="21"/>
                <w:highlight w:val="none"/>
                <w:lang w:eastAsia="zh-CN"/>
              </w:rPr>
              <w:t>村</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15"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s="Times New Roman"/>
                <w:color w:val="auto"/>
                <w:kern w:val="0"/>
                <w:szCs w:val="21"/>
                <w:highlight w:val="none"/>
              </w:rPr>
            </w:pPr>
            <w:r>
              <w:rPr>
                <w:rFonts w:ascii="Times New Roman" w:hAnsi="Times New Roman" w:cs="Times New Roman"/>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1371600</wp:posOffset>
                      </wp:positionH>
                      <wp:positionV relativeFrom="paragraph">
                        <wp:posOffset>1484630</wp:posOffset>
                      </wp:positionV>
                      <wp:extent cx="1249045" cy="302895"/>
                      <wp:effectExtent l="0" t="0" r="0" b="0"/>
                      <wp:wrapNone/>
                      <wp:docPr id="64"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8pt;margin-top:116.9pt;height:23.85pt;width:98.35pt;z-index:251664384;mso-width-relative:page;mso-height-relative:page;" filled="f" stroked="f" coordsize="21600,21600" o:gfxdata="UEsDBAoAAAAAAIdO4kAAAAAAAAAAAAAAAAAEAAAAZHJzL1BLAwQUAAAACACHTuJAorErMdgAAAAL&#10;AQAADwAAAGRycy9kb3ducmV2LnhtbE2PzU7DMBCE70i8g7VI3Kjt9IcS4vQA4gqiQKXe3HibRMTr&#10;KHab8PYsJ3rb3RnNflNsJt+JMw6xDWRAzxQIpCq4lmoDnx8vd2sQMVlytguEBn4wwqa8vips7sJI&#10;73jeplpwCMXcGmhS6nMpY9Wgt3EWeiTWjmHwNvE61NINduRw38lMqZX0tiX+0Ngenxqsvrcnb+Dr&#10;9bjfLdRb/eyX/RgmJck/SGNub7R6BJFwSv9m+MNndCiZ6RBO5KLoDGR6xV0SD/M5d2DHQmf3IA58&#10;WeslyLKQlx3KX1BLAwQUAAAACACHTuJAvToZ/7kBAABgAwAADgAAAGRycy9lMm9Eb2MueG1srVNL&#10;btswEN0XyB0I7mvKqhskguUAhZFsirZAmgPQFGkR4K8c2pIv0N6gq26677l8jg5px/ltssiGGs7n&#10;zbw31PxqtIZsZQTtXUunk4oS6YTvtFu39O779fsLSiBx13HjnWzpTgK9Wpy9mw+hkbXvvelkJAji&#10;oBlCS/uUQsMYiF5aDhMfpMOg8tHyhNe4Zl3kA6Jbw+qqOmeDj12IXkgA9C4PQXpEjK8B9EppIZde&#10;bKx06YAapeEJKUGvA9BFmVYpKdJXpUAmYlqKTFM5sQnaq3yyxZw368hDr8VxBP6aEZ5xslw7bHqC&#10;WvLEySbqF1BWi+jBqzQR3rIDkaIIsphWz7S57XmQhQtKDeEkOrwdrPiy/RaJ7lp6PqPEcYsb3//+&#10;tf/zb//3J6mns49ZoiFAg5m3AXPT+MmP+HDu/YDOzHxU0eYvciIYR4F3J4HlmIjIRfXsskJIIjD2&#10;oaovLgs8e6gOEdKN9JZko6URF1h05dvPkHASTL1Pyc2cv9bGlCUa98SBidnD8uiHEbOVxtV45LPy&#10;3Q7pDLj7lsKPDY+Skk2Iet1j40KvFKPwpe3xkeTNPr6XFg8/xuI/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orErMdgAAAALAQAADwAAAAAAAAABACAAAAAiAAAAZHJzL2Rvd25yZXYueG1sUEsBAhQA&#10;FAAAAAgAh07iQL06Gf+5AQAAYAMAAA4AAAAAAAAAAQAgAAAAJwEAAGRycy9lMm9Eb2MueG1sUEsF&#10;BgAAAAAGAAYAWQEAAFIFA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ascii="Times New Roman" w:hAnsi="Times New Roman" w:cs="Times New Roman"/>
                <w:color w:val="auto"/>
                <w:highlight w:val="none"/>
              </w:rPr>
              <w:drawing>
                <wp:inline distT="0" distB="0" distL="114300" distR="114300">
                  <wp:extent cx="2594610" cy="1802765"/>
                  <wp:effectExtent l="0" t="0" r="15240" b="6985"/>
                  <wp:docPr id="24" name="图片 4" descr="DJI_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descr="DJI_0069"/>
                          <pic:cNvPicPr>
                            <a:picLocks noChangeAspect="1"/>
                          </pic:cNvPicPr>
                        </pic:nvPicPr>
                        <pic:blipFill>
                          <a:blip r:embed="rId16"/>
                          <a:stretch>
                            <a:fillRect/>
                          </a:stretch>
                        </pic:blipFill>
                        <pic:spPr>
                          <a:xfrm>
                            <a:off x="0" y="0"/>
                            <a:ext cx="2594610" cy="1802765"/>
                          </a:xfrm>
                          <a:prstGeom prst="rect">
                            <a:avLst/>
                          </a:prstGeom>
                          <a:noFill/>
                          <a:ln>
                            <a:noFill/>
                          </a:ln>
                        </pic:spPr>
                      </pic:pic>
                    </a:graphicData>
                  </a:graphic>
                </wp:inline>
              </w:drawing>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s="Times New Roman"/>
                <w:color w:val="auto"/>
                <w:kern w:val="0"/>
                <w:szCs w:val="21"/>
                <w:highlight w:val="none"/>
              </w:rPr>
            </w:pPr>
            <w:r>
              <w:rPr>
                <w:rFonts w:ascii="Times New Roman" w:hAnsi="Times New Roman" w:cs="Times New Roman"/>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1388110</wp:posOffset>
                      </wp:positionH>
                      <wp:positionV relativeFrom="paragraph">
                        <wp:posOffset>1527175</wp:posOffset>
                      </wp:positionV>
                      <wp:extent cx="1249045" cy="302895"/>
                      <wp:effectExtent l="0" t="0" r="0" b="0"/>
                      <wp:wrapNone/>
                      <wp:docPr id="65"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9.3pt;margin-top:120.25pt;height:23.85pt;width:98.35pt;z-index:251665408;mso-width-relative:page;mso-height-relative:page;" filled="f" stroked="f" coordsize="21600,21600" o:gfxdata="UEsDBAoAAAAAAIdO4kAAAAAAAAAAAAAAAAAEAAAAZHJzL1BLAwQUAAAACACHTuJA7ceysNcAAAAL&#10;AQAADwAAAGRycy9kb3ducmV2LnhtbE2PTU/DMAyG70j8h8hI3FjS0k5d13QHEFcQGyBxyxqvrWic&#10;qsnW8u8xJ7j549Hrx9VucYO44BR6TxqSlQKB1HjbU6vh7fB0V4AI0ZA1gyfU8I0BdvX1VWVK62d6&#10;xcs+toJDKJRGQxfjWEoZmg6dCSs/IvHu5CdnIrdTK+1kZg53g0yVWktneuILnRnxocPma392Gt6f&#10;T58fmXppH10+zn5RktxGan17k6gtiIhL/IPhV5/VoWanoz+TDWLQkCbFmlEuMpWDYCJL8nsQR54U&#10;RQqyruT/H+ofUEsDBBQAAAAIAIdO4kD0X/m4ugEAAGADAAAOAAAAZHJzL2Uyb0RvYy54bWytU81u&#10;EzEQviPxDpbvZDdLW7WrbCqhqFwQIBUewPGOs5b8h8fJbl4A3oATF+48V56DsZOmUC49cPGO5+eb&#10;+b7xLm4na9gOImrvOj6f1ZyBk77XbtPxz5/uXl1zhkm4XhjvoON7QH67fPliMYYWGj9400NkBOKw&#10;HUPHh5RCW1UoB7ACZz6Ao6Dy0YpE17ip+ihGQremaur6qhp97EP0EhDJuzoG+QkxPgfQK6UlrLzc&#10;WnDpiBrBiESUcNAB+bJMqxTI9EEphMRMx4lpKic1IXudz2q5EO0mijBoeRpBPGeEJ5ys0I6anqFW&#10;Igm2jfofKKtl9OhVmklvqyORogixmNdPtLkfRIDChaTGcBYd/x+sfL/7GJnuO351yZkTljZ++P7t&#10;8OPX4edX1swvLrNEY8CWMu8D5abpjZ/o4Tz4kZyZ+aSizV/ixChOAu/PAsOUmMxFzcVNTZBMUux1&#10;3VzfFPjqsTpETG/BW5aNjkdaYNFV7N5hokko9SElN3P+ThtTlmjcXw5KzJ4qj34cMVtpWk8nPmvf&#10;74nOSLvvOH7ZigicbUPUm4EaF3qlmIQvbU+PJG/2z3tp8fhjLH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7ceysNcAAAALAQAADwAAAAAAAAABACAAAAAiAAAAZHJzL2Rvd25yZXYueG1sUEsBAhQA&#10;FAAAAAgAh07iQPRf+bi6AQAAYAMAAA4AAAAAAAAAAQAgAAAAJgEAAGRycy9lMm9Eb2MueG1sUEsF&#10;BgAAAAAGAAYAWQEAAFIFA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ascii="Times New Roman" w:hAnsi="Times New Roman" w:cs="Times New Roman"/>
                <w:color w:val="auto"/>
                <w:highlight w:val="none"/>
              </w:rPr>
              <w:drawing>
                <wp:inline distT="0" distB="0" distL="114300" distR="114300">
                  <wp:extent cx="2594610" cy="1840865"/>
                  <wp:effectExtent l="0" t="0" r="15240" b="6985"/>
                  <wp:docPr id="25" name="图片 5" descr="DJI_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descr="DJI_0075"/>
                          <pic:cNvPicPr>
                            <a:picLocks noChangeAspect="1"/>
                          </pic:cNvPicPr>
                        </pic:nvPicPr>
                        <pic:blipFill>
                          <a:blip r:embed="rId17"/>
                          <a:stretch>
                            <a:fillRect/>
                          </a:stretch>
                        </pic:blipFill>
                        <pic:spPr>
                          <a:xfrm>
                            <a:off x="0" y="0"/>
                            <a:ext cx="2594610" cy="1840865"/>
                          </a:xfrm>
                          <a:prstGeom prst="rect">
                            <a:avLst/>
                          </a:prstGeom>
                          <a:noFill/>
                          <a:ln>
                            <a:noFill/>
                          </a:ln>
                        </pic:spPr>
                      </pic:pic>
                    </a:graphicData>
                  </a:graphic>
                </wp:inline>
              </w:drawing>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eastAsia="zh-CN"/>
              </w:rPr>
              <w:t>干海子村</w:t>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阿洒姑村</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916"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s="Times New Roman"/>
                <w:color w:val="auto"/>
                <w:highlight w:val="none"/>
              </w:rPr>
            </w:pPr>
            <w:r>
              <w:rPr>
                <w:rFonts w:ascii="Times New Roman" w:hAnsi="Times New Roman" w:cs="Times New Roman"/>
                <w:color w:val="auto"/>
                <w:highlight w:val="none"/>
              </w:rPr>
              <mc:AlternateContent>
                <mc:Choice Requires="wps">
                  <w:drawing>
                    <wp:anchor distT="0" distB="0" distL="114300" distR="114300" simplePos="0" relativeHeight="251666432" behindDoc="0" locked="0" layoutInCell="1" allowOverlap="1">
                      <wp:simplePos x="0" y="0"/>
                      <wp:positionH relativeFrom="column">
                        <wp:posOffset>1355090</wp:posOffset>
                      </wp:positionH>
                      <wp:positionV relativeFrom="paragraph">
                        <wp:posOffset>1499235</wp:posOffset>
                      </wp:positionV>
                      <wp:extent cx="1249045" cy="302895"/>
                      <wp:effectExtent l="0" t="0" r="0" b="0"/>
                      <wp:wrapNone/>
                      <wp:docPr id="66"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6.7pt;margin-top:118.05pt;height:23.85pt;width:98.35pt;z-index:251666432;mso-width-relative:page;mso-height-relative:page;" filled="f" stroked="f" coordsize="21600,21600" o:gfxdata="UEsDBAoAAAAAAIdO4kAAAAAAAAAAAAAAAAAEAAAAZHJzL1BLAwQUAAAACACHTuJAYhmottcAAAAL&#10;AQAADwAAAGRycy9kb3ducmV2LnhtbE2PQU/DMAyF70j8h8hI3FiStUylNN0BxBXEBkjcssZrKxqn&#10;arK1/HvMCW7Pfk/Pn6vt4gdxxin2gQzolQKB1ATXU2vgbf90U4CIyZKzQyA08I0RtvXlRWVLF2Z6&#10;xfMutYJLKJbWQJfSWEoZmw69jaswIrF3DJO3iceplW6yM5f7Qa6V2khve+ILnR3xocPma3fyBt6f&#10;j58fuXppH/3tOIdFSfJ30pjrK63uQSRc0l8YfvEZHWpmOoQTuSgGA2ud5RxlkW00CE7kWrE48KbI&#10;CpB1Jf//UP8AUEsDBBQAAAAIAIdO4kAv8NlwuQEAAGADAAAOAAAAZHJzL2Uyb0RvYy54bWytU0tu&#10;2zAQ3RfIHQjua8pqaiSC5QCFkWyKtkCaA9AUaRHgrxzaki/Q3qCrbrrvuXyODmnH+W2yyIYazufN&#10;vDfU/Gq0hmxlBO1dS6eTihLphO+0W7f07vv1+wtKIHHXceOdbOlOAr1anL2bD6GRte+96WQkCOKg&#10;GUJL+5RCwxiIXloOEx+kw6Dy0fKE17hmXeQDolvD6qqascHHLkQvJAB6l4cgPSLG1wB6pbSQSy82&#10;Vrp0QI3S8ISUoNcB6KJMq5QU6atSIBMxLUWmqZzYBO1VPtlizpt15KHX4jgCf80IzzhZrh02PUEt&#10;eeJkE/ULKKtF9OBVmghv2YFIUQRZTKtn2tz2PMjCBaWGcBId3g5WfNl+i0R3LZ3NKHHc4sb3v3/t&#10;//zb//1J6un5xyzREKDBzNuAuWn85Ed8OPd+QGdmPqpo8xc5EYyjwLuTwHJMROSi+vyyQkgiMPah&#10;qi8uCzx7qA4R0o30lmSjpREXWHTl28+QcBJMvU/JzZy/1saUJRr3xIGJ2cPy6IcRs5XG1Xjks/Ld&#10;DukMuPuWwo8Nj5KSTYh63WPjQq8Uo/Cl7fGR5M0+vpcWDz/G4j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iGai21wAAAAsBAAAPAAAAAAAAAAEAIAAAACIAAABkcnMvZG93bnJldi54bWxQSwECFAAU&#10;AAAACACHTuJAL/DZcLkBAABgAwAADgAAAAAAAAABACAAAAAmAQAAZHJzL2Uyb0RvYy54bWxQSwUG&#10;AAAAAAYABgBZAQAAUQU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ascii="Times New Roman" w:hAnsi="Times New Roman" w:cs="Times New Roman"/>
                <w:color w:val="auto"/>
                <w:highlight w:val="none"/>
              </w:rPr>
              <w:drawing>
                <wp:inline distT="0" distB="0" distL="114300" distR="114300">
                  <wp:extent cx="2561590" cy="1800225"/>
                  <wp:effectExtent l="0" t="0" r="10160" b="9525"/>
                  <wp:docPr id="26" name="图片 6" descr="IMG_20231129_15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descr="IMG_20231129_155331"/>
                          <pic:cNvPicPr>
                            <a:picLocks noChangeAspect="1"/>
                          </pic:cNvPicPr>
                        </pic:nvPicPr>
                        <pic:blipFill>
                          <a:blip r:embed="rId18"/>
                          <a:stretch>
                            <a:fillRect/>
                          </a:stretch>
                        </pic:blipFill>
                        <pic:spPr>
                          <a:xfrm>
                            <a:off x="0" y="0"/>
                            <a:ext cx="2561590" cy="1800225"/>
                          </a:xfrm>
                          <a:prstGeom prst="rect">
                            <a:avLst/>
                          </a:prstGeom>
                          <a:noFill/>
                          <a:ln>
                            <a:noFill/>
                          </a:ln>
                        </pic:spPr>
                      </pic:pic>
                    </a:graphicData>
                  </a:graphic>
                </wp:inline>
              </w:drawing>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s="Times New Roman"/>
                <w:color w:val="auto"/>
                <w:highlight w:val="none"/>
              </w:rPr>
            </w:pPr>
            <w:r>
              <w:rPr>
                <w:rFonts w:ascii="Times New Roman" w:hAnsi="Times New Roman" w:cs="Times New Roman"/>
                <w:color w:val="auto"/>
                <w:highlight w:val="none"/>
              </w:rPr>
              <mc:AlternateContent>
                <mc:Choice Requires="wps">
                  <w:drawing>
                    <wp:anchor distT="0" distB="0" distL="114300" distR="114300" simplePos="0" relativeHeight="251667456" behindDoc="0" locked="0" layoutInCell="1" allowOverlap="1">
                      <wp:simplePos x="0" y="0"/>
                      <wp:positionH relativeFrom="column">
                        <wp:posOffset>1403985</wp:posOffset>
                      </wp:positionH>
                      <wp:positionV relativeFrom="paragraph">
                        <wp:posOffset>1496060</wp:posOffset>
                      </wp:positionV>
                      <wp:extent cx="1249045" cy="302895"/>
                      <wp:effectExtent l="0" t="0" r="0" b="0"/>
                      <wp:wrapNone/>
                      <wp:docPr id="67"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10.55pt;margin-top:117.8pt;height:23.85pt;width:98.35pt;z-index:251667456;mso-width-relative:page;mso-height-relative:page;" filled="f" stroked="f" coordsize="21600,21600" o:gfxdata="UEsDBAoAAAAAAIdO4kAAAAAAAAAAAAAAAAAEAAAAZHJzL1BLAwQUAAAACACHTuJAjidHVNgAAAAL&#10;AQAADwAAAGRycy9kb3ducmV2LnhtbE2PzU7DMBCE70i8g7VI3KjtpC0lxOkBxBVE+ZG4ufE2iYjX&#10;Uew24e1ZTvS2uzOa/abczr4XJxxjF8iAXigQSHVwHTUG3t+ebjYgYrLkbB8IDfxghG11eVHawoWJ&#10;XvG0S43gEIqFNdCmNBRSxrpFb+MiDEisHcLobeJ1bKQb7cThvpeZUmvpbUf8obUDPrRYf++O3sDH&#10;8+Hrc6lemke/GqYwK0n+ThpzfaXVPYiEc/o3wx8+o0PFTPtwJBdFbyDLtGYrD/lqDYIdS33LZfZ8&#10;2eQ5yKqU5x2qX1BLAwQUAAAACACHTuJAZpU5N7oBAABgAwAADgAAAGRycy9lMm9Eb2MueG1srVPN&#10;jtMwEL4j8Q6W79RpWJbdqOlKqFouCJAWHsB1nMaS7TEet0lfAN6AExfuPFefg7Hb7cJy2QMXZzw/&#10;38z3jbO4mZxlOx3RgG/5fFZxpr2CzvhNyz9/un1xxRkm6TtpweuW7zXym+XzZ4sxNLqGAWynIyMQ&#10;j80YWj6kFBohUA3aSZxB0J6CPUQnE13jRnRRjoTurKir6lKMELsQQWlE8q6OQX5CjE8BhL43Sq9A&#10;bZ326YgatZWJKOFgAvJlmbbvtUof+h51YrblxDSVk5qQvc6nWC5ks4kyDEadRpBPGeERJyeNp6Zn&#10;qJVMkm2j+QfKGRUBoU8zBU4ciRRFiMW8eqTN3SCDLlxIagxn0fH/war3u4+Rma7ll68589LRxg/f&#10;vx1+/Dr8/Mrq+cWrLNEYsKHMu0C5aXoDEz2cez+SMzOf+ujylzgxipPA+7PAekpM5aL64roiSKYo&#10;9rKqr64LvHioDhHTWw2OZaPlkRZYdJW7d5hoEkq9T8nNPNwaa8sSrf/LQYnZI/LoxxGzlab1dOKz&#10;hm5PdEbafcvxy1ZGzdk2RLMZqHGhV4pJ+NL29EjyZv+8lxYPP8b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4nR1TYAAAACwEAAA8AAAAAAAAAAQAgAAAAIgAAAGRycy9kb3ducmV2LnhtbFBLAQIU&#10;ABQAAAAIAIdO4kBmlTk3ugEAAGADAAAOAAAAAAAAAAEAIAAAACcBAABkcnMvZTJvRG9jLnhtbFBL&#10;BQYAAAAABgAGAFkBAABTBQ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ascii="Times New Roman" w:hAnsi="Times New Roman" w:cs="Times New Roman"/>
                <w:color w:val="auto"/>
                <w:highlight w:val="none"/>
              </w:rPr>
              <w:drawing>
                <wp:inline distT="0" distB="0" distL="114300" distR="114300">
                  <wp:extent cx="2628900" cy="1772920"/>
                  <wp:effectExtent l="0" t="0" r="0" b="17780"/>
                  <wp:docPr id="27" name="图片 7" descr="IMG_20231129_16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descr="IMG_20231129_161909"/>
                          <pic:cNvPicPr>
                            <a:picLocks noChangeAspect="1"/>
                          </pic:cNvPicPr>
                        </pic:nvPicPr>
                        <pic:blipFill>
                          <a:blip r:embed="rId19"/>
                          <a:stretch>
                            <a:fillRect/>
                          </a:stretch>
                        </pic:blipFill>
                        <pic:spPr>
                          <a:xfrm>
                            <a:off x="0" y="0"/>
                            <a:ext cx="2628900" cy="1772920"/>
                          </a:xfrm>
                          <a:prstGeom prst="rect">
                            <a:avLst/>
                          </a:prstGeom>
                          <a:noFill/>
                          <a:ln>
                            <a:noFill/>
                          </a:ln>
                        </pic:spPr>
                      </pic:pic>
                    </a:graphicData>
                  </a:graphic>
                </wp:inline>
              </w:drawing>
            </w:r>
            <w:r>
              <w:rPr>
                <w:rFonts w:ascii="Times New Roman" w:hAnsi="Times New Roman" w:cs="Times New Roman"/>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93980</wp:posOffset>
                      </wp:positionH>
                      <wp:positionV relativeFrom="paragraph">
                        <wp:posOffset>88265</wp:posOffset>
                      </wp:positionV>
                      <wp:extent cx="981075" cy="295275"/>
                      <wp:effectExtent l="0" t="0" r="0" b="0"/>
                      <wp:wrapNone/>
                      <wp:docPr id="2" name="自选图形 2154"/>
                      <wp:cNvGraphicFramePr/>
                      <a:graphic xmlns:a="http://schemas.openxmlformats.org/drawingml/2006/main">
                        <a:graphicData uri="http://schemas.microsoft.com/office/word/2010/wordprocessingShape">
                          <wps:wsp>
                            <wps:cNvSpPr/>
                            <wps:spPr>
                              <a:xfrm>
                                <a:off x="0" y="0"/>
                                <a:ext cx="981075" cy="295275"/>
                              </a:xfrm>
                              <a:prstGeom prst="flowChartProcess">
                                <a:avLst/>
                              </a:prstGeom>
                              <a:noFill/>
                              <a:ln w="15875">
                                <a:noFill/>
                              </a:ln>
                            </wps:spPr>
                            <wps:txbx>
                              <w:txbxContent>
                                <w:p>
                                  <w:pPr>
                                    <w:rPr>
                                      <w:rFonts w:hint="eastAsia"/>
                                      <w:b/>
                                      <w:bCs/>
                                      <w:color w:val="FF0000"/>
                                    </w:rPr>
                                  </w:pPr>
                                </w:p>
                              </w:txbxContent>
                            </wps:txbx>
                            <wps:bodyPr wrap="square" upright="1"/>
                          </wps:wsp>
                        </a:graphicData>
                      </a:graphic>
                    </wp:anchor>
                  </w:drawing>
                </mc:Choice>
                <mc:Fallback>
                  <w:pict>
                    <v:shape id="自选图形 2154" o:spid="_x0000_s1026" o:spt="109" type="#_x0000_t109" style="position:absolute;left:0pt;margin-left:7.4pt;margin-top:6.95pt;height:23.25pt;width:77.25pt;z-index:251661312;mso-width-relative:page;mso-height-relative:page;" filled="f" stroked="f" coordsize="21600,21600" o:gfxdata="UEsDBAoAAAAAAIdO4kAAAAAAAAAAAAAAAAAEAAAAZHJzL1BLAwQUAAAACACHTuJAIl1W/dYAAAAI&#10;AQAADwAAAGRycy9kb3ducmV2LnhtbE2PwU7DMBBE70j8g7VI3KgdWkU0jdMDCCQEOTQgzm68jSPi&#10;dRS7Tfl7tic4jUazmnlbbs9+ECecYh9IQ7ZQIJDaYHvqNHx+PN89gIjJkDVDINTwgxG21fVVaQob&#10;ZtrhqUmd4BKKhdHgUhoLKWPr0Ju4CCMSZ4cweZPYTp20k5m53A/yXqlcetMTLzgz4qPD9rs5eg1j&#10;b+e6fnFPre2aMTPv9dvXa6317U2mNiASntPfMVzwGR0qZtqHI9koBvYrJk+syzWIS56vlyD2GnK1&#10;AlmV8v8D1S9QSwMEFAAAAAgAh07iQJ7xZEzKAQAAbQMAAA4AAABkcnMvZTJvRG9jLnhtbK1TS27b&#10;MBDdF+gdCO5rfRC3jmA5ixrppmgNpD0ATZEWAf4ypC15113RM3TXZe/Q3iZAc4sMJdVpkk0W3VAz&#10;HPLNe4+j5UVvNDkICMrZmhaznBJhuWuU3dX086fLVwtKQmS2YdpZUdOjCPRi9fLFsvOVKF3rdCOA&#10;IIgNVedr2sboqywLvBWGhZnzwmJROjAsYgq7rAHWIbrRWZnnr7POQePBcREC7q7HIp0Q4TmATkrF&#10;xdrxvRE2jqggNIsoKbTKB7oa2EopePwoZRCR6Jqi0jis2ATjbVqz1ZJVO2C+VXyiwJ5D4ZEmw5TF&#10;pieoNYuM7EE9gTKKgwtOxhl3JhuFDI6giiJ/5M1Vy7wYtKDVwZ9MD/8Pln84bICopqYlJZYZfPA/&#10;X3/efvl28/33za8fpCzmZ8mkzocKz175DUxZwDAp7iWY9EUtpB+MPZ6MFX0kHDfPF0X+Zk4Jx1J5&#10;Pi8xRpTs/rKHEN8JZ0gKaiq16962DOJmnJPBWnZ4H+J47e/x1Ne6S6U17rNKW9LhSM8XiP+ghJ20&#10;xYZJxcg7RbHf9pOYrWuO6EOHg1DTcL1nICjZe1C7FukUA9t0BV9h4D1NTHrmf/Ohxf1fsro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Il1W/dYAAAAIAQAADwAAAAAAAAABACAAAAAiAAAAZHJzL2Rv&#10;d25yZXYueG1sUEsBAhQAFAAAAAgAh07iQJ7xZEzKAQAAbQMAAA4AAAAAAAAAAQAgAAAAJQEAAGRy&#10;cy9lMm9Eb2MueG1sUEsFBgAAAAAGAAYAWQEAAGEFAAAAAA==&#10;">
                      <v:fill on="f" focussize="0,0"/>
                      <v:stroke on="f" weight="1.25pt"/>
                      <v:imagedata o:title=""/>
                      <o:lock v:ext="edit" aspectratio="f"/>
                      <v:textbox>
                        <w:txbxContent>
                          <w:p>
                            <w:pPr>
                              <w:rPr>
                                <w:rFonts w:hint="eastAsia"/>
                                <w:b/>
                                <w:bCs/>
                                <w:color w:val="FF0000"/>
                              </w:rPr>
                            </w:pPr>
                          </w:p>
                        </w:txbxContent>
                      </v:textbox>
                    </v:shape>
                  </w:pict>
                </mc:Fallback>
              </mc:AlternateConten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auto"/>
                <w:kern w:val="0"/>
                <w:szCs w:val="21"/>
                <w:highlight w:val="none"/>
                <w:lang w:eastAsia="zh-CN"/>
              </w:rPr>
            </w:pPr>
            <w:r>
              <w:rPr>
                <w:rFonts w:hint="eastAsia" w:ascii="Times New Roman" w:hAnsi="Times New Roman" w:cs="Times New Roman"/>
                <w:color w:val="auto"/>
                <w:kern w:val="0"/>
                <w:szCs w:val="21"/>
                <w:highlight w:val="none"/>
                <w:lang w:eastAsia="zh-CN"/>
              </w:rPr>
              <w:t>平坦村泵站</w:t>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auto"/>
                <w:kern w:val="0"/>
                <w:szCs w:val="21"/>
                <w:highlight w:val="none"/>
                <w:lang w:eastAsia="zh-CN"/>
              </w:rPr>
            </w:pPr>
            <w:r>
              <w:rPr>
                <w:rFonts w:hint="eastAsia" w:ascii="Times New Roman" w:hAnsi="Times New Roman" w:cs="Times New Roman"/>
                <w:color w:val="auto"/>
                <w:kern w:val="0"/>
                <w:szCs w:val="21"/>
                <w:highlight w:val="none"/>
                <w:lang w:eastAsia="zh-CN"/>
              </w:rPr>
              <w:t>白秧树村泵站</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s="Times New Roman"/>
                <w:color w:val="auto"/>
                <w:kern w:val="0"/>
                <w:szCs w:val="21"/>
                <w:highlight w:val="none"/>
              </w:rPr>
            </w:pPr>
            <w:r>
              <w:rPr>
                <w:rFonts w:ascii="Times New Roman" w:hAnsi="Times New Roman" w:cs="Times New Roman"/>
                <w:color w:val="auto"/>
                <w:highlight w:val="none"/>
              </w:rPr>
              <mc:AlternateContent>
                <mc:Choice Requires="wps">
                  <w:drawing>
                    <wp:anchor distT="0" distB="0" distL="114300" distR="114300" simplePos="0" relativeHeight="251668480" behindDoc="0" locked="0" layoutInCell="1" allowOverlap="1">
                      <wp:simplePos x="0" y="0"/>
                      <wp:positionH relativeFrom="column">
                        <wp:posOffset>1364615</wp:posOffset>
                      </wp:positionH>
                      <wp:positionV relativeFrom="paragraph">
                        <wp:posOffset>1542415</wp:posOffset>
                      </wp:positionV>
                      <wp:extent cx="1249045" cy="302895"/>
                      <wp:effectExtent l="0" t="0" r="0" b="0"/>
                      <wp:wrapNone/>
                      <wp:docPr id="68"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7.45pt;margin-top:121.45pt;height:23.85pt;width:98.35pt;z-index:251668480;mso-width-relative:page;mso-height-relative:page;" filled="f" stroked="f" coordsize="21600,21600" o:gfxdata="UEsDBAoAAAAAAIdO4kAAAAAAAAAAAAAAAAAEAAAAZHJzL1BLAwQUAAAACACHTuJAAppeFtYAAAAL&#10;AQAADwAAAGRycy9kb3ducmV2LnhtbE2PQU/DMAyF70j8h8hI3FiSqlS0NN0BxBXEGEjcssZrKxqn&#10;arK1/HvMCW7Pfk/Pn+vt6kdxxjkOgQzojQKB1AY3UGdg//Z0cwciJkvOjoHQwDdG2DaXF7WtXFjo&#10;Fc+71AkuoVhZA31KUyVlbHv0Nm7ChMTeMczeJh7nTrrZLlzuR5kpVUhvB+ILvZ3wocf2a3fyBt6f&#10;j58fuXrpHv3ttIRVSfKlNOb6Sqt7EAnX9BeGX3xGh4aZDuFELorRQKbzkqMs8owFJ3KtCxAH3pSq&#10;ANnU8v8PzQ9QSwMEFAAAAAgAh07iQFOJeWm6AQAAYAMAAA4AAABkcnMvZTJvRG9jLnhtbK1TzW4T&#10;MRC+I/EOlu/Em6VU7SqbSigqFwRIpQ/geO2spbXHeJzs5gXgDThx4c5z5TkYO2kK5dIDF+94fr6Z&#10;7xvv4mZyA9vpiBZ8y+ezijPtFXTWb1p+//n21RVnmKTv5ABet3yvkd8sX75YjKHRNfQwdDoyAvHY&#10;jKHlfUqhEQJVr53EGQTtKWggOpnoGjeii3IkdDeIuqouxQixCxGURiTv6hjkJ8T4HEAwxiq9ArV1&#10;2qcjatSDTEQJexuQL8u0xmiVPhqDOrGh5cQ0lZOakL3Op1guZLOJMvRWnUaQzxnhCScnraemZ6iV&#10;TJJto/0HylkVAcGkmQInjkSKIsRiXj3R5q6XQRcuJDWGs+j4/2DVh92nyGzX8kvau5eONn74/u3w&#10;49fh51dWzy/eZInGgA1l3gXKTdNbmOjhPPiRnJn5ZKLLX+LEKE4C788C6ykxlYvqi+uKIJmi2Ouq&#10;vrou8OKxOkRM7zQ4lo2WR1pg0VXu3mOiSSj1ISU383Brh6EscfB/OSgxe0Qe/ThittK0nk581tDt&#10;ic5Iu285ftnKqDnbhmg3PTUu9EoxCV/anh5J3uyf99Li8cdY/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Cml4W1gAAAAsBAAAPAAAAAAAAAAEAIAAAACIAAABkcnMvZG93bnJldi54bWxQSwECFAAU&#10;AAAACACHTuJAU4l5aboBAABgAwAADgAAAAAAAAABACAAAAAlAQAAZHJzL2Uyb0RvYy54bWxQSwUG&#10;AAAAAAYABgBZAQAAUQU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ascii="Times New Roman" w:hAnsi="Times New Roman" w:cs="Times New Roman"/>
                <w:color w:val="auto"/>
                <w:highlight w:val="none"/>
              </w:rPr>
              <w:drawing>
                <wp:inline distT="0" distB="0" distL="114300" distR="114300">
                  <wp:extent cx="2594610" cy="1831340"/>
                  <wp:effectExtent l="0" t="0" r="15240" b="16510"/>
                  <wp:docPr id="28" name="图片 8" descr="DJI_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descr="DJI_0098"/>
                          <pic:cNvPicPr>
                            <a:picLocks noChangeAspect="1"/>
                          </pic:cNvPicPr>
                        </pic:nvPicPr>
                        <pic:blipFill>
                          <a:blip r:embed="rId20"/>
                          <a:stretch>
                            <a:fillRect/>
                          </a:stretch>
                        </pic:blipFill>
                        <pic:spPr>
                          <a:xfrm>
                            <a:off x="0" y="0"/>
                            <a:ext cx="2594610" cy="1831340"/>
                          </a:xfrm>
                          <a:prstGeom prst="rect">
                            <a:avLst/>
                          </a:prstGeom>
                          <a:noFill/>
                          <a:ln>
                            <a:noFill/>
                          </a:ln>
                        </pic:spPr>
                      </pic:pic>
                    </a:graphicData>
                  </a:graphic>
                </wp:inline>
              </w:drawing>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s="Times New Roman"/>
                <w:color w:val="auto"/>
                <w:kern w:val="0"/>
                <w:szCs w:val="21"/>
                <w:highlight w:val="none"/>
              </w:rPr>
            </w:pPr>
            <w:r>
              <w:rPr>
                <w:rFonts w:ascii="Times New Roman" w:hAnsi="Times New Roman" w:cs="Times New Roman"/>
                <w:color w:val="auto"/>
                <w:highlight w:val="none"/>
              </w:rPr>
              <mc:AlternateContent>
                <mc:Choice Requires="wps">
                  <w:drawing>
                    <wp:anchor distT="0" distB="0" distL="114300" distR="114300" simplePos="0" relativeHeight="251669504" behindDoc="0" locked="0" layoutInCell="1" allowOverlap="1">
                      <wp:simplePos x="0" y="0"/>
                      <wp:positionH relativeFrom="column">
                        <wp:posOffset>1381125</wp:posOffset>
                      </wp:positionH>
                      <wp:positionV relativeFrom="paragraph">
                        <wp:posOffset>1584960</wp:posOffset>
                      </wp:positionV>
                      <wp:extent cx="1249045" cy="302895"/>
                      <wp:effectExtent l="0" t="0" r="0" b="0"/>
                      <wp:wrapNone/>
                      <wp:docPr id="69"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8.75pt;margin-top:124.8pt;height:23.85pt;width:98.35pt;z-index:251669504;mso-width-relative:page;mso-height-relative:page;" filled="f" stroked="f" coordsize="21600,21600" o:gfxdata="UEsDBAoAAAAAAIdO4kAAAAAAAAAAAAAAAAAEAAAAZHJzL1BLAwQUAAAACACHTuJAQmVBPtgAAAAL&#10;AQAADwAAAGRycy9kb3ducmV2LnhtbE2Py07DMBBF90j8gzVI7KidkD4S4nQBYguiPKTu3HiaRMTj&#10;KHab8PcMK7qbx9GdM+V2dr044xg6TxqShQKBVHvbUaPh4/35bgMiREPW9J5Qww8G2FbXV6UprJ/o&#10;Dc+72AgOoVAYDW2MQyFlqFt0Jiz8gMS7ox+didyOjbSjmTjc9TJVaiWd6YgvtGbAxxbr793Jafh8&#10;Oe6/MvXaPLnlMPlZSXK51Pr2JlEPICLO8R+GP31Wh4qdDv5ENoheQ5qsl4xykeUrEExkSZaCOPAk&#10;X9+DrEp5+UP1C1BLAwQUAAAACACHTuJAGuyZLrkBAABgAwAADgAAAGRycy9lMm9Eb2MueG1srVNL&#10;btswEN0XyB0I7mvKahrEguUAhZFsirZAmgPQFGkR4K8c2pIv0N6gq26677l8jg5px/ltssiGGs7n&#10;zbw31PxqtIZsZQTtXUunk4oS6YTvtFu39O779ftLSiBx13HjnWzpTgK9Wpy9mw+hkbXvvelkJAji&#10;oBlCS/uUQsMYiF5aDhMfpMOg8tHyhNe4Zl3kA6Jbw+qqumCDj12IXkgA9C4PQXpEjK8B9EppIZde&#10;bKx06YAapeEJKUGvA9BFmVYpKdJXpUAmYlqKTFM5sQnaq3yyxZw368hDr8VxBP6aEZ5xslw7bHqC&#10;WvLEySbqF1BWi+jBqzQR3rIDkaIIsphWz7S57XmQhQtKDeEkOrwdrPiy/RaJ7lp6MaPEcYsb3//+&#10;tf/zb//3J6mn5x+zREOABjNvA+am8ZMf8eHc+wGdmfmoos1f5EQwjgLvTgLLMRGRi+rzWYWQRGDs&#10;Q1Vfzgo8e6gOEdKN9JZko6URF1h05dvPkHASTL1Pyc2cv9bGlCUa98SBidnD8uiHEbOVxtV45LPy&#10;3Q7pDLj7lsKPDY+Skk2Iet1j40KvFKPwpe3xkeTNPr6XFg8/xuI/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QmVBPtgAAAALAQAADwAAAAAAAAABACAAAAAiAAAAZHJzL2Rvd25yZXYueG1sUEsBAhQA&#10;FAAAAAgAh07iQBrsmS65AQAAYAMAAA4AAAAAAAAAAQAgAAAAJwEAAGRycy9lMm9Eb2MueG1sUEsF&#10;BgAAAAAGAAYAWQEAAFIFA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ascii="Times New Roman" w:hAnsi="Times New Roman" w:cs="Times New Roman"/>
                <w:color w:val="auto"/>
                <w:highlight w:val="none"/>
              </w:rPr>
              <w:drawing>
                <wp:inline distT="0" distB="0" distL="114300" distR="114300">
                  <wp:extent cx="2628900" cy="1877060"/>
                  <wp:effectExtent l="0" t="0" r="0" b="8890"/>
                  <wp:docPr id="29" name="图片 9" descr="IMG_20231129_16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descr="IMG_20231129_164119"/>
                          <pic:cNvPicPr>
                            <a:picLocks noChangeAspect="1"/>
                          </pic:cNvPicPr>
                        </pic:nvPicPr>
                        <pic:blipFill>
                          <a:blip r:embed="rId21"/>
                          <a:stretch>
                            <a:fillRect/>
                          </a:stretch>
                        </pic:blipFill>
                        <pic:spPr>
                          <a:xfrm>
                            <a:off x="0" y="0"/>
                            <a:ext cx="2628900" cy="1877060"/>
                          </a:xfrm>
                          <a:prstGeom prst="rect">
                            <a:avLst/>
                          </a:prstGeom>
                          <a:noFill/>
                          <a:ln>
                            <a:noFill/>
                          </a:ln>
                        </pic:spPr>
                      </pic:pic>
                    </a:graphicData>
                  </a:graphic>
                </wp:inline>
              </w:drawing>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eastAsia="zh-CN"/>
              </w:rPr>
              <w:t>界牌箐水库（</w:t>
            </w:r>
            <w:r>
              <w:rPr>
                <w:rFonts w:hint="eastAsia" w:cs="Times New Roman"/>
                <w:color w:val="auto"/>
                <w:highlight w:val="none"/>
                <w:lang w:eastAsia="zh-CN"/>
              </w:rPr>
              <w:t>界牌箐水库</w:t>
            </w:r>
            <w:r>
              <w:rPr>
                <w:rFonts w:hint="eastAsia" w:ascii="Times New Roman" w:hAnsi="Times New Roman" w:cs="Times New Roman"/>
                <w:color w:val="auto"/>
                <w:highlight w:val="none"/>
                <w:lang w:eastAsia="zh-CN"/>
              </w:rPr>
              <w:t>）</w:t>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auto"/>
                <w:kern w:val="0"/>
                <w:szCs w:val="21"/>
                <w:highlight w:val="none"/>
                <w:lang w:eastAsia="zh-CN"/>
              </w:rPr>
            </w:pPr>
            <w:r>
              <w:rPr>
                <w:rFonts w:hint="eastAsia" w:ascii="Times New Roman" w:hAnsi="Times New Roman" w:cs="Times New Roman"/>
                <w:color w:val="auto"/>
                <w:kern w:val="0"/>
                <w:szCs w:val="21"/>
                <w:highlight w:val="none"/>
                <w:lang w:eastAsia="zh-CN"/>
              </w:rPr>
              <w:t>水平石水库</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highlight w:val="none"/>
                <w:lang w:eastAsia="zh-CN"/>
              </w:rPr>
            </w:pPr>
            <w:r>
              <w:rPr>
                <w:rFonts w:ascii="Times New Roman" w:hAnsi="Times New Roman" w:cs="Times New Roman"/>
                <w:color w:val="auto"/>
                <w:highlight w:val="none"/>
              </w:rPr>
              <mc:AlternateContent>
                <mc:Choice Requires="wps">
                  <w:drawing>
                    <wp:anchor distT="0" distB="0" distL="114300" distR="114300" simplePos="0" relativeHeight="251674624" behindDoc="0" locked="0" layoutInCell="1" allowOverlap="1">
                      <wp:simplePos x="0" y="0"/>
                      <wp:positionH relativeFrom="column">
                        <wp:posOffset>1374140</wp:posOffset>
                      </wp:positionH>
                      <wp:positionV relativeFrom="paragraph">
                        <wp:posOffset>1836420</wp:posOffset>
                      </wp:positionV>
                      <wp:extent cx="1249045" cy="302895"/>
                      <wp:effectExtent l="0" t="0" r="0" b="0"/>
                      <wp:wrapNone/>
                      <wp:docPr id="74"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8.2pt;margin-top:144.6pt;height:23.85pt;width:98.35pt;z-index:251674624;mso-width-relative:page;mso-height-relative:page;" filled="f" stroked="f" coordsize="21600,21600" o:gfxdata="UEsDBAoAAAAAAIdO4kAAAAAAAAAAAAAAAAAEAAAAZHJzL1BLAwQUAAAACACHTuJABp74gNgAAAAL&#10;AQAADwAAAGRycy9kb3ducmV2LnhtbE2Py07EMAxF90j8Q2QkdkzSB9W0NJ0FiC2I4SGxyzSetqJx&#10;qiYzLX+PWcHOlo+uz613qxvFGecweNKQbBQIpNbbgToNb6+PN1sQIRqyZvSEGr4xwK65vKhNZf1C&#10;L3jex05wCIXKaOhjnCopQ9ujM2HjJyS+Hf3sTOR17qSdzcLhbpSpUoV0ZiD+0JsJ73tsv/Ynp+H9&#10;6fj5kavn7sHdTotflSRXSq2vrxJ1ByLiGv9g+NVndWjY6eBPZIMYNaRJkTPKw7ZMQTCRJ1kC4qAh&#10;y4oSZFPL/x2aH1BLAwQUAAAACACHTuJA7CNe8LoBAABgAwAADgAAAGRycy9lMm9Eb2MueG1srVNL&#10;btswEN0XyB0I7mPKqtsmguUAhZFsirZA2gPQFGkR4C8c2pIv0N6gq26677l8jgxpx2mTTRbZUMP5&#10;vJn3hppfjdaQrYygvWvpdFJRIp3wnXbrln7/dn1+QQkk7jpuvJMt3UmgV4uzN/MhNLL2vTedjARB&#10;HDRDaGmfUmgYA9FLy2Hig3QYVD5anvAa16yLfEB0a1hdVe/Z4GMXohcSAL3LQ5AeEeNLAL1SWsil&#10;FxsrXTqgRml4QkrQ6wB0UaZVSor0RSmQiZiWItNUTmyC9iqfbDHnzTry0GtxHIG/ZIQnnCzXDpue&#10;oJY8cbKJ+hmU1SJ68CpNhLfsQKQogiym1RNtbnseZOGCUkM4iQ6vBys+b79GoruWfphR4rjFje9/&#10;/dz//rv/84PU09m7LNEQoMHM24C5afzoR3w4D35AZ2Y+qmjzFzkRjKPAu5PAckxE5KJ6dlkhJBEY&#10;e1vVF5cFnj1WhwjpRnpLstHSiAssuvLtJ0g4CaY+pORmzl9rY8oSjfvPgYnZw/LohxGzlcbVeOSz&#10;8t0O6Qy4+5bC3YZHSckmRL3usXGhV4pR+NL2+EjyZv+9lxaPP8biH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Aae+IDYAAAACwEAAA8AAAAAAAAAAQAgAAAAIgAAAGRycy9kb3ducmV2LnhtbFBLAQIU&#10;ABQAAAAIAIdO4kDsI17wugEAAGADAAAOAAAAAAAAAAEAIAAAACcBAABkcnMvZTJvRG9jLnhtbFBL&#10;BQYAAAAABgAGAFkBAABTBQ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hint="eastAsia" w:ascii="Times New Roman" w:hAnsi="Times New Roman" w:cs="Times New Roman"/>
                <w:color w:val="auto"/>
                <w:highlight w:val="none"/>
                <w:lang w:eastAsia="zh-CN"/>
              </w:rPr>
              <w:drawing>
                <wp:inline distT="0" distB="0" distL="114300" distR="114300">
                  <wp:extent cx="2675255" cy="2124710"/>
                  <wp:effectExtent l="0" t="0" r="10795" b="8890"/>
                  <wp:docPr id="30" name="图片 11" descr="IMG_20231129_15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1" descr="IMG_20231129_152826"/>
                          <pic:cNvPicPr>
                            <a:picLocks noChangeAspect="1"/>
                          </pic:cNvPicPr>
                        </pic:nvPicPr>
                        <pic:blipFill>
                          <a:blip r:embed="rId22"/>
                          <a:stretch>
                            <a:fillRect/>
                          </a:stretch>
                        </pic:blipFill>
                        <pic:spPr>
                          <a:xfrm>
                            <a:off x="0" y="0"/>
                            <a:ext cx="2675255" cy="2124710"/>
                          </a:xfrm>
                          <a:prstGeom prst="rect">
                            <a:avLst/>
                          </a:prstGeom>
                          <a:noFill/>
                          <a:ln>
                            <a:noFill/>
                          </a:ln>
                        </pic:spPr>
                      </pic:pic>
                    </a:graphicData>
                  </a:graphic>
                </wp:inline>
              </w:drawing>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kern w:val="0"/>
                <w:szCs w:val="21"/>
                <w:highlight w:val="none"/>
                <w:lang w:eastAsia="zh-CN"/>
              </w:rPr>
            </w:pPr>
            <w:r>
              <w:rPr>
                <w:rFonts w:ascii="Times New Roman" w:hAnsi="Times New Roman" w:cs="Times New Roman"/>
                <w:color w:val="auto"/>
                <w:highlight w:val="none"/>
              </w:rPr>
              <mc:AlternateContent>
                <mc:Choice Requires="wps">
                  <w:drawing>
                    <wp:anchor distT="0" distB="0" distL="114300" distR="114300" simplePos="0" relativeHeight="251675648" behindDoc="0" locked="0" layoutInCell="1" allowOverlap="1">
                      <wp:simplePos x="0" y="0"/>
                      <wp:positionH relativeFrom="column">
                        <wp:posOffset>1431290</wp:posOffset>
                      </wp:positionH>
                      <wp:positionV relativeFrom="paragraph">
                        <wp:posOffset>1871980</wp:posOffset>
                      </wp:positionV>
                      <wp:extent cx="1249045" cy="302895"/>
                      <wp:effectExtent l="0" t="0" r="0" b="0"/>
                      <wp:wrapNone/>
                      <wp:docPr id="75"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12.7pt;margin-top:147.4pt;height:23.85pt;width:98.35pt;z-index:251675648;mso-width-relative:page;mso-height-relative:page;" filled="f" stroked="f" coordsize="21600,21600" o:gfxdata="UEsDBAoAAAAAAIdO4kAAAAAAAAAAAAAAAAAEAAAAZHJzL1BLAwQUAAAACACHTuJAAEMjtNgAAAAL&#10;AQAADwAAAGRycy9kb3ducmV2LnhtbE2PTU/DMAyG70j8h8hI3FjS0CLWNd0BxBXE+JB2yxqvrWic&#10;qsnW8u8xJ7jZ8qPXz1ttFz+IM06xD2QgWykQSE1wPbUG3t+ebu5BxGTJ2SEQGvjGCNv68qKypQsz&#10;veJ5l1rBIRRLa6BLaSyljE2H3sZVGJH4dgyTt4nXqZVusjOH+0Fqpe6ktz3xh86O+NBh87U7eQMf&#10;z8f9Z65e2kdfjHNYlCS/lsZcX2VqAyLhkv5g+NVndajZ6RBO5KIYDGhd5IzysM65AxO51hmIg4Hb&#10;XBcg60r+71D/AFBLAwQUAAAACACHTuJApUa+t7oBAABgAwAADgAAAGRycy9lMm9Eb2MueG1srVPN&#10;jtMwEL4j8Q6W79Rp2IXdqOlKqFouCJAWHsB1nMaS7TEet0lfAN6AExfuPFefg7Hb7cJy2QMXZzw/&#10;38z3jbO4mZxlOx3RgG/5fFZxpr2CzvhNyz9/un1xxRkm6TtpweuW7zXym+XzZ4sxNLqGAWynIyMQ&#10;j80YWj6kFBohUA3aSZxB0J6CPUQnE13jRnRRjoTurKir6pUYIXYhgtKI5F0dg/yEGJ8CCH1vlF6B&#10;2jrt0xE1aisTUcLBBOTLMm3fa5U+9D3qxGzLiWkqJzUhe51PsVzIZhNlGIw6jSCfMsIjTk4aT03P&#10;UCuZJNtG8w+UMyoCQp9mCpw4EimKEIt59Uibu0EGXbiQ1BjOouP/g1Xvdx8jM13LX19y5qWjjR++&#10;fzv8+HX4+ZXV84vLLNEYsKHMu0C5aXoDEz2cez+SMzOf+ujylzgxipPA+7PAekpM5aL64roiSKYo&#10;9rKqr64LvHioDhHTWw2OZaPlkRZYdJW7d5hoEkq9T8nNPNwaa8sSrf/LQYnZI/LoxxGzlab1dOKz&#10;hm5PdEbafcvxy1ZGzdk2RLMZqHGhV4pJ+NL29EjyZv+8lxYPP8b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ABDI7TYAAAACwEAAA8AAAAAAAAAAQAgAAAAIgAAAGRycy9kb3ducmV2LnhtbFBLAQIU&#10;ABQAAAAIAIdO4kClRr63ugEAAGADAAAOAAAAAAAAAAEAIAAAACcBAABkcnMvZTJvRG9jLnhtbFBL&#10;BQYAAAAABgAGAFkBAABTBQ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hint="eastAsia" w:ascii="Times New Roman" w:hAnsi="Times New Roman" w:cs="Times New Roman"/>
                <w:color w:val="auto"/>
                <w:kern w:val="0"/>
                <w:szCs w:val="21"/>
                <w:highlight w:val="none"/>
                <w:lang w:eastAsia="zh-CN"/>
              </w:rPr>
              <w:drawing>
                <wp:inline distT="0" distB="0" distL="114300" distR="114300">
                  <wp:extent cx="2663825" cy="2115185"/>
                  <wp:effectExtent l="0" t="0" r="3175" b="18415"/>
                  <wp:docPr id="35" name="图片 19" descr="DJI_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9" descr="DJI_0097"/>
                          <pic:cNvPicPr>
                            <a:picLocks noChangeAspect="1"/>
                          </pic:cNvPicPr>
                        </pic:nvPicPr>
                        <pic:blipFill>
                          <a:blip r:embed="rId23"/>
                          <a:stretch>
                            <a:fillRect/>
                          </a:stretch>
                        </pic:blipFill>
                        <pic:spPr>
                          <a:xfrm>
                            <a:off x="0" y="0"/>
                            <a:ext cx="2663825" cy="2115185"/>
                          </a:xfrm>
                          <a:prstGeom prst="rect">
                            <a:avLst/>
                          </a:prstGeom>
                          <a:noFill/>
                          <a:ln>
                            <a:noFill/>
                          </a:ln>
                        </pic:spPr>
                      </pic:pic>
                    </a:graphicData>
                  </a:graphic>
                </wp:inline>
              </w:drawing>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弃渣场现状</w:t>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kern w:val="0"/>
                <w:szCs w:val="21"/>
                <w:highlight w:val="none"/>
                <w:lang w:eastAsia="zh-CN"/>
              </w:rPr>
            </w:pPr>
            <w:r>
              <w:rPr>
                <w:rFonts w:hint="eastAsia" w:ascii="Times New Roman" w:hAnsi="Times New Roman" w:cs="Times New Roman"/>
                <w:color w:val="auto"/>
                <w:kern w:val="0"/>
                <w:szCs w:val="21"/>
                <w:highlight w:val="none"/>
                <w:lang w:eastAsia="zh-CN"/>
              </w:rPr>
              <w:t>管首高位水池周边山体植被</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highlight w:val="none"/>
                <w:lang w:eastAsia="zh-CN"/>
              </w:rPr>
            </w:pPr>
            <w:r>
              <w:rPr>
                <w:rFonts w:ascii="Times New Roman" w:hAnsi="Times New Roman" w:cs="Times New Roman"/>
                <w:color w:val="auto"/>
                <w:highlight w:val="none"/>
              </w:rPr>
              <mc:AlternateContent>
                <mc:Choice Requires="wps">
                  <w:drawing>
                    <wp:anchor distT="0" distB="0" distL="114300" distR="114300" simplePos="0" relativeHeight="251672576" behindDoc="0" locked="0" layoutInCell="1" allowOverlap="1">
                      <wp:simplePos x="0" y="0"/>
                      <wp:positionH relativeFrom="column">
                        <wp:posOffset>1380490</wp:posOffset>
                      </wp:positionH>
                      <wp:positionV relativeFrom="paragraph">
                        <wp:posOffset>1566545</wp:posOffset>
                      </wp:positionV>
                      <wp:extent cx="1249045" cy="302895"/>
                      <wp:effectExtent l="0" t="0" r="0" b="0"/>
                      <wp:wrapNone/>
                      <wp:docPr id="72"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8.7pt;margin-top:123.35pt;height:23.85pt;width:98.35pt;z-index:251672576;mso-width-relative:page;mso-height-relative:page;" filled="f" stroked="f" coordsize="21600,21600" o:gfxdata="UEsDBAoAAAAAAIdO4kAAAAAAAAAAAAAAAAAEAAAAZHJzL1BLAwQUAAAACACHTuJA0i8Ih9cAAAAL&#10;AQAADwAAAGRycy9kb3ducmV2LnhtbE2PTU/DMAyG70j8h8hI3FiSKWysNN0BxBXEBkjcssZrKxqn&#10;arK1/HvMCW7+ePT6cbmdQy/OOKYukgW9UCCQ6ug7aiy87Z9u7kCk7Mi7PhJa+MYE2+ryonSFjxO9&#10;4nmXG8EhlApnoc15KKRMdYvBpUUckHh3jGNwmduxkX50E4eHXi6VWsngOuILrRvwocX6a3cKFt6f&#10;j58fRr00j+F2mOKsJIWNtPb6Sqt7EBnn/AfDrz6rQ8VOh3gin0RvYanXhlEuzGoNggmjjQZx4MnG&#10;GJBVKf//UP0AUEsDBBQAAAAIAIdO4kAbem67ugEAAGADAAAOAAAAZHJzL2Uyb0RvYy54bWytU82O&#10;0zAQviPxDpbv1GlYYDdquhKqlgsCpIUHcB27sRR7jMdt0heAN+DEhTvP1efYsdvtwnLZAxdnPD/f&#10;zPeNs7ie3MB2OqIF3/L5rOJMewWd9ZuWf/l88+KSM0zSd3IAr1u+18ivl8+fLcbQ6Bp6GDodGYF4&#10;bMbQ8j6l0AiBqtdO4gyC9hQ0EJ1MdI0b0UU5ErobRF1Vr8UIsQsRlEYk7+oY5CfE+BRAMMYqvQK1&#10;ddqnI2rUg0xECXsbkC/LtMZolT4agzqxoeXENJWTmpC9zqdYLmSziTL0Vp1GkE8Z4REnJ62npmeo&#10;lUySbaP9B8pZFQHBpJkCJ45EiiLEYl490ua2l0EXLiQ1hrPo+P9g1Yfdp8hs1/I3NWdeOtr44cf3&#10;w8/fh1/fWD2/eJUlGgM2lHkbKDdNb2Gih3PvR3Jm5pOJLn+JE6M4Cbw/C6ynxFQuqi+uKoJkimIv&#10;q/ryqsCLh+oQMb3T4Fg2Wh5pgUVXuXuPiSah1PuU3MzDjR2GssTB/+WgxOwRefTjiNlK03o68VlD&#10;tyc6I+2+5fh1K6PmbBui3fTUuNArxSR8aXt6JHmzf95Li4cfY3k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0i8Ih9cAAAALAQAADwAAAAAAAAABACAAAAAiAAAAZHJzL2Rvd25yZXYueG1sUEsBAhQA&#10;FAAAAAgAh07iQBt6bru6AQAAYAMAAA4AAAAAAAAAAQAgAAAAJgEAAGRycy9lMm9Eb2MueG1sUEsF&#10;BgAAAAAGAAYAWQEAAFIFA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hint="eastAsia" w:ascii="Times New Roman" w:hAnsi="Times New Roman" w:cs="Times New Roman"/>
                <w:color w:val="auto"/>
                <w:highlight w:val="none"/>
                <w:lang w:eastAsia="zh-CN"/>
              </w:rPr>
              <w:drawing>
                <wp:inline distT="0" distB="0" distL="114300" distR="114300">
                  <wp:extent cx="2594610" cy="1811655"/>
                  <wp:effectExtent l="0" t="0" r="15240" b="17145"/>
                  <wp:docPr id="39" name="图片 26" descr="DJI_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6" descr="DJI_0072"/>
                          <pic:cNvPicPr>
                            <a:picLocks noChangeAspect="1"/>
                          </pic:cNvPicPr>
                        </pic:nvPicPr>
                        <pic:blipFill>
                          <a:blip r:embed="rId24"/>
                          <a:stretch>
                            <a:fillRect/>
                          </a:stretch>
                        </pic:blipFill>
                        <pic:spPr>
                          <a:xfrm>
                            <a:off x="0" y="0"/>
                            <a:ext cx="2594610" cy="1811655"/>
                          </a:xfrm>
                          <a:prstGeom prst="rect">
                            <a:avLst/>
                          </a:prstGeom>
                          <a:noFill/>
                          <a:ln>
                            <a:noFill/>
                          </a:ln>
                        </pic:spPr>
                      </pic:pic>
                    </a:graphicData>
                  </a:graphic>
                </wp:inline>
              </w:drawing>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kern w:val="0"/>
                <w:szCs w:val="21"/>
                <w:highlight w:val="none"/>
                <w:lang w:eastAsia="zh-CN"/>
              </w:rPr>
            </w:pPr>
            <w:r>
              <w:rPr>
                <w:rFonts w:ascii="Times New Roman" w:hAnsi="Times New Roman" w:cs="Times New Roman"/>
                <w:color w:val="auto"/>
                <w:highlight w:val="none"/>
              </w:rPr>
              <mc:AlternateContent>
                <mc:Choice Requires="wps">
                  <w:drawing>
                    <wp:anchor distT="0" distB="0" distL="114300" distR="114300" simplePos="0" relativeHeight="251673600" behindDoc="0" locked="0" layoutInCell="1" allowOverlap="1">
                      <wp:simplePos x="0" y="0"/>
                      <wp:positionH relativeFrom="column">
                        <wp:posOffset>1350010</wp:posOffset>
                      </wp:positionH>
                      <wp:positionV relativeFrom="paragraph">
                        <wp:posOffset>1590675</wp:posOffset>
                      </wp:positionV>
                      <wp:extent cx="1249045" cy="302895"/>
                      <wp:effectExtent l="0" t="0" r="0" b="0"/>
                      <wp:wrapNone/>
                      <wp:docPr id="73"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6.3pt;margin-top:125.25pt;height:23.85pt;width:98.35pt;z-index:251673600;mso-width-relative:page;mso-height-relative:page;" filled="f" stroked="f" coordsize="21600,21600" o:gfxdata="UEsDBAoAAAAAAIdO4kAAAAAAAAAAAAAAAAAEAAAAZHJzL1BLAwQUAAAACACHTuJAwUrri9gAAAAL&#10;AQAADwAAAGRycy9kb3ducmV2LnhtbE2Py07DMBBF90j8gzVI3VE7aVM1IU4XILaglofEzo2nSUQ8&#10;jmK3CX/PdAW7eRzdOVPuZteLC46h86QhWSoQSLW3HTUa3t+e77cgQjRkTe8JNfxggF11e1OawvqJ&#10;9ng5xEZwCIXCaGhjHAopQ92iM2HpByTenfzoTOR2bKQdzcThrpepUhvpTEd8oTUDPrZYfx/OTsPH&#10;y+nrc61emyeXDZOflSSXS60Xd4l6ABFxjn8wXPVZHSp2Ovoz2SB6DWmSbhjlIlMZCCbWKl+BOPIk&#10;36Ygq1L+/6H6BVBLAwQUAAAACACHTuJAUh+O/LoBAABgAwAADgAAAGRycy9lMm9Eb2MueG1srVNL&#10;jhMxEN0jcQfLe+JOzwAzrXRGQtGwQYA0cADHbacttT9UOenOBeAGrNiw51w5B2Unk4FhMws27nJ9&#10;XtV75V7cTG5gOw1og2/5fFZxpr0KnfWbln/+dPviijNM0ndyCF63fK+R3yyfP1uMsdF16MPQaWAE&#10;4rEZY8v7lGIjBKpeO4mzELWnoAngZKIrbEQHciR0N4i6ql6JMUAXISiNSN7VMchPiPAUwGCMVXoV&#10;1NZpn46ooAeZiBL2NiJflmmN0Sp9MAZ1YkPLiWkqJzUhe51PsVzIZgMy9ladRpBPGeERJyetp6Zn&#10;qJVMkm3B/gPlrIKAwaSZCk4ciRRFiMW8eqTNXS+jLlxIaoxn0fH/war3u4/AbNfy1xeceelo44fv&#10;3w4/fh1+fmX1/PJllmiM2FDmXaTcNL0JEz2cez+SMzOfDLj8JU6M4iTw/iywnhJTuai+vK4IkimK&#10;XVT11XWBFw/VETC91cGxbLQcaIFFV7l7h4kmodT7lNzMh1s7DGWJg//LQYnZI/LoxxGzlab1dOKz&#10;Dt2e6Iy0+5bjl60Ezdk2gt301LjQK8UkfGl7eiR5s3/eS4uHH2P5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FK64vYAAAACwEAAA8AAAAAAAAAAQAgAAAAIgAAAGRycy9kb3ducmV2LnhtbFBLAQIU&#10;ABQAAAAIAIdO4kBSH478ugEAAGADAAAOAAAAAAAAAAEAIAAAACcBAABkcnMvZTJvRG9jLnhtbFBL&#10;BQYAAAAABgAGAFkBAABTBQ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hint="eastAsia" w:ascii="Times New Roman" w:hAnsi="Times New Roman" w:cs="Times New Roman"/>
                <w:color w:val="auto"/>
                <w:kern w:val="0"/>
                <w:szCs w:val="21"/>
                <w:highlight w:val="none"/>
                <w:lang w:eastAsia="zh-CN"/>
              </w:rPr>
              <w:drawing>
                <wp:inline distT="0" distB="0" distL="114300" distR="114300">
                  <wp:extent cx="2594610" cy="1851025"/>
                  <wp:effectExtent l="0" t="0" r="15240" b="15875"/>
                  <wp:docPr id="31" name="图片 14" descr="DJI_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4" descr="DJI_0077"/>
                          <pic:cNvPicPr>
                            <a:picLocks noChangeAspect="1"/>
                          </pic:cNvPicPr>
                        </pic:nvPicPr>
                        <pic:blipFill>
                          <a:blip r:embed="rId25"/>
                          <a:stretch>
                            <a:fillRect/>
                          </a:stretch>
                        </pic:blipFill>
                        <pic:spPr>
                          <a:xfrm>
                            <a:off x="0" y="0"/>
                            <a:ext cx="2594610" cy="1851025"/>
                          </a:xfrm>
                          <a:prstGeom prst="rect">
                            <a:avLst/>
                          </a:prstGeom>
                          <a:noFill/>
                          <a:ln>
                            <a:noFill/>
                          </a:ln>
                        </pic:spPr>
                      </pic:pic>
                    </a:graphicData>
                  </a:graphic>
                </wp:inline>
              </w:drawing>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金马分干管位置</w:t>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kern w:val="0"/>
                <w:szCs w:val="21"/>
                <w:highlight w:val="none"/>
                <w:lang w:eastAsia="zh-CN"/>
              </w:rPr>
            </w:pPr>
            <w:r>
              <w:rPr>
                <w:rFonts w:hint="eastAsia" w:ascii="Times New Roman" w:hAnsi="Times New Roman" w:cs="Times New Roman"/>
                <w:color w:val="auto"/>
                <w:kern w:val="0"/>
                <w:szCs w:val="21"/>
                <w:highlight w:val="none"/>
                <w:lang w:eastAsia="zh-CN"/>
              </w:rPr>
              <w:t>金马分干管周边河道现状</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highlight w:val="none"/>
                <w:lang w:eastAsia="zh-CN"/>
              </w:rPr>
            </w:pPr>
            <w:r>
              <w:rPr>
                <w:rFonts w:ascii="Times New Roman" w:hAnsi="Times New Roman" w:cs="Times New Roman"/>
                <w:color w:val="auto"/>
                <w:highlight w:val="none"/>
              </w:rPr>
              <mc:AlternateContent>
                <mc:Choice Requires="wps">
                  <w:drawing>
                    <wp:anchor distT="0" distB="0" distL="114300" distR="114300" simplePos="0" relativeHeight="251670528" behindDoc="0" locked="0" layoutInCell="1" allowOverlap="1">
                      <wp:simplePos x="0" y="0"/>
                      <wp:positionH relativeFrom="column">
                        <wp:posOffset>1410335</wp:posOffset>
                      </wp:positionH>
                      <wp:positionV relativeFrom="paragraph">
                        <wp:posOffset>1578610</wp:posOffset>
                      </wp:positionV>
                      <wp:extent cx="1249045" cy="302895"/>
                      <wp:effectExtent l="0" t="0" r="0" b="0"/>
                      <wp:wrapNone/>
                      <wp:docPr id="70"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11.05pt;margin-top:124.3pt;height:23.85pt;width:98.35pt;z-index:251670528;mso-width-relative:page;mso-height-relative:page;" filled="f" stroked="f" coordsize="21600,21600" o:gfxdata="UEsDBAoAAAAAAIdO4kAAAAAAAAAAAAAAAAAEAAAAZHJzL1BLAwQUAAAACACHTuJAnmuxVNgAAAAL&#10;AQAADwAAAGRycy9kb3ducmV2LnhtbE2PQU/DMAyF70j8h8hI3FjSUqqua7oDiCuIDZC4ZY3XVmuc&#10;qsnW8u8xJ7jZfk/P36u2ixvEBafQe9KQrBQIpMbbnloN7/vnuwJEiIasGTyhhm8MsK2vrypTWj/T&#10;G152sRUcQqE0GroYx1LK0HToTFj5EYm1o5+cibxOrbSTmTncDTJVKpfO9MQfOjPiY4fNaXd2Gj5e&#10;jl+fmXptn9zDOPtFSXJrqfXtTaI2ICIu8c8Mv/iMDjUzHfyZbBCDhjRNE7bykBU5CHZkScFlDnxZ&#10;5/cg60r+71D/AFBLAwQUAAAACACHTuJAibCuNLkBAABgAwAADgAAAGRycy9lMm9Eb2MueG1srVPN&#10;jtMwEL4j8Q6W79RpWGA3aroSqpYLAqSFB3Adu7EUe4zHbdIXgDfgxIU7z9Xn2LHb7cJy2QMXZzw/&#10;38z3jbO4ntzAdjqiBd/y+aziTHsFnfWbln/5fPPikjNM0ndyAK9bvtfIr5fPny3G0Ogaehg6HRmB&#10;eGzG0PI+pdAIgarXTuIMgvYUNBCdTHSNG9FFORK6G0RdVa/FCLELEZRGJO/qGOQnxPgUQDDGKr0C&#10;tXXapyNq1INMRAl7G5Avy7TGaJU+GoM6saHlxDSVk5qQvc6nWC5ks4ky9FadRpBPGeERJyetp6Zn&#10;qJVMkm2j/QfKWRUBwaSZAieORIoixGJePdLmtpdBFy4kNYaz6Pj/YNWH3afIbNfyNySJl442fvjx&#10;/fDz9+HXN1bPL15licaADWXeBspN01uY6OHc+5Gcmflkostf4sQoTmj7s8B6SkzlovriqiJIpij2&#10;sqovrwq8eKgOEdM7DY5lo+WRFlh0lbv3mGgSSr1Pyc083NhhKEsc/F8OSswekUc/jpitNK2nE581&#10;dHuiM9LuW45ftzJqzrYh2k1PjQu9UkzCl7anR5I3++e9tHj4MZZ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muxVNgAAAALAQAADwAAAAAAAAABACAAAAAiAAAAZHJzL2Rvd25yZXYueG1sUEsBAhQA&#10;FAAAAAgAh07iQImwrjS5AQAAYAMAAA4AAAAAAAAAAQAgAAAAJwEAAGRycy9lMm9Eb2MueG1sUEsF&#10;BgAAAAAGAAYAWQEAAFIFA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hint="eastAsia" w:ascii="Times New Roman" w:hAnsi="Times New Roman" w:cs="Times New Roman"/>
                <w:color w:val="auto"/>
                <w:highlight w:val="none"/>
                <w:lang w:eastAsia="zh-CN"/>
              </w:rPr>
              <w:drawing>
                <wp:inline distT="0" distB="0" distL="114300" distR="114300">
                  <wp:extent cx="2594610" cy="1833880"/>
                  <wp:effectExtent l="0" t="0" r="15240" b="13970"/>
                  <wp:docPr id="32" name="图片 16" descr="DJI_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 descr="DJI_0085"/>
                          <pic:cNvPicPr>
                            <a:picLocks noChangeAspect="1"/>
                          </pic:cNvPicPr>
                        </pic:nvPicPr>
                        <pic:blipFill>
                          <a:blip r:embed="rId26"/>
                          <a:stretch>
                            <a:fillRect/>
                          </a:stretch>
                        </pic:blipFill>
                        <pic:spPr>
                          <a:xfrm>
                            <a:off x="0" y="0"/>
                            <a:ext cx="2594610" cy="1833880"/>
                          </a:xfrm>
                          <a:prstGeom prst="rect">
                            <a:avLst/>
                          </a:prstGeom>
                          <a:noFill/>
                          <a:ln>
                            <a:noFill/>
                          </a:ln>
                        </pic:spPr>
                      </pic:pic>
                    </a:graphicData>
                  </a:graphic>
                </wp:inline>
              </w:drawing>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kern w:val="0"/>
                <w:szCs w:val="21"/>
                <w:highlight w:val="none"/>
                <w:lang w:eastAsia="zh-CN"/>
              </w:rPr>
            </w:pPr>
            <w:r>
              <w:rPr>
                <w:rFonts w:ascii="Times New Roman" w:hAnsi="Times New Roman" w:cs="Times New Roman"/>
                <w:color w:val="auto"/>
                <w:highlight w:val="none"/>
              </w:rPr>
              <mc:AlternateContent>
                <mc:Choice Requires="wps">
                  <w:drawing>
                    <wp:anchor distT="0" distB="0" distL="114300" distR="114300" simplePos="0" relativeHeight="251671552" behindDoc="0" locked="0" layoutInCell="1" allowOverlap="1">
                      <wp:simplePos x="0" y="0"/>
                      <wp:positionH relativeFrom="column">
                        <wp:posOffset>1381760</wp:posOffset>
                      </wp:positionH>
                      <wp:positionV relativeFrom="paragraph">
                        <wp:posOffset>1580515</wp:posOffset>
                      </wp:positionV>
                      <wp:extent cx="1249045" cy="302895"/>
                      <wp:effectExtent l="0" t="0" r="0" b="0"/>
                      <wp:wrapNone/>
                      <wp:docPr id="71"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8.8pt;margin-top:124.45pt;height:23.85pt;width:98.35pt;z-index:251671552;mso-width-relative:page;mso-height-relative:page;" filled="f" stroked="f" coordsize="21600,21600" o:gfxdata="UEsDBAoAAAAAAIdO4kAAAAAAAAAAAAAAAAAEAAAAZHJzL1BLAwQUAAAACACHTuJAVbtfgdgAAAAL&#10;AQAADwAAAGRycy9kb3ducmV2LnhtbE2Py07DMBBF90j9B2sqsaN2SghNiNNFEVsQ5SGxc+NpEjUe&#10;R7HbhL9nWMFuHkd3zpTb2fXigmPoPGlIVgoEUu1tR42G97enmw2IEA1Z03tCDd8YYFstrkpTWD/R&#10;K172sREcQqEwGtoYh0LKULfoTFj5AYl3Rz86E7kdG2lHM3G46+VaqUw60xFfaM2Auxbr0/7sNHw8&#10;H78+U/XSPLq7YfKzkuRyqfX1MlEPICLO8Q+GX31Wh4qdDv5MNohewzq5zxjlIt3kIJhIk/QWxIEn&#10;eZaBrEr5/4fqB1BLAwQUAAAACACHTuJAwNVOc7oBAABgAwAADgAAAGRycy9lMm9Eb2MueG1srVNL&#10;jhMxEN0jcQfLe+JOM8BMK52RUDRsECANHMBxV6ct+YfLSXcuADdgxYY958o5puxkMjBsZsHGXa7P&#10;q3qv3IvryRq2g4jau5bPZxVn4JTvtNu0/MvnmxeXnGGSrpPGO2j5HpBfL58/W4yhgdoP3nQQGYE4&#10;bMbQ8iGl0AiBagArceYDOAr2PlqZ6Bo3ootyJHRrRF1Vr8XoYxeiV4BI3tUxyE+I8SmAvu+1gpVX&#10;WwsuHVEjGJmIEg46IF+WafseVPrY9wiJmZYT01ROakL2Op9iuZDNJsowaHUaQT5lhEecrNSOmp6h&#10;VjJJto36HyirVfTo+zRT3oojkaIIsZhXj7S5HWSAwoWkxnAWHf8frPqw+xSZ7lr+Zs6Zk5Y2fvjx&#10;/fDz9+HXN1bPL15licaADWXeBspN01s/0cO59yM5M/OpjzZ/iROjOAm8PwsMU2IqF9UXVxVBMkWx&#10;l1V9eVXgxUN1iJjegbcsGy2PtMCiq9y9x0STUOp9Sm7m/I02pizRuL8clJg9Io9+HDFbaVpPJz5r&#10;3+2Jzki7bzl+3coInG1D1JuBGhd6pZiEL21PjyRv9s97afHwYyzv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FW7X4HYAAAACwEAAA8AAAAAAAAAAQAgAAAAIgAAAGRycy9kb3ducmV2LnhtbFBLAQIU&#10;ABQAAAAIAIdO4kDA1U5zugEAAGADAAAOAAAAAAAAAAEAIAAAACcBAABkcnMvZTJvRG9jLnhtbFBL&#10;BQYAAAAABgAGAFkBAABTBQ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hint="eastAsia" w:ascii="Times New Roman" w:hAnsi="Times New Roman" w:cs="Times New Roman"/>
                <w:color w:val="auto"/>
                <w:kern w:val="0"/>
                <w:szCs w:val="21"/>
                <w:highlight w:val="none"/>
                <w:lang w:eastAsia="zh-CN"/>
              </w:rPr>
              <w:drawing>
                <wp:inline distT="0" distB="0" distL="114300" distR="114300">
                  <wp:extent cx="2594610" cy="1802130"/>
                  <wp:effectExtent l="0" t="0" r="15240" b="7620"/>
                  <wp:docPr id="33" name="图片 17" descr="DJI_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7" descr="DJI_0081"/>
                          <pic:cNvPicPr>
                            <a:picLocks noChangeAspect="1"/>
                          </pic:cNvPicPr>
                        </pic:nvPicPr>
                        <pic:blipFill>
                          <a:blip r:embed="rId27"/>
                          <a:stretch>
                            <a:fillRect/>
                          </a:stretch>
                        </pic:blipFill>
                        <pic:spPr>
                          <a:xfrm>
                            <a:off x="0" y="0"/>
                            <a:ext cx="2594610" cy="1802130"/>
                          </a:xfrm>
                          <a:prstGeom prst="rect">
                            <a:avLst/>
                          </a:prstGeom>
                          <a:noFill/>
                          <a:ln>
                            <a:noFill/>
                          </a:ln>
                        </pic:spPr>
                      </pic:pic>
                    </a:graphicData>
                  </a:graphic>
                </wp:inline>
              </w:drawing>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金马分干管周边农田</w:t>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kern w:val="0"/>
                <w:szCs w:val="21"/>
                <w:highlight w:val="none"/>
                <w:lang w:eastAsia="zh-CN"/>
              </w:rPr>
            </w:pPr>
            <w:r>
              <w:rPr>
                <w:rFonts w:hint="eastAsia" w:ascii="Times New Roman" w:hAnsi="Times New Roman" w:cs="Times New Roman"/>
                <w:color w:val="auto"/>
                <w:kern w:val="0"/>
                <w:szCs w:val="21"/>
                <w:highlight w:val="none"/>
                <w:lang w:eastAsia="zh-CN"/>
              </w:rPr>
              <w:t>金马分干管周边山体植被</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highlight w:val="none"/>
                <w:lang w:eastAsia="zh-CN"/>
              </w:rPr>
            </w:pPr>
            <w:r>
              <w:rPr>
                <w:rFonts w:ascii="Times New Roman" w:hAnsi="Times New Roman" w:cs="Times New Roman"/>
                <w:color w:val="auto"/>
                <w:highlight w:val="none"/>
              </w:rPr>
              <mc:AlternateContent>
                <mc:Choice Requires="wps">
                  <w:drawing>
                    <wp:anchor distT="0" distB="0" distL="114300" distR="114300" simplePos="0" relativeHeight="251676672" behindDoc="0" locked="0" layoutInCell="1" allowOverlap="1">
                      <wp:simplePos x="0" y="0"/>
                      <wp:positionH relativeFrom="column">
                        <wp:posOffset>1412240</wp:posOffset>
                      </wp:positionH>
                      <wp:positionV relativeFrom="paragraph">
                        <wp:posOffset>1744345</wp:posOffset>
                      </wp:positionV>
                      <wp:extent cx="1249045" cy="302895"/>
                      <wp:effectExtent l="0" t="0" r="0" b="0"/>
                      <wp:wrapNone/>
                      <wp:docPr id="76"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11.2pt;margin-top:137.35pt;height:23.85pt;width:98.35pt;z-index:251676672;mso-width-relative:page;mso-height-relative:page;" filled="f" stroked="f" coordsize="21600,21600" o:gfxdata="UEsDBAoAAAAAAIdO4kAAAAAAAAAAAAAAAAAEAAAAZHJzL1BLAwQUAAAACACHTuJAr9efktgAAAAL&#10;AQAADwAAAGRycy9kb3ducmV2LnhtbE2PTU/DMAyG70j8h8hI3FjSUvbRNd0BxBXEGEi7ZY3XVmuc&#10;qsnW8u/xTnCz9T56/bjYTK4TFxxC60lDMlMgkCpvW6o17D5fH5YgQjRkTecJNfxggE15e1OY3PqR&#10;PvCyjbXgEgq50dDE2OdShqpBZ8LM90icHf3gTOR1qKUdzMjlrpOpUnPpTEt8oTE9PjdYnbZnp+Hr&#10;7bj/ztR7/eKe+tFPSpJbSa3v7xK1BhFxin8wXPVZHUp2Ovgz2SA6DWmaZozysMgWIJjIklUC4qDh&#10;8RrJspD/fyh/AVBLAwQUAAAACACHTuJAfumef7oBAABgAwAADgAAAGRycy9lMm9Eb2MueG1srVPN&#10;jtMwEL4j8Q6W79RpWJbdqOlKqFouCJAWHsB1nMaS7TEet0lfAN6AExfuPFefg7Hb7cJy2QMXZzw/&#10;38z3jbO4mZxlOx3RgG/5fFZxpr2CzvhNyz9/un1xxRkm6TtpweuW7zXym+XzZ4sxNLqGAWynIyMQ&#10;j80YWj6kFBohUA3aSZxB0J6CPUQnE13jRnRRjoTurKir6lKMELsQQWlE8q6OQX5CjE8BhL43Sq9A&#10;bZ326YgatZWJKOFgAvJlmbbvtUof+h51YrblxDSVk5qQvc6nWC5ks4kyDEadRpBPGeERJyeNp6Zn&#10;qJVMkm2j+QfKGRUBoU8zBU4ciRRFiMW8eqTN3SCDLlxIagxn0fH/war3u4+Rma7lry8589LRxg/f&#10;vx1+/Dr8/Mrq+cWrLNEYsKHMu0C5aXoDEz2cez+SMzOf+ujylzgxipPA+7PAekpM5aL64roiSKYo&#10;9rKqr64LvHioDhHTWw2OZaPlkRZYdJW7d5hoEkq9T8nNPNwaa8sSrf/LQYnZI/LoxxGzlab1dOKz&#10;hm5PdEbafcvxy1ZGzdk2RLMZqHGhV4pJ+NL29EjyZv+8lxYPP8b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K/Xn5LYAAAACwEAAA8AAAAAAAAAAQAgAAAAIgAAAGRycy9kb3ducmV2LnhtbFBLAQIU&#10;ABQAAAAIAIdO4kB+6Z5/ugEAAGADAAAOAAAAAAAAAAEAIAAAACcBAABkcnMvZTJvRG9jLnhtbFBL&#10;BQYAAAAABgAGAFkBAABTBQ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hint="eastAsia" w:ascii="Times New Roman" w:hAnsi="Times New Roman" w:cs="Times New Roman"/>
                <w:color w:val="auto"/>
                <w:kern w:val="0"/>
                <w:szCs w:val="21"/>
                <w:highlight w:val="none"/>
                <w:lang w:eastAsia="zh-CN"/>
              </w:rPr>
              <w:drawing>
                <wp:inline distT="0" distB="0" distL="114300" distR="114300">
                  <wp:extent cx="2628900" cy="2047240"/>
                  <wp:effectExtent l="0" t="0" r="0" b="10160"/>
                  <wp:docPr id="34" name="图片 18" descr="IMG_20231129_17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8" descr="IMG_20231129_171107"/>
                          <pic:cNvPicPr>
                            <a:picLocks noChangeAspect="1"/>
                          </pic:cNvPicPr>
                        </pic:nvPicPr>
                        <pic:blipFill>
                          <a:blip r:embed="rId28"/>
                          <a:stretch>
                            <a:fillRect/>
                          </a:stretch>
                        </pic:blipFill>
                        <pic:spPr>
                          <a:xfrm>
                            <a:off x="0" y="0"/>
                            <a:ext cx="2628900" cy="2047240"/>
                          </a:xfrm>
                          <a:prstGeom prst="rect">
                            <a:avLst/>
                          </a:prstGeom>
                          <a:noFill/>
                          <a:ln>
                            <a:noFill/>
                          </a:ln>
                        </pic:spPr>
                      </pic:pic>
                    </a:graphicData>
                  </a:graphic>
                </wp:inline>
              </w:drawing>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kern w:val="0"/>
                <w:szCs w:val="21"/>
                <w:highlight w:val="none"/>
                <w:lang w:eastAsia="zh-CN"/>
              </w:rPr>
            </w:pPr>
            <w:r>
              <w:rPr>
                <w:rFonts w:ascii="Times New Roman" w:hAnsi="Times New Roman" w:cs="Times New Roman"/>
                <w:color w:val="auto"/>
                <w:highlight w:val="none"/>
              </w:rPr>
              <mc:AlternateContent>
                <mc:Choice Requires="wps">
                  <w:drawing>
                    <wp:anchor distT="0" distB="0" distL="114300" distR="114300" simplePos="0" relativeHeight="251677696" behindDoc="0" locked="0" layoutInCell="1" allowOverlap="1">
                      <wp:simplePos x="0" y="0"/>
                      <wp:positionH relativeFrom="column">
                        <wp:posOffset>1373505</wp:posOffset>
                      </wp:positionH>
                      <wp:positionV relativeFrom="paragraph">
                        <wp:posOffset>1841500</wp:posOffset>
                      </wp:positionV>
                      <wp:extent cx="1249045" cy="302895"/>
                      <wp:effectExtent l="0" t="0" r="0" b="0"/>
                      <wp:wrapNone/>
                      <wp:docPr id="77"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8.15pt;margin-top:145pt;height:23.85pt;width:98.35pt;z-index:251677696;mso-width-relative:page;mso-height-relative:page;" filled="f" stroked="f" coordsize="21600,21600" o:gfxdata="UEsDBAoAAAAAAIdO4kAAAAAAAAAAAAAAAAAEAAAAZHJzL1BLAwQUAAAACACHTuJA0a6retgAAAAL&#10;AQAADwAAAGRycy9kb3ducmV2LnhtbE2PzU7DMBCE70i8g7VIvVE7TelPiNMDqFcQbUHqzY23SUS8&#10;jmK3CW/PcqK3Ge2n2Zl8M7pWXLEPjScNyVSBQCq9bajScNhvH1cgQjRkTesJNfxggE1xf5ebzPqB&#10;PvC6i5XgEAqZ0VDH2GVShrJGZ8LUd0h8O/vemci2r6TtzcDhrpUzpRbSmYb4Q206fKmx/N5dnIbP&#10;t/Pxa67eq1f31A1+VJLcWmo9eUjUM4iIY/yH4a8+V4eCO538hWwQrYZZskgZZbFWPIqJeZKyOGlI&#10;0+USZJHL2w3FL1BLAwQUAAAACACHTuJAN4x+OLoBAABgAwAADgAAAGRycy9lMm9Eb2MueG1srVPN&#10;jtMwEL4j8Q6W79RpWNjdqOlKqFouCJAWHsB1nMaS7TEet0lfAN6AExfuPFefg7Hb7cJy2QMXZzw/&#10;38z3jbO4mZxlOx3RgG/5fFZxpr2CzvhNyz9/un1xxRkm6TtpweuW7zXym+XzZ4sxNLqGAWynIyMQ&#10;j80YWj6kFBohUA3aSZxB0J6CPUQnE13jRnRRjoTurKir6rUYIXYhgtKI5F0dg/yEGJ8CCH1vlF6B&#10;2jrt0xE1aisTUcLBBOTLMm3fa5U+9D3qxGzLiWkqJzUhe51PsVzIZhNlGIw6jSCfMsIjTk4aT03P&#10;UCuZJNtG8w+UMyoCQp9mCpw4EimKEIt59Uibu0EGXbiQ1BjOouP/g1Xvdx8jM13LLy8589LRxg/f&#10;vx1+/Dr8/Mrq+cWrLNEYsKHMu0C5aXoDEz2cez+SMzOf+ujylzgxipPA+7PAekpM5aL64roiSKYo&#10;9rKqr64LvHioDhHTWw2OZaPlkRZYdJW7d5hoEkq9T8nNPNwaa8sSrf/LQYnZI/LoxxGzlab1dOKz&#10;hm5PdEbafcvxy1ZGzdk2RLMZqHGhV4pJ+NL29EjyZv+8lxYPP8b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NGuq3rYAAAACwEAAA8AAAAAAAAAAQAgAAAAIgAAAGRycy9kb3ducmV2LnhtbFBLAQIU&#10;ABQAAAAIAIdO4kA3jH44ugEAAGADAAAOAAAAAAAAAAEAIAAAACcBAABkcnMvZTJvRG9jLnhtbFBL&#10;BQYAAAAABgAGAFkBAABTBQ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hint="eastAsia" w:ascii="Times New Roman" w:hAnsi="Times New Roman" w:cs="Times New Roman"/>
                <w:color w:val="auto"/>
                <w:kern w:val="0"/>
                <w:szCs w:val="21"/>
                <w:highlight w:val="none"/>
                <w:lang w:eastAsia="zh-CN"/>
              </w:rPr>
              <w:drawing>
                <wp:inline distT="0" distB="0" distL="114300" distR="114300">
                  <wp:extent cx="2628900" cy="2087245"/>
                  <wp:effectExtent l="0" t="0" r="0" b="8255"/>
                  <wp:docPr id="36" name="图片 20" descr="IMG_20231129_155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0" descr="IMG_20231129_155108"/>
                          <pic:cNvPicPr>
                            <a:picLocks noChangeAspect="1"/>
                          </pic:cNvPicPr>
                        </pic:nvPicPr>
                        <pic:blipFill>
                          <a:blip r:embed="rId29"/>
                          <a:stretch>
                            <a:fillRect/>
                          </a:stretch>
                        </pic:blipFill>
                        <pic:spPr>
                          <a:xfrm>
                            <a:off x="0" y="0"/>
                            <a:ext cx="2628900" cy="2087245"/>
                          </a:xfrm>
                          <a:prstGeom prst="rect">
                            <a:avLst/>
                          </a:prstGeom>
                          <a:noFill/>
                          <a:ln>
                            <a:noFill/>
                          </a:ln>
                        </pic:spPr>
                      </pic:pic>
                    </a:graphicData>
                  </a:graphic>
                </wp:inline>
              </w:drawing>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kern w:val="0"/>
                <w:szCs w:val="21"/>
                <w:highlight w:val="none"/>
                <w:lang w:eastAsia="zh-CN"/>
              </w:rPr>
            </w:pPr>
            <w:r>
              <w:rPr>
                <w:rFonts w:hint="eastAsia" w:ascii="Times New Roman" w:hAnsi="Times New Roman" w:cs="Times New Roman"/>
                <w:color w:val="auto"/>
                <w:kern w:val="0"/>
                <w:szCs w:val="21"/>
                <w:highlight w:val="none"/>
                <w:lang w:eastAsia="zh-CN"/>
              </w:rPr>
              <w:t>管道穿越河道处</w:t>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kern w:val="0"/>
                <w:szCs w:val="21"/>
                <w:highlight w:val="none"/>
                <w:lang w:eastAsia="zh-CN"/>
              </w:rPr>
            </w:pPr>
            <w:r>
              <w:rPr>
                <w:rFonts w:hint="eastAsia" w:ascii="Times New Roman" w:hAnsi="Times New Roman" w:cs="Times New Roman"/>
                <w:color w:val="auto"/>
                <w:kern w:val="0"/>
                <w:szCs w:val="21"/>
                <w:highlight w:val="none"/>
                <w:lang w:eastAsia="zh-CN"/>
              </w:rPr>
              <w:t>平坦管材堆放场</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kern w:val="0"/>
                <w:szCs w:val="21"/>
                <w:highlight w:val="none"/>
                <w:lang w:eastAsia="zh-CN"/>
              </w:rPr>
            </w:pPr>
            <w:r>
              <w:rPr>
                <w:rFonts w:ascii="Times New Roman" w:hAnsi="Times New Roman" w:cs="Times New Roman"/>
                <w:color w:val="auto"/>
                <w:highlight w:val="none"/>
              </w:rPr>
              <mc:AlternateContent>
                <mc:Choice Requires="wps">
                  <w:drawing>
                    <wp:anchor distT="0" distB="0" distL="114300" distR="114300" simplePos="0" relativeHeight="251678720" behindDoc="0" locked="0" layoutInCell="1" allowOverlap="1">
                      <wp:simplePos x="0" y="0"/>
                      <wp:positionH relativeFrom="column">
                        <wp:posOffset>1363980</wp:posOffset>
                      </wp:positionH>
                      <wp:positionV relativeFrom="paragraph">
                        <wp:posOffset>1664335</wp:posOffset>
                      </wp:positionV>
                      <wp:extent cx="1249045" cy="302895"/>
                      <wp:effectExtent l="0" t="0" r="0" b="0"/>
                      <wp:wrapNone/>
                      <wp:docPr id="78"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7.4pt;margin-top:131.05pt;height:23.85pt;width:98.35pt;z-index:251678720;mso-width-relative:page;mso-height-relative:page;" filled="f" stroked="f" coordsize="21600,21600" o:gfxdata="UEsDBAoAAAAAAIdO4kAAAAAAAAAAAAAAAAAEAAAAZHJzL1BLAwQUAAAACACHTuJA0Kk869gAAAAL&#10;AQAADwAAAGRycy9kb3ducmV2LnhtbE2PzU7DMBCE70i8g7VI3KjtkFZtGqcHEFcQ5UfqzY23SUS8&#10;jmK3CW/PcoLbjnY08025m30vLjjGLpABvVAgkOrgOmoMvL893a1BxGTJ2T4QGvjGCLvq+qq0hQsT&#10;veJlnxrBIRQLa6BNaSikjHWL3sZFGJD4dwqjt4nl2Eg32onDfS8zpVbS2464obUDPrRYf+3P3sDH&#10;8+nwmauX5tEvhynMSpLfSGNub7Tagkg4pz8z/OIzOlTMdAxnclH0BjKdM3riY5VpEOzItV6COBq4&#10;V5s1yKqU/zdUP1BLAwQUAAAACACHTuJAApA+ZroBAABgAwAADgAAAGRycy9lMm9Eb2MueG1srVPN&#10;jtMwEL4j8Q6W79RpWGA3aroSqpYLAqSFB3Adu7EUe4zHbdIXgDfgxIU7z9Xn2LHb7cJy2QMXZzw/&#10;38z3jbO4ntzAdjqiBd/y+aziTHsFnfWbln/5fPPikjNM0ndyAK9bvtfIr5fPny3G0Ogaehg6HRmB&#10;eGzG0PI+pdAIgarXTuIMgvYUNBCdTHSNG9FFORK6G0RdVa/FCLELEZRGJO/qGOQnxPgUQDDGKr0C&#10;tXXapyNq1INMRAl7G5Avy7TGaJU+GoM6saHlxDSVk5qQvc6nWC5ks4ky9FadRpBPGeERJyetp6Zn&#10;qJVMkm2j/QfKWRUBwaSZAieORIoixGJePdLmtpdBFy4kNYaz6Pj/YNWH3afIbNfyN7R3Lx1t/PDj&#10;++Hn78Ovb6yeX7zKEo0BG8q8DZSbprcw0cO59yM5M/PJRJe/xIlRnATenwXWU2IqF9UXVxVBMkWx&#10;l1V9eVXgxUN1iJjeaXAsGy2PtMCiq9y9x0STUOp9Sm7m4cYOQ1ni4P9yUGL2iDz6ccRspWk9nfis&#10;odsTnZF233L8upVRc7YN0W56alzolWISvrQ9PZK82T/vpcXDj7G8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NCpPOvYAAAACwEAAA8AAAAAAAAAAQAgAAAAIgAAAGRycy9kb3ducmV2LnhtbFBLAQIU&#10;ABQAAAAIAIdO4kACkD5mugEAAGADAAAOAAAAAAAAAAEAIAAAACcBAABkcnMvZTJvRG9jLnhtbFBL&#10;BQYAAAAABgAGAFkBAABTBQ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hint="eastAsia" w:ascii="Times New Roman" w:hAnsi="Times New Roman" w:cs="Times New Roman"/>
                <w:color w:val="auto"/>
                <w:kern w:val="0"/>
                <w:szCs w:val="21"/>
                <w:highlight w:val="none"/>
                <w:lang w:eastAsia="zh-CN"/>
              </w:rPr>
              <w:drawing>
                <wp:inline distT="0" distB="0" distL="114300" distR="114300">
                  <wp:extent cx="2628900" cy="1971675"/>
                  <wp:effectExtent l="0" t="0" r="0" b="9525"/>
                  <wp:docPr id="37" name="图片 21" descr="IMG_20231129_16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1" descr="IMG_20231129_162045"/>
                          <pic:cNvPicPr>
                            <a:picLocks noChangeAspect="1"/>
                          </pic:cNvPicPr>
                        </pic:nvPicPr>
                        <pic:blipFill>
                          <a:blip r:embed="rId30"/>
                          <a:stretch>
                            <a:fillRect/>
                          </a:stretch>
                        </pic:blipFill>
                        <pic:spPr>
                          <a:xfrm>
                            <a:off x="0" y="0"/>
                            <a:ext cx="2628900" cy="1971675"/>
                          </a:xfrm>
                          <a:prstGeom prst="rect">
                            <a:avLst/>
                          </a:prstGeom>
                          <a:noFill/>
                          <a:ln>
                            <a:noFill/>
                          </a:ln>
                        </pic:spPr>
                      </pic:pic>
                    </a:graphicData>
                  </a:graphic>
                </wp:inline>
              </w:drawing>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kern w:val="0"/>
                <w:szCs w:val="21"/>
                <w:highlight w:val="none"/>
                <w:lang w:eastAsia="zh-CN"/>
              </w:rPr>
            </w:pPr>
            <w:r>
              <w:rPr>
                <w:rFonts w:ascii="Times New Roman" w:hAnsi="Times New Roman" w:cs="Times New Roman"/>
                <w:color w:val="auto"/>
                <w:highlight w:val="none"/>
              </w:rPr>
              <mc:AlternateContent>
                <mc:Choice Requires="wps">
                  <w:drawing>
                    <wp:anchor distT="0" distB="0" distL="114300" distR="114300" simplePos="0" relativeHeight="251679744" behindDoc="0" locked="0" layoutInCell="1" allowOverlap="1">
                      <wp:simplePos x="0" y="0"/>
                      <wp:positionH relativeFrom="column">
                        <wp:posOffset>1349375</wp:posOffset>
                      </wp:positionH>
                      <wp:positionV relativeFrom="paragraph">
                        <wp:posOffset>1624330</wp:posOffset>
                      </wp:positionV>
                      <wp:extent cx="1249045" cy="302895"/>
                      <wp:effectExtent l="0" t="0" r="0" b="0"/>
                      <wp:wrapNone/>
                      <wp:docPr id="79"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6.25pt;margin-top:127.9pt;height:23.85pt;width:98.35pt;z-index:251679744;mso-width-relative:page;mso-height-relative:page;" filled="f" stroked="f" coordsize="21600,21600" o:gfxdata="UEsDBAoAAAAAAIdO4kAAAAAAAAAAAAAAAAAEAAAAZHJzL1BLAwQUAAAACACHTuJABQl1O9cAAAAL&#10;AQAADwAAAGRycy9kb3ducmV2LnhtbE2PwU7DMAyG70i8Q2Qkbixpt6CtNN0BxBXEBki7ZY3XVjRO&#10;1WRreXvMCW62/On395fb2ffigmPsAhnIFgoEUh1cR42B9/3z3RpETJac7QOhgW+MsK2ur0pbuDDR&#10;G152qREcQrGwBtqUhkLKWLfobVyEAYlvpzB6m3gdG+lGO3G472Wu1L30tiP+0NoBH1usv3Znb+Dj&#10;5XT4XKnX5snrYQqzkuQ30pjbm0w9gEg4pz8YfvVZHSp2OoYzuSh6A3mWa0Z50Jo7MLFSmxzE0cBS&#10;LTXIqpT/O1Q/UEsDBBQAAAAIAIdO4kBL9d4hugEAAGADAAAOAAAAZHJzL2Uyb0RvYy54bWytU0tu&#10;2zAQ3RfIHQjuY8pq2saC5QCFkWyKtkDaA9AUaRHgLxzaki/Q3qCrbrrvuXyODGnHaZNNFtlQw/m8&#10;mfeGml+N1pCtjKC9a+l0UlEinfCdduuWfv92fX5JCSTuOm68ky3dSaBXi7M38yE0sva9N52MBEEc&#10;NENoaZ9SaBgD0UvLYeKDdBhUPlqe8BrXrIt8QHRrWF1V79ngYxeiFxIAvctDkB4R40sAvVJayKUX&#10;GytdOqBGaXhCStDrAHRRplVKivRFKZCJmJYi01RObIL2Kp9sMefNOvLQa3Ecgb9khCecLNcOm56g&#10;ljxxson6GZTVInrwKk2Et+xApCiCLKbVE21uex5k4YJSQziJDq8HKz5vv0aiu5Z+mFHiuMWN73/9&#10;3P/+u//zg9TTi3dZoiFAg5m3AXPT+NGP+HAe/IDOzHxU0eYvciIYR4F3J4HlmIjIRfXFrEJIIjD2&#10;tqovZwWePVaHCOlGekuy0dKICyy68u0nSDgJpj6k5GbOX2tjyhKN+8+BidnD8uiHEbOVxtV45LPy&#10;3Q7pDLj7lsLdhkdJySZEve6xcaFXilH40vb4SPJm/72XFo8/xuI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BQl1O9cAAAALAQAADwAAAAAAAAABACAAAAAiAAAAZHJzL2Rvd25yZXYueG1sUEsBAhQA&#10;FAAAAAgAh07iQEv13iG6AQAAYAMAAA4AAAAAAAAAAQAgAAAAJgEAAGRycy9lMm9Eb2MueG1sUEsF&#10;BgAAAAAGAAYAWQEAAFIFA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hint="eastAsia" w:ascii="Times New Roman" w:hAnsi="Times New Roman" w:cs="Times New Roman"/>
                <w:color w:val="auto"/>
                <w:kern w:val="0"/>
                <w:szCs w:val="21"/>
                <w:highlight w:val="none"/>
                <w:lang w:eastAsia="zh-CN"/>
              </w:rPr>
              <w:drawing>
                <wp:inline distT="0" distB="0" distL="114300" distR="114300">
                  <wp:extent cx="2594610" cy="1945640"/>
                  <wp:effectExtent l="0" t="0" r="15240" b="16510"/>
                  <wp:docPr id="38" name="图片 22" descr="DJI_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2" descr="DJI_0102"/>
                          <pic:cNvPicPr>
                            <a:picLocks noChangeAspect="1"/>
                          </pic:cNvPicPr>
                        </pic:nvPicPr>
                        <pic:blipFill>
                          <a:blip r:embed="rId31"/>
                          <a:stretch>
                            <a:fillRect/>
                          </a:stretch>
                        </pic:blipFill>
                        <pic:spPr>
                          <a:xfrm>
                            <a:off x="0" y="0"/>
                            <a:ext cx="2594610" cy="1945640"/>
                          </a:xfrm>
                          <a:prstGeom prst="rect">
                            <a:avLst/>
                          </a:prstGeom>
                          <a:noFill/>
                          <a:ln>
                            <a:noFill/>
                          </a:ln>
                        </pic:spPr>
                      </pic:pic>
                    </a:graphicData>
                  </a:graphic>
                </wp:inline>
              </w:drawing>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kern w:val="0"/>
                <w:szCs w:val="21"/>
                <w:highlight w:val="none"/>
                <w:lang w:eastAsia="zh-CN"/>
              </w:rPr>
            </w:pPr>
            <w:r>
              <w:rPr>
                <w:rFonts w:hint="eastAsia" w:ascii="Times New Roman" w:hAnsi="Times New Roman" w:cs="Times New Roman"/>
                <w:color w:val="auto"/>
                <w:kern w:val="0"/>
                <w:szCs w:val="21"/>
                <w:highlight w:val="none"/>
                <w:lang w:eastAsia="zh-CN"/>
              </w:rPr>
              <w:t>白秧树村管材堆放场</w:t>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kern w:val="0"/>
                <w:szCs w:val="21"/>
                <w:highlight w:val="none"/>
                <w:lang w:eastAsia="zh-CN"/>
              </w:rPr>
            </w:pPr>
            <w:r>
              <w:rPr>
                <w:rFonts w:hint="eastAsia" w:ascii="Times New Roman" w:hAnsi="Times New Roman" w:cs="Times New Roman"/>
                <w:color w:val="auto"/>
                <w:kern w:val="0"/>
                <w:szCs w:val="21"/>
                <w:highlight w:val="none"/>
                <w:lang w:eastAsia="zh-CN"/>
              </w:rPr>
              <w:t>白秧树村泵站提水管道</w:t>
            </w:r>
            <w:r>
              <w:rPr>
                <w:rFonts w:hint="eastAsia" w:cs="Times New Roman"/>
                <w:color w:val="auto"/>
                <w:kern w:val="0"/>
                <w:szCs w:val="21"/>
                <w:highlight w:val="none"/>
                <w:lang w:eastAsia="zh-CN"/>
              </w:rPr>
              <w:t>（</w:t>
            </w:r>
            <w:r>
              <w:rPr>
                <w:rFonts w:hint="eastAsia" w:cs="Times New Roman"/>
                <w:color w:val="auto"/>
                <w:kern w:val="0"/>
                <w:szCs w:val="21"/>
                <w:highlight w:val="none"/>
                <w:lang w:val="en-US" w:eastAsia="zh-CN"/>
              </w:rPr>
              <w:t>沿路</w:t>
            </w:r>
            <w:r>
              <w:rPr>
                <w:rFonts w:hint="eastAsia" w:cs="Times New Roman"/>
                <w:color w:val="auto"/>
                <w:kern w:val="0"/>
                <w:szCs w:val="21"/>
                <w:highlight w:val="none"/>
                <w:lang w:eastAsia="zh-CN"/>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36"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kern w:val="0"/>
                <w:szCs w:val="21"/>
                <w:highlight w:val="none"/>
                <w:lang w:eastAsia="zh-CN"/>
              </w:rPr>
            </w:pPr>
            <w:r>
              <w:rPr>
                <w:rFonts w:ascii="Times New Roman" w:hAnsi="Times New Roman" w:cs="Times New Roman"/>
                <w:color w:val="auto"/>
                <w:highlight w:val="none"/>
              </w:rPr>
              <mc:AlternateContent>
                <mc:Choice Requires="wps">
                  <w:drawing>
                    <wp:anchor distT="0" distB="0" distL="114300" distR="114300" simplePos="0" relativeHeight="251680768" behindDoc="0" locked="0" layoutInCell="1" allowOverlap="1">
                      <wp:simplePos x="0" y="0"/>
                      <wp:positionH relativeFrom="column">
                        <wp:posOffset>1396365</wp:posOffset>
                      </wp:positionH>
                      <wp:positionV relativeFrom="paragraph">
                        <wp:posOffset>2232025</wp:posOffset>
                      </wp:positionV>
                      <wp:extent cx="1249045" cy="302895"/>
                      <wp:effectExtent l="0" t="0" r="0" b="0"/>
                      <wp:wrapNone/>
                      <wp:docPr id="13"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9.95pt;margin-top:175.75pt;height:23.85pt;width:98.35pt;z-index:251680768;mso-width-relative:page;mso-height-relative:page;" filled="f" stroked="f" coordsize="21600,21600" o:gfxdata="UEsDBAoAAAAAAIdO4kAAAAAAAAAAAAAAAAAEAAAAZHJzL1BLAwQUAAAACACHTuJAOwLSFtgAAAAL&#10;AQAADwAAAGRycy9kb3ducmV2LnhtbE2PwU7DMAyG70i8Q2QkbixJWSvSNd0BxBXEBki7ZU3WVjRO&#10;1WRreXvMCY62P/3+/mq7+IFd3BT7gBrkSgBz2ATbY6vhff989wAsJoPWDAGdhm8XYVtfX1WmtGHG&#10;N3fZpZZRCMbSaOhSGkvOY9M5b+IqjA7pdgqTN4nGqeV2MjOF+4FnQhTcmx7pQ2dG99i55mt39ho+&#10;Xk6Hz7V4bZ98Ps5hERy94lrf3kixAZbckv5g+NUndajJ6RjOaCMbNGRSKUI13OcyB0bEWhYFsCNt&#10;lMqA1xX/36H+AVBLAwQUAAAACACHTuJAtEgc37kBAABgAwAADgAAAGRycy9lMm9Eb2MueG1srVPN&#10;bhMxEL4j8Q6W78SbbUHtKptKKCoXBEilD+B4vVlL/mPGyW5eAN6AExfuPFeeg7GTplAuPXDxjufn&#10;m/m+8S5uJmfZTgOa4Fs+n1Wcaa9CZ/ym5fefb19dcYZJ+k7a4HXL9xr5zfLli8UYG12HIdhOAyMQ&#10;j80YWz6kFBshUA3aSZyFqD0F+wBOJrrCRnQgR0J3VtRV9UaMAboIQWlE8q6OQX5ChOcAhr43Sq+C&#10;2jrt0xEVtJWJKOFgIvJlmbbvtUof+x51YrblxDSVk5qQvc6nWC5kswEZB6NOI8jnjPCEk5PGU9Mz&#10;1EomybZg/oFyRkHA0KeZCk4ciRRFiMW8eqLN3SCjLlxIaoxn0fH/waoPu0/ATEcv4YIzLx1t/PD9&#10;2+HHr8PPr6yeX77OEo0RG8q8i5SbprdhovQHP5IzM596cPlLnBjFSeD9WWA9JaZyUX15XREkUxS7&#10;qOqr6wIvHqsjYHqng2PZaDnQAouucvceE01CqQ8puZkPt8baskTr/3JQYvaIPPpxxGylaT2d+KxD&#10;tyc6I+2+5fhlK0Fzto1gNgM1LvRKMQlf2p4eSd7sn/fS4vHHWP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OwLSFtgAAAALAQAADwAAAAAAAAABACAAAAAiAAAAZHJzL2Rvd25yZXYueG1sUEsBAhQA&#10;FAAAAAgAh07iQLRIHN+5AQAAYAMAAA4AAAAAAAAAAQAgAAAAJwEAAGRycy9lMm9Eb2MueG1sUEsF&#10;BgAAAAAGAAYAWQEAAFIFA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hint="eastAsia" w:ascii="Times New Roman" w:hAnsi="Times New Roman" w:cs="Times New Roman"/>
                <w:color w:val="auto"/>
                <w:kern w:val="0"/>
                <w:szCs w:val="21"/>
                <w:highlight w:val="none"/>
                <w:lang w:eastAsia="zh-CN"/>
              </w:rPr>
              <w:drawing>
                <wp:inline distT="0" distB="0" distL="114300" distR="114300">
                  <wp:extent cx="2543175" cy="2685415"/>
                  <wp:effectExtent l="0" t="0" r="635" b="9525"/>
                  <wp:docPr id="10" name="图片 10" descr="1bc61ea6eb319830984ad2c602a6c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bc61ea6eb319830984ad2c602a6c41"/>
                          <pic:cNvPicPr>
                            <a:picLocks noChangeAspect="1"/>
                          </pic:cNvPicPr>
                        </pic:nvPicPr>
                        <pic:blipFill>
                          <a:blip r:embed="rId32"/>
                          <a:srcRect l="9263"/>
                          <a:stretch>
                            <a:fillRect/>
                          </a:stretch>
                        </pic:blipFill>
                        <pic:spPr>
                          <a:xfrm rot="5400000">
                            <a:off x="0" y="0"/>
                            <a:ext cx="2543175" cy="2685415"/>
                          </a:xfrm>
                          <a:prstGeom prst="rect">
                            <a:avLst/>
                          </a:prstGeom>
                        </pic:spPr>
                      </pic:pic>
                    </a:graphicData>
                  </a:graphic>
                </wp:inline>
              </w:drawing>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color w:val="auto"/>
                <w:kern w:val="0"/>
                <w:szCs w:val="21"/>
                <w:highlight w:val="none"/>
                <w:lang w:eastAsia="zh-CN"/>
              </w:rPr>
            </w:pPr>
            <w:r>
              <w:rPr>
                <w:rFonts w:ascii="Times New Roman" w:hAnsi="Times New Roman" w:cs="Times New Roman"/>
                <w:color w:val="auto"/>
                <w:highlight w:val="none"/>
              </w:rPr>
              <mc:AlternateContent>
                <mc:Choice Requires="wps">
                  <w:drawing>
                    <wp:anchor distT="0" distB="0" distL="114300" distR="114300" simplePos="0" relativeHeight="251681792" behindDoc="0" locked="0" layoutInCell="1" allowOverlap="1">
                      <wp:simplePos x="0" y="0"/>
                      <wp:positionH relativeFrom="column">
                        <wp:posOffset>1356360</wp:posOffset>
                      </wp:positionH>
                      <wp:positionV relativeFrom="paragraph">
                        <wp:posOffset>2249170</wp:posOffset>
                      </wp:positionV>
                      <wp:extent cx="1249045" cy="302895"/>
                      <wp:effectExtent l="0" t="0" r="0" b="0"/>
                      <wp:wrapNone/>
                      <wp:docPr id="14"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6.8pt;margin-top:177.1pt;height:23.85pt;width:98.35pt;z-index:251681792;mso-width-relative:page;mso-height-relative:page;" filled="f" stroked="f" coordsize="21600,21600" o:gfxdata="UEsDBAoAAAAAAIdO4kAAAAAAAAAAAAAAAAAEAAAAZHJzL1BLAwQUAAAACACHTuJASR59SdgAAAAL&#10;AQAADwAAAGRycy9kb3ducmV2LnhtbE2PTU/DMAyG70j8h8hI3FiStptYaboDiCuI8SFxyxqvrWic&#10;qsnW8u8xJ7jZ8qPXz1vtFj+IM06xD2RArxQIpCa4nloDb6+PN7cgYrLk7BAIDXxjhF19eVHZ0oWZ&#10;XvC8T63gEIqlNdClNJZSxqZDb+MqjEh8O4bJ28Tr1Eo32ZnD/SAzpTbS2574Q2dHvO+w+dqfvIH3&#10;p+PnR6Ge2we/HuewKEl+K425vtLqDkTCJf3B8KvP6lCz0yGcyEUxGMh0vmHUQL4uMhBMFFrlIA48&#10;KL0FWVfyf4f6B1BLAwQUAAAACACHTuJACnTM07kBAABgAwAADgAAAGRycy9lMm9Eb2MueG1srVPN&#10;jtMwEL4j8Q6W79RpKGg3aroSqpYLAqSFB3Adu7EUe4zHbdIXgDfgxIU7z9XnYOx2u7Bc9sDFGc/P&#10;N/N94yxvJjewvY5owbd8Pqs4015BZ/225Z8/3b644gyT9J0cwOuWHzTym9XzZ8sxNLqGHoZOR0Yg&#10;HpsxtLxPKTRCoOq1kziDoD0FDUQnE13jVnRRjoTuBlFX1WsxQuxCBKURybs+BfkZMT4FEIyxSq9B&#10;7Zz26YQa9SATUcLeBuSrMq0xWqUPxqBObGg5MU3lpCZkb/IpVkvZbKMMvVXnEeRTRnjEyUnrqekF&#10;ai2TZLto/4FyVkVAMGmmwIkTkaIIsZhXj7S562XQhQtJjeEiOv4/WPV+/zEy29FLWHDmpaONH79/&#10;O/74dfz5ldXzxass0Riwocy7QLlpegMTpd/7kZyZ+WSiy1/ixChOAh8uAuspMZWL6sV1RZBMUexl&#10;VV9dF3jxUB0iprcaHMtGyyMtsOgq9+8w0SSUep+Sm3m4tcNQljj4vxyUmD0ij34aMVtp2kxnPhvo&#10;DkRnpN23HL/sZNSc7UK0254aF3qlmIQvbc+PJG/2z3tp8fBjr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SR59SdgAAAALAQAADwAAAAAAAAABACAAAAAiAAAAZHJzL2Rvd25yZXYueG1sUEsBAhQA&#10;FAAAAAgAh07iQAp0zNO5AQAAYAMAAA4AAAAAAAAAAQAgAAAAJwEAAGRycy9lMm9Eb2MueG1sUEsF&#10;BgAAAAAGAAYAWQEAAFIFA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rFonts w:hint="eastAsia" w:ascii="Times New Roman" w:hAnsi="Times New Roman" w:cs="Times New Roman"/>
                <w:color w:val="auto"/>
                <w:kern w:val="0"/>
                <w:szCs w:val="21"/>
                <w:highlight w:val="none"/>
                <w:lang w:eastAsia="zh-CN"/>
              </w:rPr>
              <w:drawing>
                <wp:inline distT="0" distB="0" distL="114300" distR="114300">
                  <wp:extent cx="2534920" cy="2623820"/>
                  <wp:effectExtent l="0" t="0" r="5080" b="17780"/>
                  <wp:docPr id="11" name="图片 11" descr="289ed3a98f3321e969f06edeb22d4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89ed3a98f3321e969f06edeb22d4d2"/>
                          <pic:cNvPicPr>
                            <a:picLocks noChangeAspect="1"/>
                          </pic:cNvPicPr>
                        </pic:nvPicPr>
                        <pic:blipFill>
                          <a:blip r:embed="rId33"/>
                          <a:srcRect l="5932"/>
                          <a:stretch>
                            <a:fillRect/>
                          </a:stretch>
                        </pic:blipFill>
                        <pic:spPr>
                          <a:xfrm rot="5400000">
                            <a:off x="0" y="0"/>
                            <a:ext cx="2534920" cy="2623820"/>
                          </a:xfrm>
                          <a:prstGeom prst="rect">
                            <a:avLst/>
                          </a:prstGeom>
                        </pic:spPr>
                      </pic:pic>
                    </a:graphicData>
                  </a:graphic>
                </wp:inline>
              </w:drawing>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kern w:val="0"/>
                <w:szCs w:val="21"/>
                <w:highlight w:val="none"/>
                <w:lang w:val="en-US" w:eastAsia="zh-CN"/>
              </w:rPr>
            </w:pPr>
            <w:r>
              <w:rPr>
                <w:rFonts w:hint="eastAsia" w:cs="Times New Roman"/>
                <w:color w:val="0000FF"/>
                <w:kern w:val="0"/>
                <w:szCs w:val="21"/>
                <w:highlight w:val="none"/>
                <w:lang w:val="en-US" w:eastAsia="zh-CN"/>
              </w:rPr>
              <w:t>现场踏勘照片1</w:t>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kern w:val="0"/>
                <w:szCs w:val="21"/>
                <w:highlight w:val="none"/>
                <w:lang w:val="en-US" w:eastAsia="zh-CN"/>
              </w:rPr>
            </w:pPr>
            <w:r>
              <w:rPr>
                <w:rFonts w:hint="eastAsia" w:cs="Times New Roman"/>
                <w:color w:val="0000FF"/>
                <w:kern w:val="0"/>
                <w:szCs w:val="21"/>
                <w:highlight w:val="none"/>
                <w:lang w:val="en-US" w:eastAsia="zh-CN"/>
              </w:rPr>
              <w:t>现场踏勘照片2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cs="Times New Roman"/>
                <w:color w:val="0000FF"/>
                <w:kern w:val="0"/>
                <w:szCs w:val="21"/>
                <w:highlight w:val="none"/>
                <w:lang w:val="en-US" w:eastAsia="zh-CN"/>
              </w:rPr>
            </w:pPr>
            <w:r>
              <w:rPr>
                <w:rFonts w:ascii="Times New Roman" w:hAnsi="Times New Roman" w:cs="Times New Roman"/>
                <w:color w:val="0000FF"/>
                <w:highlight w:val="none"/>
              </w:rPr>
              <mc:AlternateContent>
                <mc:Choice Requires="wps">
                  <w:drawing>
                    <wp:anchor distT="0" distB="0" distL="114300" distR="114300" simplePos="0" relativeHeight="251682816" behindDoc="0" locked="0" layoutInCell="1" allowOverlap="1">
                      <wp:simplePos x="0" y="0"/>
                      <wp:positionH relativeFrom="column">
                        <wp:posOffset>1375410</wp:posOffset>
                      </wp:positionH>
                      <wp:positionV relativeFrom="paragraph">
                        <wp:posOffset>2336165</wp:posOffset>
                      </wp:positionV>
                      <wp:extent cx="1249045" cy="302895"/>
                      <wp:effectExtent l="0" t="0" r="0" b="0"/>
                      <wp:wrapNone/>
                      <wp:docPr id="49"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08.3pt;margin-top:183.95pt;height:23.85pt;width:98.35pt;z-index:251682816;mso-width-relative:page;mso-height-relative:page;" filled="f" stroked="f" coordsize="21600,21600" o:gfxdata="UEsDBAoAAAAAAIdO4kAAAAAAAAAAAAAAAAAEAAAAZHJzL1BLAwQUAAAACACHTuJAHiWFcdgAAAAL&#10;AQAADwAAAGRycy9kb3ducmV2LnhtbE2PTU/DMAyG70j8h8hI3FjSdQus1N0BxBXE+JC4ZY3XVjRO&#10;1WRr+fdkJ7jZ8qPXz1tuZ9eLE42h84yQLRQI4trbjhuE97enmzsQIRq2pvdMCD8UYFtdXpSmsH7i&#10;VzrtYiNSCIfCILQxDoWUoW7JmbDwA3G6HfzoTEzr2Eg7mimFu14uldLSmY7Th9YM9NBS/b07OoSP&#10;58PX50q9NI9uPUx+VpLdRiJeX2XqHkSkOf7BcNZP6lAlp70/sg2iR1hmWicUIde3GxCJWGV5DmJ/&#10;HtYaZFXK/x2qX1BLAwQUAAAACACHTuJAuN4XMLoBAABgAwAADgAAAGRycy9lMm9Eb2MueG1srVNL&#10;btswEN0XyB0I7mPKilvEguUAhZFsgrZA2gPQFGkR4C8c2pIv0N6gq26677l8jg5px2nTTRbdUMP5&#10;vJn3hlrcjNaQnYygvWvpdFJRIp3wnXabln75fHt5TQkk7jpuvJMt3UugN8uLN4shNLL2vTedjARB&#10;HDRDaGmfUmgYA9FLy2Hig3QYVD5anvAaN6yLfEB0a1hdVe/Y4GMXohcSAL2rY5CeEONrAL1SWsiV&#10;F1srXTqiRml4QkrQ6wB0WaZVSor0USmQiZiWItNUTmyC9jqfbLngzSby0GtxGoG/ZoQXnCzXDpue&#10;oVY8cbKN+h8oq0X04FWaCG/ZkUhRBFlMqxfaPPQ8yMIFpYZwFh3+H6z4sPsUie5aOptT4rjFjR++&#10;fzv8+HX4+ZXU09nbLNEQoMHMh4C5aXzvR3w4T35AZ2Y+qmjzFzkRjKPA+7PAckxE5KJ6Nq8QkgiM&#10;XVX19bzAs+fqECHdSW9JNloacYFFV767h4STYOpTSm7m/K02pizRuL8cmJg9LI9+HDFbaVyPJz5r&#10;3+2RzoC7byk8bnmUlGxD1JseGxd6pRiFL21PjyRv9s97afH8Y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B4lhXHYAAAACwEAAA8AAAAAAAAAAQAgAAAAIgAAAGRycy9kb3ducmV2LnhtbFBLAQIU&#10;ABQAAAAIAIdO4kC43hcwugEAAGADAAAOAAAAAAAAAAEAIAAAACcBAABkcnMvZTJvRG9jLnhtbFBL&#10;BQYAAAAABgAGAFkBAABTBQ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color w:val="0000FF"/>
              </w:rPr>
              <w:drawing>
                <wp:inline distT="0" distB="0" distL="114300" distR="114300">
                  <wp:extent cx="2674620" cy="2656840"/>
                  <wp:effectExtent l="0" t="0" r="11430" b="1016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4"/>
                          <a:stretch>
                            <a:fillRect/>
                          </a:stretch>
                        </pic:blipFill>
                        <pic:spPr>
                          <a:xfrm>
                            <a:off x="0" y="0"/>
                            <a:ext cx="2674620" cy="2656840"/>
                          </a:xfrm>
                          <a:prstGeom prst="rect">
                            <a:avLst/>
                          </a:prstGeom>
                          <a:noFill/>
                          <a:ln>
                            <a:noFill/>
                          </a:ln>
                        </pic:spPr>
                      </pic:pic>
                    </a:graphicData>
                  </a:graphic>
                </wp:inline>
              </w:drawing>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cs="Times New Roman"/>
                <w:color w:val="0000FF"/>
                <w:kern w:val="0"/>
                <w:szCs w:val="21"/>
                <w:highlight w:val="none"/>
                <w:lang w:val="en-US" w:eastAsia="zh-CN"/>
              </w:rPr>
            </w:pPr>
            <w:r>
              <w:rPr>
                <w:rFonts w:ascii="Times New Roman" w:hAnsi="Times New Roman" w:cs="Times New Roman"/>
                <w:color w:val="0000FF"/>
                <w:highlight w:val="none"/>
              </w:rPr>
              <mc:AlternateContent>
                <mc:Choice Requires="wps">
                  <w:drawing>
                    <wp:anchor distT="0" distB="0" distL="114300" distR="114300" simplePos="0" relativeHeight="251683840" behindDoc="0" locked="0" layoutInCell="1" allowOverlap="1">
                      <wp:simplePos x="0" y="0"/>
                      <wp:positionH relativeFrom="column">
                        <wp:posOffset>1421765</wp:posOffset>
                      </wp:positionH>
                      <wp:positionV relativeFrom="paragraph">
                        <wp:posOffset>2289810</wp:posOffset>
                      </wp:positionV>
                      <wp:extent cx="1249045" cy="302895"/>
                      <wp:effectExtent l="0" t="0" r="0" b="0"/>
                      <wp:wrapNone/>
                      <wp:docPr id="50"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11.95pt;margin-top:180.3pt;height:23.85pt;width:98.35pt;z-index:251683840;mso-width-relative:page;mso-height-relative:page;" filled="f" stroked="f" coordsize="21600,21600" o:gfxdata="UEsDBAoAAAAAAIdO4kAAAAAAAAAAAAAAAAAEAAAAZHJzL1BLAwQUAAAACACHTuJAcVIew9cAAAAL&#10;AQAADwAAAGRycy9kb3ducmV2LnhtbE2PwU7DMAyG70h7h8iTuLFk7ai20nSHTVxBbIDELWu8tqJx&#10;qiZby9vjneD2W/70+3OxnVwnrjiE1pOG5UKBQKq8banW8H58fliDCNGQNZ0n1PCDAbbl7K4wufUj&#10;veH1EGvBJRRyo6GJsc+lDFWDzoSF75F4d/aDM5HHoZZ2MCOXu04mSmXSmZb4QmN63DVYfR8uTsPH&#10;y/nrc6Ve67177Ec/KUluI7W+ny/VE4iIU/yD4abP6lCy08lfyAbRaUiSdMOohjRTGQgmVsktnDio&#10;dQqyLOT/H8pfUEsDBBQAAAAIAIdO4kArgiAquQEAAGADAAAOAAAAZHJzL2Uyb0RvYy54bWytU81u&#10;EzEQviPxDpbvZDdLi9pVNpVQVC4IkEofwPGOs5b8h8fJbl4A3oATF+48V56DsZOmUC49cPGO5+eb&#10;+b7xLm4ma9gOImrvOj6f1ZyBk77XbtPx+8+3r644wyRcL4x30PE9IL9ZvnyxGEMLjR+86SEyAnHY&#10;jqHjQ0qhrSqUA1iBMx/AUVD5aEWia9xUfRQjoVtTNXX9php97EP0EhDJuzoG+QkxPgfQK6UlrLzc&#10;WnDpiBrBiESUcNAB+bJMqxTI9FEphMRMx4lpKic1IXudz2q5EO0mijBoeRpBPGeEJ5ys0I6anqFW&#10;Igm2jfofKKtl9OhVmklvqyORogixmNdPtLkbRIDChaTGcBYd/x+s/LD7FJnuO35JkjhhaeOH798O&#10;P34dfn5lzfziMks0Bmwp8y5Qbpre+okezoMfyZmZTyra/CVOjOKEtj8LDFNiMhc1F9c1QTJJsdd1&#10;c3Vd4KvH6hAxvQNvWTY6HmmBRVexe4+JJqHUh5TczPlbbUxZonF/OSgxe6o8+nHEbKVpPZ34rH2/&#10;Jzoj7b7j+GUrInC2DVFvBmpc6JViEr60PT2SvNk/76XF44+x/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xUh7D1wAAAAsBAAAPAAAAAAAAAAEAIAAAACIAAABkcnMvZG93bnJldi54bWxQSwECFAAU&#10;AAAACACHTuJAK4IgKrkBAABgAwAADgAAAAAAAAABACAAAAAmAQAAZHJzL2Uyb0RvYy54bWxQSwUG&#10;AAAAAAYABgBZAQAAUQU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color w:val="0000FF"/>
              </w:rPr>
              <w:drawing>
                <wp:inline distT="0" distB="0" distL="114300" distR="114300">
                  <wp:extent cx="2682875" cy="2577465"/>
                  <wp:effectExtent l="0" t="0" r="3175" b="133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5"/>
                          <a:stretch>
                            <a:fillRect/>
                          </a:stretch>
                        </pic:blipFill>
                        <pic:spPr>
                          <a:xfrm>
                            <a:off x="0" y="0"/>
                            <a:ext cx="2682875" cy="2577465"/>
                          </a:xfrm>
                          <a:prstGeom prst="rect">
                            <a:avLst/>
                          </a:prstGeom>
                          <a:noFill/>
                          <a:ln>
                            <a:noFill/>
                          </a:ln>
                        </pic:spPr>
                      </pic:pic>
                    </a:graphicData>
                  </a:graphic>
                </wp:inline>
              </w:drawing>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cs="Times New Roman"/>
                <w:color w:val="0000FF"/>
                <w:kern w:val="0"/>
                <w:szCs w:val="21"/>
                <w:highlight w:val="none"/>
                <w:lang w:val="en-US" w:eastAsia="zh-CN"/>
              </w:rPr>
            </w:pPr>
            <w:r>
              <w:rPr>
                <w:rFonts w:hint="eastAsia" w:cs="Times New Roman"/>
                <w:color w:val="0000FF"/>
                <w:kern w:val="0"/>
                <w:szCs w:val="21"/>
                <w:highlight w:val="none"/>
                <w:lang w:val="en-US" w:eastAsia="zh-CN"/>
              </w:rPr>
              <w:t>评价区干热河谷灌丛</w:t>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cs="Times New Roman"/>
                <w:color w:val="0000FF"/>
                <w:kern w:val="0"/>
                <w:szCs w:val="21"/>
                <w:highlight w:val="none"/>
                <w:lang w:val="en-US" w:eastAsia="zh-CN"/>
              </w:rPr>
            </w:pPr>
            <w:r>
              <w:rPr>
                <w:rFonts w:hint="eastAsia" w:cs="Times New Roman"/>
                <w:color w:val="0000FF"/>
                <w:kern w:val="0"/>
                <w:szCs w:val="21"/>
                <w:highlight w:val="none"/>
                <w:lang w:val="en-US" w:eastAsia="zh-CN"/>
              </w:rPr>
              <w:t>评价区暖温性针叶林</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cs="Times New Roman"/>
                <w:color w:val="0000FF"/>
                <w:kern w:val="0"/>
                <w:szCs w:val="21"/>
                <w:highlight w:val="none"/>
                <w:lang w:val="en-US" w:eastAsia="zh-CN"/>
              </w:rPr>
            </w:pPr>
            <w:r>
              <w:rPr>
                <w:rFonts w:ascii="Times New Roman" w:hAnsi="Times New Roman" w:cs="Times New Roman"/>
                <w:color w:val="0000FF"/>
                <w:highlight w:val="none"/>
              </w:rPr>
              <mc:AlternateContent>
                <mc:Choice Requires="wps">
                  <w:drawing>
                    <wp:anchor distT="0" distB="0" distL="114300" distR="114300" simplePos="0" relativeHeight="251684864" behindDoc="0" locked="0" layoutInCell="1" allowOverlap="1">
                      <wp:simplePos x="0" y="0"/>
                      <wp:positionH relativeFrom="column">
                        <wp:posOffset>1405255</wp:posOffset>
                      </wp:positionH>
                      <wp:positionV relativeFrom="paragraph">
                        <wp:posOffset>1613535</wp:posOffset>
                      </wp:positionV>
                      <wp:extent cx="1249045" cy="302895"/>
                      <wp:effectExtent l="0" t="0" r="0" b="0"/>
                      <wp:wrapNone/>
                      <wp:docPr id="61"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10.65pt;margin-top:127.05pt;height:23.85pt;width:98.35pt;z-index:251684864;mso-width-relative:page;mso-height-relative:page;" filled="f" stroked="f" coordsize="21600,21600" o:gfxdata="UEsDBAoAAAAAAIdO4kAAAAAAAAAAAAAAAAAEAAAAZHJzL1BLAwQUAAAACACHTuJAwx/fbdcAAAAL&#10;AQAADwAAAGRycy9kb3ducmV2LnhtbE2PwU7DMAyG70i8Q2QkbixJ16FSmu4A4gpiAyRuWeO1FY1T&#10;Ndla3h5zgpstf/r9/dV28YM44xT7QAb0SoFAaoLrqTXwtn+6KUDEZMnZIRAa+MYI2/ryorKlCzO9&#10;4nmXWsEhFEtroEtpLKWMTYfexlUYkfh2DJO3ideplW6yM4f7QWZK3Upve+IPnR3xocPma3fyBt6f&#10;j58fuXppH/1mnMOiJPk7acz1lVb3IBIu6Q+GX31Wh5qdDuFELorBQJbpNaM8bHINgolcF9zuYGCt&#10;dAGyruT/DvUPUEsDBBQAAAAIAIdO4kCRzAl8ugEAAGADAAAOAAAAZHJzL2Uyb0RvYy54bWytU81u&#10;EzEQviPxDpbvxJulVO0qm0ooKhcESKUP4HjHWUvrHzxOdvMC8AacuHDnufIcjJ00hXLpgYt3PD/f&#10;zPeNd3Ez2YHtIKLxruXzWcUZOOU74zYtv/98++qKM0zSdXLwDlq+B+Q3y5cvFmNooPa9HzqIjEAc&#10;NmNoeZ9SaIRA1YOVOPMBHAW1j1YmusaN6KIcCd0Ooq6qSzH62IXoFSCSd3UM8hNifA6g19ooWHm1&#10;teDSETXCIBNRwt4E5Msyrdag0ketERIbWk5MUzmpCdnrfIrlQjabKENv1GkE+ZwRnnCy0jhqeoZa&#10;ySTZNpp/oKxR0aPXaaa8FUciRRFiMa+eaHPXywCFC0mN4Sw6/j9Y9WH3KTLTtfxyzpmTljZ++P7t&#10;8OPX4edXVs8v3mSJxoANZd4Fyk3TWz/Rw3nwIzkz80lHm7/EiVGcBN6fBYYpMZWL6ovriiCZotjr&#10;qr66LvDisTpETO/AW5aNlkdaYNFV7t5jokko9SElN3P+1gxDWeLg/nJQYvaIPPpxxGylaT2d+Kx9&#10;tyc6I+2+5fhlKyNwtg3RbHpqXOiVYhK+tD09krzZP++lxeOPsfw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wx/fbdcAAAALAQAADwAAAAAAAAABACAAAAAiAAAAZHJzL2Rvd25yZXYueG1sUEsBAhQA&#10;FAAAAAgAh07iQJHMCXy6AQAAYAMAAA4AAAAAAAAAAQAgAAAAJgEAAGRycy9lMm9Eb2MueG1sUEsF&#10;BgAAAAAGAAYAWQEAAFIFA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color w:val="0000FF"/>
              </w:rPr>
              <w:drawing>
                <wp:inline distT="0" distB="0" distL="114300" distR="114300">
                  <wp:extent cx="2697480" cy="1915795"/>
                  <wp:effectExtent l="0" t="0" r="7620" b="825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6"/>
                          <a:stretch>
                            <a:fillRect/>
                          </a:stretch>
                        </pic:blipFill>
                        <pic:spPr>
                          <a:xfrm>
                            <a:off x="0" y="0"/>
                            <a:ext cx="2697480" cy="1915795"/>
                          </a:xfrm>
                          <a:prstGeom prst="rect">
                            <a:avLst/>
                          </a:prstGeom>
                          <a:noFill/>
                          <a:ln>
                            <a:noFill/>
                          </a:ln>
                        </pic:spPr>
                      </pic:pic>
                    </a:graphicData>
                  </a:graphic>
                </wp:inline>
              </w:drawing>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cs="Times New Roman"/>
                <w:color w:val="0000FF"/>
                <w:kern w:val="0"/>
                <w:szCs w:val="21"/>
                <w:highlight w:val="none"/>
                <w:lang w:val="en-US" w:eastAsia="zh-CN"/>
              </w:rPr>
            </w:pPr>
            <w:r>
              <w:rPr>
                <w:rFonts w:ascii="Times New Roman" w:hAnsi="Times New Roman" w:cs="Times New Roman"/>
                <w:color w:val="0000FF"/>
                <w:highlight w:val="none"/>
              </w:rPr>
              <mc:AlternateContent>
                <mc:Choice Requires="wps">
                  <w:drawing>
                    <wp:anchor distT="0" distB="0" distL="114300" distR="114300" simplePos="0" relativeHeight="251685888" behindDoc="0" locked="0" layoutInCell="1" allowOverlap="1">
                      <wp:simplePos x="0" y="0"/>
                      <wp:positionH relativeFrom="column">
                        <wp:posOffset>1424940</wp:posOffset>
                      </wp:positionH>
                      <wp:positionV relativeFrom="paragraph">
                        <wp:posOffset>1586230</wp:posOffset>
                      </wp:positionV>
                      <wp:extent cx="1249045" cy="302895"/>
                      <wp:effectExtent l="0" t="0" r="0" b="0"/>
                      <wp:wrapNone/>
                      <wp:docPr id="62"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12.2pt;margin-top:124.9pt;height:23.85pt;width:98.35pt;z-index:251685888;mso-width-relative:page;mso-height-relative:page;" filled="f" stroked="f" coordsize="21600,21600" o:gfxdata="UEsDBAoAAAAAAIdO4kAAAAAAAAAAAAAAAAAEAAAAZHJzL1BLAwQUAAAACACHTuJAfZd/O9gAAAAL&#10;AQAADwAAAGRycy9kb3ducmV2LnhtbE2PzU7DMBCE70i8g7VI3KidyAWSxukBxBVE+ZF6c+NtEhGv&#10;o9htwtuznOC2uzOa/abaLn4QZ5xiH8hAtlIgkJrgemoNvL893dyDiMmSs0MgNPCNEbb15UVlSxdm&#10;esXzLrWCQyiW1kCX0lhKGZsOvY2rMCKxdgyTt4nXqZVusjOH+0HmSt1Kb3viD50d8aHD5mt38gY+&#10;no/7T61e2ke/HuewKEm+kMZcX2VqAyLhkv7M8IvP6FAz0yGcyEUxGMhzrdnKgy64Azt0nmUgDnwp&#10;7tYg60r+71D/AFBLAwQUAAAACACHTuJASmMptLoBAABgAwAADgAAAGRycy9lMm9Eb2MueG1srVPN&#10;bhMxEL4j8Q6W78SbpVTtKptKKCoXBEilD+B47ayltcd4nOzmBeANOHHhznPlORg7aQrl0gMX73h+&#10;vpnvG+/iZnID2+mIFnzL57OKM+0VdNZvWn7/+fbVFWeYpO/kAF63fK+R3yxfvliModE19DB0OjIC&#10;8diMoeV9SqERAlWvncQZBO0paCA6megaN6KLciR0N4i6qi7FCLELEZRGJO/qGOQnxPgcQDDGKr0C&#10;tXXapyNq1INMRAl7G5Avy7TGaJU+GoM6saHlxDSVk5qQvc6nWC5ks4ky9FadRpDPGeEJJyetp6Zn&#10;qJVMkm2j/QfKWRUBwaSZAieORIoixGJePdHmrpdBFy4kNYaz6Pj/YNWH3afIbNfyy5ozLx1t/PD9&#10;2+HHr8PPr6yeX7zJEo0BG8q8C5Sbprcw0cN58CM5M/PJRJe/xIlRnATenwXWU2IqF9UX1xVBMkWx&#10;11V9dV3gxWN1iJjeaXAsGy2PtMCiq9y9x0STUOpDSm7m4dYOQ1ni4P9yUGL2iDz6ccRspWk9nfis&#10;odsTnZF233L8spVRc7YN0W56alzolWISvrQ9PZK82T/vpcXjj7H8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H2XfzvYAAAACwEAAA8AAAAAAAAAAQAgAAAAIgAAAGRycy9kb3ducmV2LnhtbFBLAQIU&#10;ABQAAAAIAIdO4kBKYym0ugEAAGADAAAOAAAAAAAAAAEAIAAAACcBAABkcnMvZTJvRG9jLnhtbFBL&#10;BQYAAAAABgAGAFkBAABTBQ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color w:val="0000FF"/>
              </w:rPr>
              <w:drawing>
                <wp:inline distT="0" distB="0" distL="114300" distR="114300">
                  <wp:extent cx="2722245" cy="1900555"/>
                  <wp:effectExtent l="0" t="0" r="1905" b="444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7"/>
                          <a:stretch>
                            <a:fillRect/>
                          </a:stretch>
                        </pic:blipFill>
                        <pic:spPr>
                          <a:xfrm>
                            <a:off x="0" y="0"/>
                            <a:ext cx="2722245" cy="1900555"/>
                          </a:xfrm>
                          <a:prstGeom prst="rect">
                            <a:avLst/>
                          </a:prstGeom>
                          <a:noFill/>
                          <a:ln>
                            <a:noFill/>
                          </a:ln>
                        </pic:spPr>
                      </pic:pic>
                    </a:graphicData>
                  </a:graphic>
                </wp:inline>
              </w:drawing>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cs="Times New Roman"/>
                <w:color w:val="0000FF"/>
                <w:kern w:val="0"/>
                <w:szCs w:val="21"/>
                <w:highlight w:val="none"/>
                <w:lang w:val="en-US" w:eastAsia="zh-CN"/>
              </w:rPr>
            </w:pPr>
            <w:r>
              <w:rPr>
                <w:rFonts w:hint="eastAsia" w:cs="Times New Roman"/>
                <w:color w:val="0000FF"/>
                <w:kern w:val="0"/>
                <w:szCs w:val="21"/>
                <w:highlight w:val="none"/>
                <w:lang w:val="en-US" w:eastAsia="zh-CN"/>
              </w:rPr>
              <w:t>评价区干热河谷灌丛1</w:t>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cs="Times New Roman"/>
                <w:color w:val="0000FF"/>
                <w:kern w:val="0"/>
                <w:szCs w:val="21"/>
                <w:highlight w:val="none"/>
                <w:lang w:val="en-US" w:eastAsia="zh-CN"/>
              </w:rPr>
            </w:pPr>
            <w:r>
              <w:rPr>
                <w:rFonts w:hint="eastAsia" w:cs="Times New Roman"/>
                <w:color w:val="0000FF"/>
                <w:kern w:val="0"/>
                <w:szCs w:val="21"/>
                <w:highlight w:val="none"/>
                <w:lang w:val="en-US" w:eastAsia="zh-CN"/>
              </w:rPr>
              <w:t>评价区干热河谷灌丛2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cs="Times New Roman"/>
                <w:color w:val="0000FF"/>
                <w:kern w:val="0"/>
                <w:szCs w:val="21"/>
                <w:highlight w:val="none"/>
                <w:lang w:val="en-US" w:eastAsia="zh-CN"/>
              </w:rPr>
            </w:pPr>
            <w:r>
              <w:rPr>
                <w:rFonts w:ascii="Times New Roman" w:hAnsi="Times New Roman" w:cs="Times New Roman"/>
                <w:color w:val="0000FF"/>
                <w:highlight w:val="none"/>
              </w:rPr>
              <mc:AlternateContent>
                <mc:Choice Requires="wps">
                  <w:drawing>
                    <wp:anchor distT="0" distB="0" distL="114300" distR="114300" simplePos="0" relativeHeight="251686912" behindDoc="0" locked="0" layoutInCell="1" allowOverlap="1">
                      <wp:simplePos x="0" y="0"/>
                      <wp:positionH relativeFrom="column">
                        <wp:posOffset>1454150</wp:posOffset>
                      </wp:positionH>
                      <wp:positionV relativeFrom="paragraph">
                        <wp:posOffset>1628140</wp:posOffset>
                      </wp:positionV>
                      <wp:extent cx="1249045" cy="302895"/>
                      <wp:effectExtent l="0" t="0" r="0" b="0"/>
                      <wp:wrapNone/>
                      <wp:docPr id="80"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14.5pt;margin-top:128.2pt;height:23.85pt;width:98.35pt;z-index:251686912;mso-width-relative:page;mso-height-relative:page;" filled="f" stroked="f" coordsize="21600,21600" o:gfxdata="UEsDBAoAAAAAAIdO4kAAAAAAAAAAAAAAAAAEAAAAZHJzL1BLAwQUAAAACACHTuJAJ724EdkAAAAL&#10;AQAADwAAAGRycy9kb3ducmV2LnhtbE2PzU7DMBCE70h9B2srcaN2QlJoiNNDK64gyo/EzY23SUS8&#10;jmK3CW/PcoLbrGY0+025nV0vLjiGzpOGZKVAINXedtRoeHt9vLkHEaIha3pPqOEbA2yrxVVpCusn&#10;esHLITaCSygURkMb41BIGeoWnQkrPyCxd/KjM5HPsZF2NBOXu16mSq2lMx3xh9YMuGux/jqcnYb3&#10;p9PnR6aem73Lh8nPSpLbSK2vl4l6ABFxjn9h+MVndKiY6ejPZIPoNaTphrdEFvk6A8GJLM3vQBw1&#10;3KosAVmV8v+G6gdQSwMEFAAAAAgAh07iQLY0Q2K5AQAAYAMAAA4AAABkcnMvZTJvRG9jLnhtbK1T&#10;zY7TMBC+I/EOlu/UaVhQN2q6EqqWCwKkhQdwHbuxFHuMx23SF4A34MSFO8/V52DsdruwXPbAxRnP&#10;zzfzfeMsbyY3sL2OaMG3fD6rONNeQWf9tuWfP92+WHCGSfpODuB1yw8a+c3q+bPlGBpdQw9DpyMj&#10;EI/NGFrepxQaIVD12kmcQdCeggaik4mucSu6KEdCd4Ooq+q1GCF2IYLSiORdn4L8jBifAgjGWKXX&#10;oHZO+3RCjXqQiShhbwPyVZnWGK3SB2NQJza0nJimclITsjf5FKulbLZRht6q8wjyKSM84uSk9dT0&#10;ArWWSbJdtP9AOasiIJg0U+DEiUhRhFjMq0fa3PUy6MKFpMZwER3/H6x6v/8Yme1aviBJvHS08eP3&#10;b8cfv44/v7J6fvUqSzQGbCjzLlBumt7ARA/n3o/kzMwnE13+EidGcUI7XATWU2IqF9VX1xVBMkWx&#10;l1W9uC7w4qE6RExvNTiWjZZHWmDRVe7fYaJJKPU+JTfzcGuHoSxx8H85KDF7RB79NGK20rSZznw2&#10;0B2Izki7bzl+2cmoOduFaLc9NS70SjEJX9qeH0ne7J/30uLhx1j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Ce9uBHZAAAACwEAAA8AAAAAAAAAAQAgAAAAIgAAAGRycy9kb3ducmV2LnhtbFBLAQIU&#10;ABQAAAAIAIdO4kC2NENiuQEAAGADAAAOAAAAAAAAAAEAIAAAACgBAABkcnMvZTJvRG9jLnhtbFBL&#10;BQYAAAAABgAGAFkBAABTBQ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color w:val="0000FF"/>
              </w:rPr>
              <w:drawing>
                <wp:inline distT="0" distB="0" distL="114300" distR="114300">
                  <wp:extent cx="2696845" cy="1911350"/>
                  <wp:effectExtent l="0" t="0" r="8255" b="1270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8"/>
                          <a:stretch>
                            <a:fillRect/>
                          </a:stretch>
                        </pic:blipFill>
                        <pic:spPr>
                          <a:xfrm>
                            <a:off x="0" y="0"/>
                            <a:ext cx="2696845" cy="1911350"/>
                          </a:xfrm>
                          <a:prstGeom prst="rect">
                            <a:avLst/>
                          </a:prstGeom>
                          <a:noFill/>
                          <a:ln>
                            <a:noFill/>
                          </a:ln>
                        </pic:spPr>
                      </pic:pic>
                    </a:graphicData>
                  </a:graphic>
                </wp:inline>
              </w:drawing>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cs="Times New Roman"/>
                <w:color w:val="0000FF"/>
                <w:kern w:val="0"/>
                <w:szCs w:val="21"/>
                <w:highlight w:val="none"/>
                <w:lang w:val="en-US" w:eastAsia="zh-CN"/>
              </w:rPr>
            </w:pPr>
            <w:r>
              <w:rPr>
                <w:rFonts w:ascii="Times New Roman" w:hAnsi="Times New Roman" w:cs="Times New Roman"/>
                <w:color w:val="0000FF"/>
                <w:highlight w:val="none"/>
              </w:rPr>
              <mc:AlternateContent>
                <mc:Choice Requires="wps">
                  <w:drawing>
                    <wp:anchor distT="0" distB="0" distL="114300" distR="114300" simplePos="0" relativeHeight="251687936" behindDoc="0" locked="0" layoutInCell="1" allowOverlap="1">
                      <wp:simplePos x="0" y="0"/>
                      <wp:positionH relativeFrom="column">
                        <wp:posOffset>1473835</wp:posOffset>
                      </wp:positionH>
                      <wp:positionV relativeFrom="paragraph">
                        <wp:posOffset>1574800</wp:posOffset>
                      </wp:positionV>
                      <wp:extent cx="1249045" cy="302895"/>
                      <wp:effectExtent l="0" t="0" r="0" b="0"/>
                      <wp:wrapNone/>
                      <wp:docPr id="81" name="文本框 2145"/>
                      <wp:cNvGraphicFramePr/>
                      <a:graphic xmlns:a="http://schemas.openxmlformats.org/drawingml/2006/main">
                        <a:graphicData uri="http://schemas.microsoft.com/office/word/2010/wordprocessingShape">
                          <wps:wsp>
                            <wps:cNvSpPr txBox="1"/>
                            <wps:spPr>
                              <a:xfrm>
                                <a:off x="0" y="0"/>
                                <a:ext cx="1249045" cy="302895"/>
                              </a:xfrm>
                              <a:prstGeom prst="rect">
                                <a:avLst/>
                              </a:prstGeom>
                              <a:noFill/>
                              <a:ln>
                                <a:noFill/>
                              </a:ln>
                            </wps:spPr>
                            <wps:txb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wps:txbx>
                            <wps:bodyPr wrap="square" upright="1"/>
                          </wps:wsp>
                        </a:graphicData>
                      </a:graphic>
                    </wp:anchor>
                  </w:drawing>
                </mc:Choice>
                <mc:Fallback>
                  <w:pict>
                    <v:shape id="文本框 2145" o:spid="_x0000_s1026" o:spt="202" type="#_x0000_t202" style="position:absolute;left:0pt;margin-left:116.05pt;margin-top:124pt;height:23.85pt;width:98.35pt;z-index:251687936;mso-width-relative:page;mso-height-relative:page;" filled="f" stroked="f" coordsize="21600,21600" o:gfxdata="UEsDBAoAAAAAAIdO4kAAAAAAAAAAAAAAAAAEAAAAZHJzL1BLAwQUAAAACACHTuJAspyi39gAAAAL&#10;AQAADwAAAGRycy9kb3ducmV2LnhtbE2PQU/DMAyF70j7D5EncWNJSze60nQHEFcQYyBxyxqvrWic&#10;qsnW8u8xJ7jZfk/P3yt3s+vFBcfQedKQrBQIpNrbjhoNh7enmxxEiIas6T2hhm8MsKsWV6UprJ/o&#10;FS/72AgOoVAYDW2MQyFlqFt0Jqz8gMTayY/ORF7HRtrRTBzuepkqtZHOdMQfWjPgQ4v11/7sNLw/&#10;nz4/MvXSPLr1MPlZSXJbqfX1MlH3ICLO8c8Mv/iMDhUzHf2ZbBC9hvQ2TdjKQ5ZzKXZkac5ljnzZ&#10;ru9AVqX836H6AVBLAwQUAAAACACHTuJA/1GjJbkBAABgAwAADgAAAGRycy9lMm9Eb2MueG1srVPN&#10;jtMwEL4j8Q6W79RpWFA3aroSqpYLAqSFB3Adu7EUe4zHbdIXgDfgxIU7z9XnYOx2u7Bc9sDFGc/P&#10;N/N94yxvJjewvY5owbd8Pqs4015BZ/225Z8/3b5YcIZJ+k4O4HXLDxr5zer5s+UYGl1DD0OnIyMQ&#10;j80YWt6nFBohUPXaSZxB0J6CBqKTia5xK7ooR0J3g6ir6rUYIXYhgtKI5F2fgvyMGJ8CCMZYpdeg&#10;dk77dEKNepCJKGFvA/JVmdYYrdIHY1AnNrScmKZyUhOyN/kUq6VstlGG3qrzCPIpIzzi5KT11PQC&#10;tZZJsl20/0A5qyIgmDRT4MSJSFGEWMyrR9rc9TLowoWkxnARHf8frHq//xiZ7Vq+mHPmpaONH79/&#10;O/74dfz5ldXzq1dZojFgQ5l3gXLT9AYmejj3fiRnZj6Z6PKXODGKk8CHi8B6SkzlovrquiJIpij2&#10;sqoX1wVePFSHiOmtBsey0fJICyy6yv07TDQJpd6n5GYebu0wlCUO/i8HJWaPyKOfRsxWmjbTmc8G&#10;ugPRGWn3LccvOxk1Z7sQ7banxoVeKSbhS9vzI8mb/fNeWjz8GK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spyi39gAAAALAQAADwAAAAAAAAABACAAAAAiAAAAZHJzL2Rvd25yZXYueG1sUEsBAhQA&#10;FAAAAAgAh07iQP9RoyW5AQAAYAMAAA4AAAAAAAAAAQAgAAAAJwEAAGRycy9lMm9Eb2MueG1sUEsF&#10;BgAAAAAGAAYAWQEAAFIFAAAAAA==&#10;">
                      <v:fill on="f" focussize="0,0"/>
                      <v:stroke on="f"/>
                      <v:imagedata o:title=""/>
                      <o:lock v:ext="edit" aspectratio="f"/>
                      <v:textbox>
                        <w:txbxContent>
                          <w:p>
                            <w:pPr>
                              <w:rPr>
                                <w:rFonts w:hint="default" w:eastAsia="宋体"/>
                                <w:color w:val="FFFF00"/>
                                <w:lang w:val="en-US" w:eastAsia="zh-CN"/>
                              </w:rPr>
                            </w:pPr>
                            <w:r>
                              <w:rPr>
                                <w:rFonts w:hint="eastAsia"/>
                                <w:color w:val="FFFF00"/>
                              </w:rPr>
                              <w:t>202</w:t>
                            </w:r>
                            <w:r>
                              <w:rPr>
                                <w:rFonts w:hint="eastAsia"/>
                                <w:color w:val="FFFF00"/>
                                <w:lang w:val="en-US" w:eastAsia="zh-CN"/>
                              </w:rPr>
                              <w:t>3</w:t>
                            </w:r>
                            <w:r>
                              <w:rPr>
                                <w:rFonts w:hint="eastAsia"/>
                                <w:color w:val="FFFF00"/>
                              </w:rPr>
                              <w:t>/</w:t>
                            </w:r>
                            <w:r>
                              <w:rPr>
                                <w:rFonts w:hint="eastAsia"/>
                                <w:color w:val="FFFF00"/>
                                <w:lang w:val="en-US" w:eastAsia="zh-CN"/>
                              </w:rPr>
                              <w:t>12/11</w:t>
                            </w:r>
                          </w:p>
                        </w:txbxContent>
                      </v:textbox>
                    </v:shape>
                  </w:pict>
                </mc:Fallback>
              </mc:AlternateContent>
            </w:r>
            <w:r>
              <w:rPr>
                <w:color w:val="0000FF"/>
              </w:rPr>
              <w:drawing>
                <wp:inline distT="0" distB="0" distL="114300" distR="114300">
                  <wp:extent cx="2720340" cy="1891030"/>
                  <wp:effectExtent l="0" t="0" r="3810" b="1397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9"/>
                          <a:stretch>
                            <a:fillRect/>
                          </a:stretch>
                        </pic:blipFill>
                        <pic:spPr>
                          <a:xfrm>
                            <a:off x="0" y="0"/>
                            <a:ext cx="2720340" cy="1891030"/>
                          </a:xfrm>
                          <a:prstGeom prst="rect">
                            <a:avLst/>
                          </a:prstGeom>
                          <a:noFill/>
                          <a:ln>
                            <a:noFill/>
                          </a:ln>
                        </pic:spPr>
                      </pic:pic>
                    </a:graphicData>
                  </a:graphic>
                </wp:inline>
              </w:drawing>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3" w:hRule="atLeast"/>
          <w:jc w:val="center"/>
        </w:trPr>
        <w:tc>
          <w:tcPr>
            <w:tcW w:w="43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cs="Times New Roman"/>
                <w:color w:val="0000FF"/>
                <w:kern w:val="0"/>
                <w:szCs w:val="21"/>
                <w:highlight w:val="none"/>
                <w:lang w:val="en-US" w:eastAsia="zh-CN"/>
              </w:rPr>
            </w:pPr>
            <w:r>
              <w:rPr>
                <w:rFonts w:hint="eastAsia" w:cs="Times New Roman"/>
                <w:color w:val="0000FF"/>
                <w:kern w:val="0"/>
                <w:szCs w:val="21"/>
                <w:highlight w:val="none"/>
                <w:lang w:val="en-US" w:eastAsia="zh-CN"/>
              </w:rPr>
              <w:t>评价区干热性稀树灌木草丛</w:t>
            </w:r>
          </w:p>
        </w:tc>
        <w:tc>
          <w:tcPr>
            <w:tcW w:w="4389"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cs="Times New Roman"/>
                <w:color w:val="0000FF"/>
                <w:kern w:val="0"/>
                <w:szCs w:val="21"/>
                <w:highlight w:val="none"/>
                <w:lang w:val="en-US" w:eastAsia="zh-CN"/>
              </w:rPr>
            </w:pPr>
            <w:r>
              <w:rPr>
                <w:rFonts w:hint="eastAsia" w:cs="Times New Roman"/>
                <w:color w:val="0000FF"/>
                <w:kern w:val="0"/>
                <w:szCs w:val="21"/>
                <w:highlight w:val="none"/>
                <w:lang w:val="en-US" w:eastAsia="zh-CN"/>
              </w:rPr>
              <w:t>评价区暖温性针叶林</w:t>
            </w:r>
          </w:p>
        </w:tc>
      </w:tr>
    </w:tbl>
    <w:p>
      <w:pPr>
        <w:rPr>
          <w:color w:val="auto"/>
          <w:highlight w:val="none"/>
        </w:rPr>
        <w:sectPr>
          <w:pgSz w:w="11906" w:h="16838"/>
          <w:pgMar w:top="1440" w:right="1800" w:bottom="1440" w:left="1800" w:header="851" w:footer="992" w:gutter="0"/>
          <w:pgNumType w:fmt="upperRoman"/>
          <w:cols w:space="720" w:num="1"/>
          <w:docGrid w:type="lines" w:linePitch="312" w:charSpace="0"/>
        </w:sectPr>
      </w:pPr>
    </w:p>
    <w:p>
      <w:pPr>
        <w:pStyle w:val="22"/>
        <w:tabs>
          <w:tab w:val="right" w:leader="dot" w:pos="8300"/>
          <w:tab w:val="clear" w:pos="8381"/>
        </w:tabs>
        <w:spacing w:line="240" w:lineRule="auto"/>
        <w:jc w:val="center"/>
        <w:rPr>
          <w:rFonts w:hint="default" w:eastAsia="宋体"/>
          <w:color w:val="auto"/>
          <w:lang w:val="en-US" w:eastAsia="zh-CN"/>
        </w:rPr>
      </w:pPr>
      <w:bookmarkStart w:id="0" w:name="_Toc23260"/>
      <w:bookmarkStart w:id="1" w:name="_Toc26213"/>
      <w:bookmarkStart w:id="2" w:name="_Toc10619"/>
      <w:bookmarkStart w:id="3" w:name="_Toc466"/>
      <w:bookmarkStart w:id="4" w:name="_Toc400473334"/>
      <w:bookmarkStart w:id="5" w:name="_Toc24788"/>
      <w:r>
        <w:rPr>
          <w:rFonts w:hint="eastAsia"/>
          <w:color w:val="auto"/>
          <w:lang w:val="en-US" w:eastAsia="zh-CN"/>
        </w:rPr>
        <w:t>目录</w:t>
      </w:r>
    </w:p>
    <w:p>
      <w:pPr>
        <w:pStyle w:val="22"/>
        <w:tabs>
          <w:tab w:val="right" w:leader="dot" w:pos="8300"/>
          <w:tab w:val="clear" w:pos="8381"/>
        </w:tabs>
        <w:spacing w:line="240" w:lineRule="auto"/>
      </w:pPr>
      <w:r>
        <w:rPr>
          <w:color w:val="auto"/>
        </w:rPr>
        <w:fldChar w:fldCharType="begin"/>
      </w:r>
      <w:r>
        <w:rPr>
          <w:color w:val="auto"/>
        </w:rPr>
        <w:instrText xml:space="preserve">TOC \o "1-2" \h \u </w:instrText>
      </w:r>
      <w:r>
        <w:rPr>
          <w:color w:val="auto"/>
        </w:rPr>
        <w:fldChar w:fldCharType="separate"/>
      </w:r>
      <w:r>
        <w:rPr>
          <w:color w:val="auto"/>
        </w:rPr>
        <w:fldChar w:fldCharType="begin"/>
      </w:r>
      <w:r>
        <w:instrText xml:space="preserve"> HYPERLINK \l _Toc11028 </w:instrText>
      </w:r>
      <w:r>
        <w:fldChar w:fldCharType="separate"/>
      </w:r>
      <w:r>
        <w:rPr>
          <w:rFonts w:hint="default" w:ascii="Times New Roman" w:hAnsi="Times New Roman" w:cs="Times New Roman"/>
          <w:highlight w:val="none"/>
          <w:lang w:val="zh-CN"/>
        </w:rPr>
        <w:t>概述</w:t>
      </w:r>
      <w:r>
        <w:tab/>
      </w:r>
      <w:r>
        <w:fldChar w:fldCharType="begin"/>
      </w:r>
      <w:r>
        <w:instrText xml:space="preserve"> PAGEREF _Toc11028 \h </w:instrText>
      </w:r>
      <w:r>
        <w:fldChar w:fldCharType="separate"/>
      </w:r>
      <w:r>
        <w:t>I</w:t>
      </w:r>
      <w:r>
        <w:fldChar w:fldCharType="end"/>
      </w:r>
      <w:r>
        <w:rPr>
          <w:color w:val="auto"/>
        </w:rPr>
        <w:fldChar w:fldCharType="end"/>
      </w:r>
    </w:p>
    <w:p>
      <w:pPr>
        <w:pStyle w:val="22"/>
        <w:tabs>
          <w:tab w:val="right" w:leader="dot" w:pos="8300"/>
          <w:tab w:val="clear" w:pos="8381"/>
        </w:tabs>
        <w:spacing w:line="240" w:lineRule="auto"/>
      </w:pPr>
      <w:r>
        <w:rPr>
          <w:color w:val="auto"/>
        </w:rPr>
        <w:fldChar w:fldCharType="begin"/>
      </w:r>
      <w:r>
        <w:instrText xml:space="preserve"> HYPERLINK \l _Toc10348 </w:instrText>
      </w:r>
      <w:r>
        <w:fldChar w:fldCharType="separate"/>
      </w:r>
      <w:r>
        <w:rPr>
          <w:rFonts w:hint="default" w:ascii="Times New Roman" w:hAnsi="Times New Roman" w:eastAsia="宋体" w:cs="宋体"/>
        </w:rPr>
        <w:t xml:space="preserve">1 </w:t>
      </w:r>
      <w:r>
        <w:rPr>
          <w:rFonts w:hint="default"/>
        </w:rPr>
        <w:t>总则</w:t>
      </w:r>
      <w:r>
        <w:tab/>
      </w:r>
      <w:r>
        <w:fldChar w:fldCharType="begin"/>
      </w:r>
      <w:r>
        <w:instrText xml:space="preserve"> PAGEREF _Toc10348 \h </w:instrText>
      </w:r>
      <w:r>
        <w:fldChar w:fldCharType="separate"/>
      </w:r>
      <w:r>
        <w:t>1</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_Toc16512 </w:instrText>
      </w:r>
      <w:r>
        <w:fldChar w:fldCharType="separate"/>
      </w:r>
      <w:r>
        <w:rPr>
          <w:rFonts w:hint="default" w:ascii="Times New Roman" w:hAnsi="Times New Roman" w:eastAsia="宋体" w:cs="宋体"/>
          <w:szCs w:val="32"/>
        </w:rPr>
        <w:t xml:space="preserve">1.1 </w:t>
      </w:r>
      <w:r>
        <w:rPr>
          <w:rFonts w:hint="default"/>
          <w:highlight w:val="none"/>
        </w:rPr>
        <w:t>评价目的与评价原则</w:t>
      </w:r>
      <w:r>
        <w:tab/>
      </w:r>
      <w:r>
        <w:fldChar w:fldCharType="begin"/>
      </w:r>
      <w:r>
        <w:instrText xml:space="preserve"> PAGEREF _Toc16512 \h </w:instrText>
      </w:r>
      <w:r>
        <w:fldChar w:fldCharType="separate"/>
      </w:r>
      <w:r>
        <w:t>1</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_Toc4957 </w:instrText>
      </w:r>
      <w:r>
        <w:fldChar w:fldCharType="separate"/>
      </w:r>
      <w:r>
        <w:rPr>
          <w:rFonts w:hint="default" w:ascii="Times New Roman" w:hAnsi="Times New Roman" w:eastAsia="宋体" w:cs="宋体"/>
          <w:szCs w:val="32"/>
        </w:rPr>
        <w:t xml:space="preserve">1.2 </w:t>
      </w:r>
      <w:r>
        <w:rPr>
          <w:rFonts w:hint="default"/>
          <w:highlight w:val="none"/>
        </w:rPr>
        <w:t>编制依据</w:t>
      </w:r>
      <w:r>
        <w:tab/>
      </w:r>
      <w:r>
        <w:fldChar w:fldCharType="begin"/>
      </w:r>
      <w:r>
        <w:instrText xml:space="preserve"> PAGEREF _Toc4957 \h </w:instrText>
      </w:r>
      <w:r>
        <w:fldChar w:fldCharType="separate"/>
      </w:r>
      <w:r>
        <w:t>1</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_Toc10019 </w:instrText>
      </w:r>
      <w:r>
        <w:fldChar w:fldCharType="separate"/>
      </w:r>
      <w:r>
        <w:rPr>
          <w:rFonts w:hint="default" w:ascii="Times New Roman" w:hAnsi="Times New Roman" w:eastAsia="宋体" w:cs="宋体"/>
          <w:szCs w:val="32"/>
        </w:rPr>
        <w:t xml:space="preserve">1.3 </w:t>
      </w:r>
      <w:r>
        <w:rPr>
          <w:rFonts w:hint="default"/>
          <w:highlight w:val="none"/>
        </w:rPr>
        <w:t>评价执行标准</w:t>
      </w:r>
      <w:r>
        <w:tab/>
      </w:r>
      <w:r>
        <w:fldChar w:fldCharType="begin"/>
      </w:r>
      <w:r>
        <w:instrText xml:space="preserve"> PAGEREF _Toc10019 \h </w:instrText>
      </w:r>
      <w:r>
        <w:fldChar w:fldCharType="separate"/>
      </w:r>
      <w:r>
        <w:t>5</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_Toc28075 </w:instrText>
      </w:r>
      <w:r>
        <w:fldChar w:fldCharType="separate"/>
      </w:r>
      <w:r>
        <w:rPr>
          <w:rFonts w:hint="default" w:ascii="Times New Roman" w:hAnsi="Times New Roman" w:eastAsia="宋体" w:cs="宋体"/>
          <w:szCs w:val="32"/>
        </w:rPr>
        <w:t xml:space="preserve">1.4 </w:t>
      </w:r>
      <w:r>
        <w:rPr>
          <w:rFonts w:hint="default"/>
          <w:highlight w:val="none"/>
        </w:rPr>
        <w:t>环境影响因素识别与评价因子筛选</w:t>
      </w:r>
      <w:r>
        <w:tab/>
      </w:r>
      <w:r>
        <w:fldChar w:fldCharType="begin"/>
      </w:r>
      <w:r>
        <w:instrText xml:space="preserve"> PAGEREF _Toc28075 \h </w:instrText>
      </w:r>
      <w:r>
        <w:fldChar w:fldCharType="separate"/>
      </w:r>
      <w:r>
        <w:t>10</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_Toc24504 </w:instrText>
      </w:r>
      <w:r>
        <w:fldChar w:fldCharType="separate"/>
      </w:r>
      <w:r>
        <w:rPr>
          <w:rFonts w:hint="default" w:ascii="Times New Roman" w:hAnsi="Times New Roman" w:eastAsia="宋体" w:cs="宋体"/>
          <w:szCs w:val="32"/>
        </w:rPr>
        <w:t xml:space="preserve">1.5 </w:t>
      </w:r>
      <w:r>
        <w:rPr>
          <w:rFonts w:hint="default"/>
          <w:highlight w:val="none"/>
        </w:rPr>
        <w:t>评价工作等级、评价范围</w:t>
      </w:r>
      <w:r>
        <w:tab/>
      </w:r>
      <w:r>
        <w:fldChar w:fldCharType="begin"/>
      </w:r>
      <w:r>
        <w:instrText xml:space="preserve"> PAGEREF _Toc24504 \h </w:instrText>
      </w:r>
      <w:r>
        <w:fldChar w:fldCharType="separate"/>
      </w:r>
      <w:r>
        <w:t>12</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_Toc5907 </w:instrText>
      </w:r>
      <w:r>
        <w:fldChar w:fldCharType="separate"/>
      </w:r>
      <w:r>
        <w:rPr>
          <w:rFonts w:hint="default" w:ascii="Times New Roman" w:hAnsi="Times New Roman" w:eastAsia="宋体" w:cs="宋体"/>
          <w:szCs w:val="32"/>
        </w:rPr>
        <w:t xml:space="preserve">1.6 </w:t>
      </w:r>
      <w:r>
        <w:rPr>
          <w:rFonts w:hint="default"/>
          <w:highlight w:val="none"/>
        </w:rPr>
        <w:t>评价内容及重点</w:t>
      </w:r>
      <w:r>
        <w:tab/>
      </w:r>
      <w:r>
        <w:fldChar w:fldCharType="begin"/>
      </w:r>
      <w:r>
        <w:instrText xml:space="preserve"> PAGEREF _Toc5907 \h </w:instrText>
      </w:r>
      <w:r>
        <w:fldChar w:fldCharType="separate"/>
      </w:r>
      <w:r>
        <w:t>18</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_Toc27949 </w:instrText>
      </w:r>
      <w:r>
        <w:fldChar w:fldCharType="separate"/>
      </w:r>
      <w:r>
        <w:rPr>
          <w:rFonts w:hint="default" w:ascii="Times New Roman" w:hAnsi="Times New Roman" w:eastAsia="宋体" w:cs="宋体"/>
          <w:szCs w:val="32"/>
        </w:rPr>
        <w:t xml:space="preserve">1.7 </w:t>
      </w:r>
      <w:r>
        <w:rPr>
          <w:rFonts w:hint="default"/>
          <w:highlight w:val="none"/>
        </w:rPr>
        <w:t>环境保护目标</w:t>
      </w:r>
      <w:r>
        <w:tab/>
      </w:r>
      <w:r>
        <w:fldChar w:fldCharType="begin"/>
      </w:r>
      <w:r>
        <w:instrText xml:space="preserve"> PAGEREF _Toc27949 \h </w:instrText>
      </w:r>
      <w:r>
        <w:fldChar w:fldCharType="separate"/>
      </w:r>
      <w:r>
        <w:t>19</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_Toc18508 </w:instrText>
      </w:r>
      <w:r>
        <w:fldChar w:fldCharType="separate"/>
      </w:r>
      <w:r>
        <w:rPr>
          <w:rFonts w:hint="default" w:ascii="Times New Roman" w:hAnsi="Times New Roman" w:eastAsia="宋体" w:cs="宋体"/>
          <w:szCs w:val="32"/>
          <w:lang w:val="en-US" w:eastAsia="zh-CN"/>
        </w:rPr>
        <w:t xml:space="preserve">1.8 </w:t>
      </w:r>
      <w:r>
        <w:rPr>
          <w:rFonts w:hint="default"/>
        </w:rPr>
        <w:t>评价时段及评价方法</w:t>
      </w:r>
      <w:r>
        <w:tab/>
      </w:r>
      <w:r>
        <w:fldChar w:fldCharType="begin"/>
      </w:r>
      <w:r>
        <w:instrText xml:space="preserve"> PAGEREF _Toc18508 \h </w:instrText>
      </w:r>
      <w:r>
        <w:fldChar w:fldCharType="separate"/>
      </w:r>
      <w:r>
        <w:t>21</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_Toc26841 </w:instrText>
      </w:r>
      <w:r>
        <w:fldChar w:fldCharType="separate"/>
      </w:r>
      <w:r>
        <w:rPr>
          <w:rFonts w:hint="default" w:ascii="Times New Roman" w:hAnsi="Times New Roman" w:eastAsia="宋体" w:cs="宋体"/>
          <w:szCs w:val="32"/>
        </w:rPr>
        <w:t xml:space="preserve">1.9 </w:t>
      </w:r>
      <w:r>
        <w:rPr>
          <w:rFonts w:hint="default"/>
          <w:highlight w:val="none"/>
        </w:rPr>
        <w:t>评价工作程序</w:t>
      </w:r>
      <w:r>
        <w:tab/>
      </w:r>
      <w:r>
        <w:fldChar w:fldCharType="begin"/>
      </w:r>
      <w:r>
        <w:instrText xml:space="preserve"> PAGEREF _Toc26841 \h </w:instrText>
      </w:r>
      <w:r>
        <w:fldChar w:fldCharType="separate"/>
      </w:r>
      <w:r>
        <w:t>21</w:t>
      </w:r>
      <w:r>
        <w:fldChar w:fldCharType="end"/>
      </w:r>
      <w:r>
        <w:rPr>
          <w:color w:val="auto"/>
        </w:rPr>
        <w:fldChar w:fldCharType="end"/>
      </w:r>
    </w:p>
    <w:p>
      <w:pPr>
        <w:pStyle w:val="22"/>
        <w:tabs>
          <w:tab w:val="right" w:leader="dot" w:pos="8300"/>
          <w:tab w:val="clear" w:pos="8381"/>
        </w:tabs>
        <w:spacing w:line="240" w:lineRule="auto"/>
      </w:pPr>
      <w:r>
        <w:rPr>
          <w:color w:val="auto"/>
        </w:rPr>
        <w:fldChar w:fldCharType="begin"/>
      </w:r>
      <w:r>
        <w:instrText xml:space="preserve"> HYPERLINK \l _Toc21221 </w:instrText>
      </w:r>
      <w:r>
        <w:fldChar w:fldCharType="separate"/>
      </w:r>
      <w:r>
        <w:rPr>
          <w:rFonts w:hint="default" w:ascii="Times New Roman" w:hAnsi="Times New Roman" w:eastAsia="宋体" w:cs="宋体"/>
        </w:rPr>
        <w:t xml:space="preserve">2 </w:t>
      </w:r>
      <w:r>
        <w:rPr>
          <w:rFonts w:hint="default"/>
          <w:highlight w:val="none"/>
        </w:rPr>
        <w:t>建设项目概况</w:t>
      </w:r>
      <w:r>
        <w:tab/>
      </w:r>
      <w:r>
        <w:fldChar w:fldCharType="begin"/>
      </w:r>
      <w:r>
        <w:instrText xml:space="preserve"> PAGEREF _Toc21221 \h </w:instrText>
      </w:r>
      <w:r>
        <w:fldChar w:fldCharType="separate"/>
      </w:r>
      <w:r>
        <w:t>23</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_Toc19800 </w:instrText>
      </w:r>
      <w:r>
        <w:fldChar w:fldCharType="separate"/>
      </w:r>
      <w:r>
        <w:rPr>
          <w:rFonts w:hint="default" w:ascii="Times New Roman" w:hAnsi="Times New Roman" w:eastAsia="宋体" w:cs="宋体"/>
          <w:szCs w:val="32"/>
        </w:rPr>
        <w:t xml:space="preserve">2.1 </w:t>
      </w:r>
      <w:r>
        <w:rPr>
          <w:rFonts w:hint="eastAsia"/>
          <w:highlight w:val="none"/>
          <w:lang w:val="en-US" w:eastAsia="zh-CN"/>
        </w:rPr>
        <w:t>流域概况及灌区规划</w:t>
      </w:r>
      <w:r>
        <w:tab/>
      </w:r>
      <w:r>
        <w:fldChar w:fldCharType="begin"/>
      </w:r>
      <w:r>
        <w:instrText xml:space="preserve"> PAGEREF _Toc19800 \h </w:instrText>
      </w:r>
      <w:r>
        <w:fldChar w:fldCharType="separate"/>
      </w:r>
      <w:r>
        <w:t>23</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_Toc8492 </w:instrText>
      </w:r>
      <w:r>
        <w:fldChar w:fldCharType="separate"/>
      </w:r>
      <w:r>
        <w:rPr>
          <w:rFonts w:hint="default" w:ascii="Times New Roman" w:hAnsi="Times New Roman" w:eastAsia="宋体" w:cs="宋体"/>
          <w:szCs w:val="32"/>
          <w:lang w:val="en-US" w:eastAsia="zh-CN"/>
        </w:rPr>
        <w:t xml:space="preserve">2.2 </w:t>
      </w:r>
      <w:r>
        <w:rPr>
          <w:rFonts w:hint="default"/>
          <w:highlight w:val="none"/>
          <w:lang w:val="en-US" w:eastAsia="zh-CN"/>
        </w:rPr>
        <w:t>工程</w:t>
      </w:r>
      <w:r>
        <w:rPr>
          <w:rFonts w:hint="eastAsia"/>
          <w:highlight w:val="none"/>
          <w:lang w:val="en-US" w:eastAsia="zh-CN"/>
        </w:rPr>
        <w:t>概况</w:t>
      </w:r>
      <w:r>
        <w:tab/>
      </w:r>
      <w:r>
        <w:fldChar w:fldCharType="begin"/>
      </w:r>
      <w:r>
        <w:instrText xml:space="preserve"> PAGEREF _Toc8492 \h </w:instrText>
      </w:r>
      <w:r>
        <w:fldChar w:fldCharType="separate"/>
      </w:r>
      <w:r>
        <w:t>26</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_Toc21851 </w:instrText>
      </w:r>
      <w:r>
        <w:fldChar w:fldCharType="separate"/>
      </w:r>
      <w:r>
        <w:rPr>
          <w:rFonts w:hint="default" w:ascii="Times New Roman" w:hAnsi="Times New Roman" w:eastAsia="宋体" w:cs="宋体"/>
          <w:szCs w:val="32"/>
        </w:rPr>
        <w:t xml:space="preserve">2.3 </w:t>
      </w:r>
      <w:r>
        <w:rPr>
          <w:rFonts w:hint="default"/>
          <w:highlight w:val="none"/>
        </w:rPr>
        <w:t>建设项目概况</w:t>
      </w:r>
      <w:r>
        <w:tab/>
      </w:r>
      <w:r>
        <w:fldChar w:fldCharType="begin"/>
      </w:r>
      <w:r>
        <w:instrText xml:space="preserve"> PAGEREF _Toc21851 \h </w:instrText>
      </w:r>
      <w:r>
        <w:fldChar w:fldCharType="separate"/>
      </w:r>
      <w:r>
        <w:t>32</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_Toc32319 </w:instrText>
      </w:r>
      <w:r>
        <w:fldChar w:fldCharType="separate"/>
      </w:r>
      <w:r>
        <w:rPr>
          <w:rFonts w:hint="default" w:ascii="Times New Roman" w:hAnsi="Times New Roman" w:eastAsia="宋体" w:cs="宋体"/>
          <w:szCs w:val="32"/>
          <w:lang w:val="en-US" w:eastAsia="zh-CN"/>
        </w:rPr>
        <w:t xml:space="preserve">2.4 </w:t>
      </w:r>
      <w:r>
        <w:rPr>
          <w:rFonts w:hint="eastAsia"/>
          <w:lang w:val="en-US" w:eastAsia="zh-CN"/>
        </w:rPr>
        <w:t>总平面布置</w:t>
      </w:r>
      <w:r>
        <w:tab/>
      </w:r>
      <w:r>
        <w:fldChar w:fldCharType="begin"/>
      </w:r>
      <w:r>
        <w:instrText xml:space="preserve"> PAGEREF _Toc32319 \h </w:instrText>
      </w:r>
      <w:r>
        <w:fldChar w:fldCharType="separate"/>
      </w:r>
      <w:r>
        <w:t>43</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_Toc30192 </w:instrText>
      </w:r>
      <w:r>
        <w:fldChar w:fldCharType="separate"/>
      </w:r>
      <w:r>
        <w:rPr>
          <w:rFonts w:hint="default" w:ascii="Times New Roman" w:hAnsi="Times New Roman" w:eastAsia="宋体" w:cs="宋体"/>
          <w:szCs w:val="32"/>
          <w:lang w:val="en-US" w:eastAsia="zh-CN"/>
        </w:rPr>
        <w:t xml:space="preserve">2.5 </w:t>
      </w:r>
      <w:r>
        <w:rPr>
          <w:rFonts w:hint="eastAsia"/>
          <w:lang w:val="en-US" w:eastAsia="zh-CN"/>
        </w:rPr>
        <w:t>工程占地及拆迁安置</w:t>
      </w:r>
      <w:r>
        <w:tab/>
      </w:r>
      <w:r>
        <w:fldChar w:fldCharType="begin"/>
      </w:r>
      <w:r>
        <w:instrText xml:space="preserve"> PAGEREF _Toc30192 \h </w:instrText>
      </w:r>
      <w:r>
        <w:fldChar w:fldCharType="separate"/>
      </w:r>
      <w:r>
        <w:t>43</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_Toc12213 </w:instrText>
      </w:r>
      <w:r>
        <w:fldChar w:fldCharType="separate"/>
      </w:r>
      <w:r>
        <w:rPr>
          <w:rFonts w:hint="default" w:ascii="Times New Roman" w:hAnsi="Times New Roman" w:eastAsia="宋体" w:cs="宋体"/>
          <w:szCs w:val="32"/>
          <w:lang w:val="en-US" w:eastAsia="zh-CN"/>
        </w:rPr>
        <w:t xml:space="preserve">2.6 </w:t>
      </w:r>
      <w:r>
        <w:rPr>
          <w:rFonts w:hint="eastAsia"/>
          <w:lang w:val="en-US" w:eastAsia="zh-CN"/>
        </w:rPr>
        <w:t>土石方平衡</w:t>
      </w:r>
      <w:r>
        <w:tab/>
      </w:r>
      <w:r>
        <w:fldChar w:fldCharType="begin"/>
      </w:r>
      <w:r>
        <w:instrText xml:space="preserve"> PAGEREF _Toc12213 \h </w:instrText>
      </w:r>
      <w:r>
        <w:fldChar w:fldCharType="separate"/>
      </w:r>
      <w:r>
        <w:t>46</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_Toc30731 </w:instrText>
      </w:r>
      <w:r>
        <w:fldChar w:fldCharType="separate"/>
      </w:r>
      <w:r>
        <w:rPr>
          <w:rFonts w:hint="default" w:ascii="Times New Roman" w:hAnsi="Times New Roman" w:eastAsia="宋体" w:cs="宋体"/>
          <w:szCs w:val="32"/>
        </w:rPr>
        <w:t xml:space="preserve">2.7 </w:t>
      </w:r>
      <w:r>
        <w:rPr>
          <w:rFonts w:hint="eastAsia"/>
          <w:highlight w:val="none"/>
          <w:lang w:eastAsia="zh-CN"/>
        </w:rPr>
        <w:t>工程特性表</w:t>
      </w:r>
      <w:r>
        <w:tab/>
      </w:r>
      <w:r>
        <w:fldChar w:fldCharType="begin"/>
      </w:r>
      <w:r>
        <w:instrText xml:space="preserve"> PAGEREF _Toc30731 \h </w:instrText>
      </w:r>
      <w:r>
        <w:fldChar w:fldCharType="separate"/>
      </w:r>
      <w:r>
        <w:t>47</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_Toc30084 </w:instrText>
      </w:r>
      <w:r>
        <w:fldChar w:fldCharType="separate"/>
      </w:r>
      <w:r>
        <w:rPr>
          <w:rFonts w:hint="default" w:ascii="Times New Roman" w:hAnsi="Times New Roman" w:eastAsia="宋体" w:cs="宋体"/>
          <w:szCs w:val="32"/>
        </w:rPr>
        <w:t xml:space="preserve">2.8 </w:t>
      </w:r>
      <w:r>
        <w:rPr>
          <w:rFonts w:hint="eastAsia"/>
          <w:highlight w:val="none"/>
          <w:lang w:val="en-US" w:eastAsia="zh-CN"/>
        </w:rPr>
        <w:t>施工组织设计</w:t>
      </w:r>
      <w:r>
        <w:tab/>
      </w:r>
      <w:r>
        <w:fldChar w:fldCharType="begin"/>
      </w:r>
      <w:r>
        <w:instrText xml:space="preserve"> PAGEREF _Toc30084 \h </w:instrText>
      </w:r>
      <w:r>
        <w:fldChar w:fldCharType="separate"/>
      </w:r>
      <w:r>
        <w:t>48</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_Toc4955 </w:instrText>
      </w:r>
      <w:r>
        <w:fldChar w:fldCharType="separate"/>
      </w:r>
      <w:r>
        <w:rPr>
          <w:rFonts w:hint="default" w:ascii="Times New Roman" w:hAnsi="Times New Roman" w:eastAsia="宋体" w:cs="宋体"/>
          <w:szCs w:val="32"/>
          <w:lang w:val="en-US" w:eastAsia="zh-CN"/>
        </w:rPr>
        <w:t xml:space="preserve">2.9 </w:t>
      </w:r>
      <w:r>
        <w:rPr>
          <w:rFonts w:hint="default"/>
          <w:highlight w:val="none"/>
          <w:lang w:val="en-US" w:eastAsia="zh-CN"/>
        </w:rPr>
        <w:t>工程</w:t>
      </w:r>
      <w:r>
        <w:rPr>
          <w:rFonts w:hint="eastAsia"/>
          <w:highlight w:val="none"/>
          <w:lang w:val="en-US" w:eastAsia="zh-CN"/>
        </w:rPr>
        <w:t>运行管理</w:t>
      </w:r>
      <w:r>
        <w:tab/>
      </w:r>
      <w:r>
        <w:fldChar w:fldCharType="begin"/>
      </w:r>
      <w:r>
        <w:instrText xml:space="preserve"> PAGEREF _Toc4955 \h </w:instrText>
      </w:r>
      <w:r>
        <w:fldChar w:fldCharType="separate"/>
      </w:r>
      <w:r>
        <w:t>53</w:t>
      </w:r>
      <w:r>
        <w:fldChar w:fldCharType="end"/>
      </w:r>
      <w:r>
        <w:rPr>
          <w:color w:val="auto"/>
        </w:rPr>
        <w:fldChar w:fldCharType="end"/>
      </w:r>
    </w:p>
    <w:p>
      <w:pPr>
        <w:pStyle w:val="22"/>
        <w:tabs>
          <w:tab w:val="right" w:leader="dot" w:pos="8300"/>
          <w:tab w:val="clear" w:pos="8381"/>
        </w:tabs>
        <w:spacing w:line="240" w:lineRule="auto"/>
      </w:pPr>
      <w:r>
        <w:rPr>
          <w:color w:val="auto"/>
        </w:rPr>
        <w:fldChar w:fldCharType="begin"/>
      </w:r>
      <w:r>
        <w:instrText xml:space="preserve"> HYPERLINK \l _Toc27141 </w:instrText>
      </w:r>
      <w:r>
        <w:fldChar w:fldCharType="separate"/>
      </w:r>
      <w:r>
        <w:rPr>
          <w:rFonts w:hint="default" w:ascii="Times New Roman" w:hAnsi="Times New Roman" w:eastAsia="宋体" w:cs="宋体"/>
        </w:rPr>
        <w:t xml:space="preserve">3 </w:t>
      </w:r>
      <w:r>
        <w:rPr>
          <w:rFonts w:hint="default"/>
          <w:highlight w:val="none"/>
        </w:rPr>
        <w:t>工程分析</w:t>
      </w:r>
      <w:r>
        <w:tab/>
      </w:r>
      <w:r>
        <w:fldChar w:fldCharType="begin"/>
      </w:r>
      <w:r>
        <w:instrText xml:space="preserve"> PAGEREF _Toc27141 \h </w:instrText>
      </w:r>
      <w:r>
        <w:fldChar w:fldCharType="separate"/>
      </w:r>
      <w:r>
        <w:t>55</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_Toc15527 </w:instrText>
      </w:r>
      <w:r>
        <w:fldChar w:fldCharType="separate"/>
      </w:r>
      <w:r>
        <w:rPr>
          <w:rFonts w:hint="default" w:ascii="Times New Roman" w:hAnsi="Times New Roman" w:eastAsia="宋体" w:cs="宋体"/>
          <w:szCs w:val="32"/>
          <w:lang w:val="en-US" w:eastAsia="zh-CN"/>
        </w:rPr>
        <w:t xml:space="preserve">3.1 </w:t>
      </w:r>
      <w:r>
        <w:rPr>
          <w:rFonts w:hint="eastAsia"/>
          <w:highlight w:val="none"/>
          <w:lang w:val="en-US" w:eastAsia="zh-CN"/>
        </w:rPr>
        <w:t>施工</w:t>
      </w:r>
      <w:r>
        <w:rPr>
          <w:rFonts w:hint="default"/>
          <w:highlight w:val="none"/>
        </w:rPr>
        <w:t>工艺流程</w:t>
      </w:r>
      <w:r>
        <w:rPr>
          <w:rFonts w:hint="eastAsia"/>
          <w:highlight w:val="none"/>
          <w:lang w:val="en-US" w:eastAsia="zh-CN"/>
        </w:rPr>
        <w:t>及</w:t>
      </w:r>
      <w:r>
        <w:rPr>
          <w:rFonts w:hint="default"/>
          <w:highlight w:val="none"/>
        </w:rPr>
        <w:t>产物节点分析</w:t>
      </w:r>
      <w:r>
        <w:tab/>
      </w:r>
      <w:r>
        <w:fldChar w:fldCharType="begin"/>
      </w:r>
      <w:r>
        <w:instrText xml:space="preserve"> PAGEREF _Toc15527 \h </w:instrText>
      </w:r>
      <w:r>
        <w:fldChar w:fldCharType="separate"/>
      </w:r>
      <w:r>
        <w:t>55</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_Toc19282 </w:instrText>
      </w:r>
      <w:r>
        <w:fldChar w:fldCharType="separate"/>
      </w:r>
      <w:r>
        <w:rPr>
          <w:rFonts w:hint="default" w:ascii="Times New Roman" w:hAnsi="Times New Roman" w:eastAsia="宋体" w:cs="宋体"/>
          <w:szCs w:val="32"/>
          <w:lang w:val="en-US" w:eastAsia="zh-CN"/>
        </w:rPr>
        <w:t xml:space="preserve">3.2 </w:t>
      </w:r>
      <w:r>
        <w:rPr>
          <w:rFonts w:hint="eastAsia"/>
          <w:lang w:val="en-US" w:eastAsia="zh-CN"/>
        </w:rPr>
        <w:t>影响源分析</w:t>
      </w:r>
      <w:r>
        <w:tab/>
      </w:r>
      <w:r>
        <w:fldChar w:fldCharType="begin"/>
      </w:r>
      <w:r>
        <w:instrText xml:space="preserve"> PAGEREF _Toc19282 \h </w:instrText>
      </w:r>
      <w:r>
        <w:fldChar w:fldCharType="separate"/>
      </w:r>
      <w:r>
        <w:t>57</w:t>
      </w:r>
      <w:r>
        <w:fldChar w:fldCharType="end"/>
      </w:r>
      <w:r>
        <w:rPr>
          <w:color w:val="auto"/>
        </w:rPr>
        <w:fldChar w:fldCharType="end"/>
      </w:r>
    </w:p>
    <w:p>
      <w:pPr>
        <w:pStyle w:val="22"/>
        <w:tabs>
          <w:tab w:val="right" w:leader="dot" w:pos="8300"/>
          <w:tab w:val="clear" w:pos="8381"/>
        </w:tabs>
        <w:spacing w:line="240" w:lineRule="auto"/>
      </w:pPr>
      <w:r>
        <w:rPr>
          <w:color w:val="auto"/>
        </w:rPr>
        <w:fldChar w:fldCharType="begin"/>
      </w:r>
      <w:r>
        <w:instrText xml:space="preserve"> HYPERLINK \l _Toc11343 </w:instrText>
      </w:r>
      <w:r>
        <w:fldChar w:fldCharType="separate"/>
      </w:r>
      <w:r>
        <w:rPr>
          <w:rFonts w:hint="default" w:ascii="Times New Roman" w:hAnsi="Times New Roman" w:eastAsia="宋体" w:cs="宋体"/>
        </w:rPr>
        <w:t xml:space="preserve">4 </w:t>
      </w:r>
      <w:r>
        <w:rPr>
          <w:rFonts w:hint="default"/>
          <w:highlight w:val="none"/>
        </w:rPr>
        <w:t>环境现状调查与评价</w:t>
      </w:r>
      <w:r>
        <w:tab/>
      </w:r>
      <w:r>
        <w:fldChar w:fldCharType="begin"/>
      </w:r>
      <w:r>
        <w:instrText xml:space="preserve"> PAGEREF _Toc11343 \h </w:instrText>
      </w:r>
      <w:r>
        <w:fldChar w:fldCharType="separate"/>
      </w:r>
      <w:r>
        <w:t>70</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_Toc16460 </w:instrText>
      </w:r>
      <w:r>
        <w:fldChar w:fldCharType="separate"/>
      </w:r>
      <w:r>
        <w:rPr>
          <w:rFonts w:hint="default" w:ascii="Times New Roman" w:hAnsi="Times New Roman" w:eastAsia="宋体" w:cs="宋体"/>
          <w:szCs w:val="32"/>
        </w:rPr>
        <w:t xml:space="preserve">4.1 </w:t>
      </w:r>
      <w:r>
        <w:rPr>
          <w:rFonts w:hint="default"/>
          <w:highlight w:val="none"/>
        </w:rPr>
        <w:t>自然环境概况</w:t>
      </w:r>
      <w:r>
        <w:tab/>
      </w:r>
      <w:r>
        <w:fldChar w:fldCharType="begin"/>
      </w:r>
      <w:r>
        <w:instrText xml:space="preserve"> PAGEREF _Toc16460 \h </w:instrText>
      </w:r>
      <w:r>
        <w:fldChar w:fldCharType="separate"/>
      </w:r>
      <w:r>
        <w:t>70</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_Toc1448 </w:instrText>
      </w:r>
      <w:r>
        <w:fldChar w:fldCharType="separate"/>
      </w:r>
      <w:r>
        <w:rPr>
          <w:rFonts w:hint="default" w:ascii="Times New Roman" w:hAnsi="Times New Roman" w:eastAsia="宋体" w:cs="宋体"/>
          <w:szCs w:val="32"/>
        </w:rPr>
        <w:t xml:space="preserve">4.2 </w:t>
      </w:r>
      <w:r>
        <w:rPr>
          <w:rFonts w:hint="default"/>
          <w:highlight w:val="none"/>
        </w:rPr>
        <w:t>环境质量现状</w:t>
      </w:r>
      <w:r>
        <w:tab/>
      </w:r>
      <w:r>
        <w:fldChar w:fldCharType="begin"/>
      </w:r>
      <w:r>
        <w:instrText xml:space="preserve"> PAGEREF _Toc1448 \h </w:instrText>
      </w:r>
      <w:r>
        <w:fldChar w:fldCharType="separate"/>
      </w:r>
      <w:r>
        <w:t>76</w:t>
      </w:r>
      <w:r>
        <w:fldChar w:fldCharType="end"/>
      </w:r>
      <w:r>
        <w:rPr>
          <w:color w:val="auto"/>
        </w:rPr>
        <w:fldChar w:fldCharType="end"/>
      </w:r>
    </w:p>
    <w:p>
      <w:pPr>
        <w:pStyle w:val="22"/>
        <w:tabs>
          <w:tab w:val="right" w:leader="dot" w:pos="8300"/>
          <w:tab w:val="clear" w:pos="8381"/>
        </w:tabs>
        <w:spacing w:line="240" w:lineRule="auto"/>
      </w:pPr>
      <w:r>
        <w:rPr>
          <w:color w:val="auto"/>
        </w:rPr>
        <w:fldChar w:fldCharType="begin"/>
      </w:r>
      <w:r>
        <w:instrText xml:space="preserve"> HYPERLINK \l _Toc32520 </w:instrText>
      </w:r>
      <w:r>
        <w:fldChar w:fldCharType="separate"/>
      </w:r>
      <w:r>
        <w:rPr>
          <w:rFonts w:hint="default" w:ascii="Times New Roman" w:hAnsi="Times New Roman" w:eastAsia="宋体" w:cs="宋体"/>
        </w:rPr>
        <w:t xml:space="preserve">5 </w:t>
      </w:r>
      <w:r>
        <w:rPr>
          <w:rFonts w:hint="default"/>
          <w:highlight w:val="none"/>
        </w:rPr>
        <w:t>环境影响</w:t>
      </w:r>
      <w:r>
        <w:rPr>
          <w:rFonts w:hint="eastAsia"/>
          <w:highlight w:val="none"/>
          <w:lang w:eastAsia="zh-CN"/>
        </w:rPr>
        <w:t>预测与评价</w:t>
      </w:r>
      <w:r>
        <w:tab/>
      </w:r>
      <w:r>
        <w:fldChar w:fldCharType="begin"/>
      </w:r>
      <w:r>
        <w:instrText xml:space="preserve"> PAGEREF _Toc32520 \h </w:instrText>
      </w:r>
      <w:r>
        <w:fldChar w:fldCharType="separate"/>
      </w:r>
      <w:r>
        <w:t>134</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_Toc3650 </w:instrText>
      </w:r>
      <w:r>
        <w:fldChar w:fldCharType="separate"/>
      </w:r>
      <w:r>
        <w:rPr>
          <w:rFonts w:hint="default" w:ascii="Times New Roman" w:hAnsi="Times New Roman" w:eastAsia="宋体" w:cs="宋体"/>
          <w:szCs w:val="32"/>
          <w:lang w:eastAsia="zh-CN"/>
        </w:rPr>
        <w:t xml:space="preserve">5.1 </w:t>
      </w:r>
      <w:r>
        <w:rPr>
          <w:rFonts w:hint="default"/>
        </w:rPr>
        <w:t>施工期环境影响</w:t>
      </w:r>
      <w:r>
        <w:rPr>
          <w:rFonts w:hint="eastAsia"/>
          <w:lang w:eastAsia="zh-CN"/>
        </w:rPr>
        <w:t>评价</w:t>
      </w:r>
      <w:r>
        <w:tab/>
      </w:r>
      <w:r>
        <w:fldChar w:fldCharType="begin"/>
      </w:r>
      <w:r>
        <w:instrText xml:space="preserve"> PAGEREF _Toc3650 \h </w:instrText>
      </w:r>
      <w:r>
        <w:fldChar w:fldCharType="separate"/>
      </w:r>
      <w:r>
        <w:t>134</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_Toc10102 </w:instrText>
      </w:r>
      <w:r>
        <w:fldChar w:fldCharType="separate"/>
      </w:r>
      <w:r>
        <w:rPr>
          <w:rFonts w:hint="default" w:ascii="Times New Roman" w:hAnsi="Times New Roman" w:eastAsia="宋体" w:cs="宋体"/>
          <w:szCs w:val="32"/>
          <w:lang w:eastAsia="zh-CN"/>
        </w:rPr>
        <w:t xml:space="preserve">5.2 </w:t>
      </w:r>
      <w:r>
        <w:rPr>
          <w:rFonts w:hint="eastAsia"/>
          <w:lang w:val="en-US" w:eastAsia="zh-CN"/>
        </w:rPr>
        <w:t>运营</w:t>
      </w:r>
      <w:r>
        <w:rPr>
          <w:rFonts w:hint="default"/>
        </w:rPr>
        <w:t>期环境影响</w:t>
      </w:r>
      <w:r>
        <w:rPr>
          <w:rFonts w:hint="eastAsia"/>
          <w:lang w:eastAsia="zh-CN"/>
        </w:rPr>
        <w:t>评价</w:t>
      </w:r>
      <w:r>
        <w:tab/>
      </w:r>
      <w:r>
        <w:fldChar w:fldCharType="begin"/>
      </w:r>
      <w:r>
        <w:instrText xml:space="preserve"> PAGEREF _Toc10102 \h </w:instrText>
      </w:r>
      <w:r>
        <w:fldChar w:fldCharType="separate"/>
      </w:r>
      <w:r>
        <w:t>154</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_Toc7263 </w:instrText>
      </w:r>
      <w:r>
        <w:fldChar w:fldCharType="separate"/>
      </w:r>
      <w:r>
        <w:rPr>
          <w:rFonts w:hint="default" w:ascii="Times New Roman" w:hAnsi="Times New Roman" w:eastAsia="宋体" w:cs="宋体"/>
          <w:szCs w:val="32"/>
          <w:lang w:val="en-US" w:eastAsia="zh-CN"/>
        </w:rPr>
        <w:t xml:space="preserve">5.3 </w:t>
      </w:r>
      <w:r>
        <w:rPr>
          <w:rFonts w:hint="eastAsia"/>
          <w:lang w:val="en-US" w:eastAsia="zh-CN"/>
        </w:rPr>
        <w:t>对环境敏感区的影响分析</w:t>
      </w:r>
      <w:r>
        <w:tab/>
      </w:r>
      <w:r>
        <w:fldChar w:fldCharType="begin"/>
      </w:r>
      <w:r>
        <w:instrText xml:space="preserve"> PAGEREF _Toc7263 \h </w:instrText>
      </w:r>
      <w:r>
        <w:fldChar w:fldCharType="separate"/>
      </w:r>
      <w:r>
        <w:t>194</w:t>
      </w:r>
      <w:r>
        <w:fldChar w:fldCharType="end"/>
      </w:r>
      <w:r>
        <w:rPr>
          <w:color w:val="auto"/>
        </w:rPr>
        <w:fldChar w:fldCharType="end"/>
      </w:r>
    </w:p>
    <w:p>
      <w:pPr>
        <w:pStyle w:val="22"/>
        <w:tabs>
          <w:tab w:val="right" w:leader="dot" w:pos="8300"/>
          <w:tab w:val="clear" w:pos="8381"/>
        </w:tabs>
        <w:spacing w:line="240" w:lineRule="auto"/>
      </w:pPr>
      <w:r>
        <w:rPr>
          <w:color w:val="auto"/>
        </w:rPr>
        <w:fldChar w:fldCharType="begin"/>
      </w:r>
      <w:r>
        <w:instrText xml:space="preserve"> HYPERLINK \l _Toc31877 </w:instrText>
      </w:r>
      <w:r>
        <w:fldChar w:fldCharType="separate"/>
      </w:r>
      <w:r>
        <w:rPr>
          <w:rFonts w:hint="default" w:ascii="Times New Roman" w:hAnsi="Times New Roman" w:eastAsia="宋体" w:cs="宋体"/>
          <w:lang w:val="en-US" w:eastAsia="zh-CN"/>
        </w:rPr>
        <w:t xml:space="preserve">6 </w:t>
      </w:r>
      <w:r>
        <w:rPr>
          <w:rFonts w:hint="eastAsia"/>
          <w:lang w:val="en-US" w:eastAsia="zh-CN"/>
        </w:rPr>
        <w:t>环境保护措施及可行性分析</w:t>
      </w:r>
      <w:r>
        <w:tab/>
      </w:r>
      <w:r>
        <w:fldChar w:fldCharType="begin"/>
      </w:r>
      <w:r>
        <w:instrText xml:space="preserve"> PAGEREF _Toc31877 \h </w:instrText>
      </w:r>
      <w:r>
        <w:fldChar w:fldCharType="separate"/>
      </w:r>
      <w:r>
        <w:t>216</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_Toc24098 </w:instrText>
      </w:r>
      <w:r>
        <w:fldChar w:fldCharType="separate"/>
      </w:r>
      <w:r>
        <w:rPr>
          <w:rFonts w:hint="default" w:ascii="Times New Roman" w:hAnsi="Times New Roman" w:eastAsia="宋体" w:cs="宋体"/>
          <w:szCs w:val="32"/>
        </w:rPr>
        <w:t xml:space="preserve">6.1 </w:t>
      </w:r>
      <w:r>
        <w:t>地表水环境保护措施</w:t>
      </w:r>
      <w:r>
        <w:tab/>
      </w:r>
      <w:r>
        <w:fldChar w:fldCharType="begin"/>
      </w:r>
      <w:r>
        <w:instrText xml:space="preserve"> PAGEREF _Toc24098 \h </w:instrText>
      </w:r>
      <w:r>
        <w:fldChar w:fldCharType="separate"/>
      </w:r>
      <w:r>
        <w:t>216</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_Toc14091 </w:instrText>
      </w:r>
      <w:r>
        <w:fldChar w:fldCharType="separate"/>
      </w:r>
      <w:r>
        <w:rPr>
          <w:rFonts w:hint="default" w:ascii="Times New Roman" w:hAnsi="Times New Roman" w:eastAsia="宋体" w:cs="宋体"/>
          <w:szCs w:val="32"/>
          <w:lang w:val="en-US" w:eastAsia="zh-CN"/>
        </w:rPr>
        <w:t xml:space="preserve">6.2 </w:t>
      </w:r>
      <w:r>
        <w:rPr>
          <w:rFonts w:hint="default"/>
          <w:lang w:val="en-US" w:eastAsia="zh-CN"/>
        </w:rPr>
        <w:t>地下水及土壤环境保护措施</w:t>
      </w:r>
      <w:r>
        <w:tab/>
      </w:r>
      <w:r>
        <w:fldChar w:fldCharType="begin"/>
      </w:r>
      <w:r>
        <w:instrText xml:space="preserve"> PAGEREF _Toc14091 \h </w:instrText>
      </w:r>
      <w:r>
        <w:fldChar w:fldCharType="separate"/>
      </w:r>
      <w:r>
        <w:t>219</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_Toc26435 </w:instrText>
      </w:r>
      <w:r>
        <w:fldChar w:fldCharType="separate"/>
      </w:r>
      <w:r>
        <w:rPr>
          <w:rFonts w:hint="default" w:ascii="Times New Roman" w:hAnsi="Times New Roman" w:eastAsia="宋体" w:cs="宋体"/>
          <w:szCs w:val="32"/>
          <w:lang w:val="en-US" w:eastAsia="zh-CN"/>
        </w:rPr>
        <w:t xml:space="preserve">6.3 </w:t>
      </w:r>
      <w:r>
        <w:rPr>
          <w:rFonts w:hint="default"/>
          <w:lang w:val="en-US" w:eastAsia="zh-CN"/>
        </w:rPr>
        <w:t>生态环境保护措施及可行性</w:t>
      </w:r>
      <w:r>
        <w:tab/>
      </w:r>
      <w:r>
        <w:fldChar w:fldCharType="begin"/>
      </w:r>
      <w:r>
        <w:instrText xml:space="preserve"> PAGEREF _Toc26435 \h </w:instrText>
      </w:r>
      <w:r>
        <w:fldChar w:fldCharType="separate"/>
      </w:r>
      <w:r>
        <w:t>220</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_Toc18739 </w:instrText>
      </w:r>
      <w:r>
        <w:fldChar w:fldCharType="separate"/>
      </w:r>
      <w:r>
        <w:rPr>
          <w:rFonts w:hint="default" w:ascii="Times New Roman" w:hAnsi="Times New Roman" w:eastAsia="宋体" w:cs="宋体"/>
          <w:szCs w:val="32"/>
          <w:lang w:val="en-US" w:eastAsia="zh-CN"/>
        </w:rPr>
        <w:t xml:space="preserve">6.4 </w:t>
      </w:r>
      <w:r>
        <w:rPr>
          <w:rFonts w:hint="default"/>
          <w:lang w:val="en-US" w:eastAsia="zh-CN"/>
        </w:rPr>
        <w:t>敏感区影响避让及减缓措施</w:t>
      </w:r>
      <w:r>
        <w:tab/>
      </w:r>
      <w:r>
        <w:fldChar w:fldCharType="begin"/>
      </w:r>
      <w:r>
        <w:instrText xml:space="preserve"> PAGEREF _Toc18739 \h </w:instrText>
      </w:r>
      <w:r>
        <w:fldChar w:fldCharType="separate"/>
      </w:r>
      <w:r>
        <w:t>225</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_Toc8519 </w:instrText>
      </w:r>
      <w:r>
        <w:fldChar w:fldCharType="separate"/>
      </w:r>
      <w:r>
        <w:rPr>
          <w:rFonts w:hint="default" w:ascii="Times New Roman" w:hAnsi="Times New Roman" w:eastAsia="宋体" w:cs="宋体"/>
          <w:szCs w:val="32"/>
        </w:rPr>
        <w:t xml:space="preserve">6.5 </w:t>
      </w:r>
      <w:r>
        <w:t>大气污染防治措施及可行性</w:t>
      </w:r>
      <w:r>
        <w:tab/>
      </w:r>
      <w:r>
        <w:fldChar w:fldCharType="begin"/>
      </w:r>
      <w:r>
        <w:instrText xml:space="preserve"> PAGEREF _Toc8519 \h </w:instrText>
      </w:r>
      <w:r>
        <w:fldChar w:fldCharType="separate"/>
      </w:r>
      <w:r>
        <w:t>226</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_Toc24147 </w:instrText>
      </w:r>
      <w:r>
        <w:fldChar w:fldCharType="separate"/>
      </w:r>
      <w:r>
        <w:rPr>
          <w:rFonts w:hint="default" w:ascii="Times New Roman" w:hAnsi="Times New Roman" w:eastAsia="宋体" w:cs="宋体"/>
          <w:szCs w:val="32"/>
          <w:lang w:val="en-US" w:eastAsia="zh-CN"/>
        </w:rPr>
        <w:t xml:space="preserve">6.6 </w:t>
      </w:r>
      <w:r>
        <w:rPr>
          <w:rFonts w:hint="eastAsia"/>
          <w:lang w:val="en-US" w:eastAsia="zh-CN"/>
        </w:rPr>
        <w:t>噪声污染控制措施及可行性</w:t>
      </w:r>
      <w:r>
        <w:tab/>
      </w:r>
      <w:r>
        <w:fldChar w:fldCharType="begin"/>
      </w:r>
      <w:r>
        <w:instrText xml:space="preserve"> PAGEREF _Toc24147 \h </w:instrText>
      </w:r>
      <w:r>
        <w:fldChar w:fldCharType="separate"/>
      </w:r>
      <w:r>
        <w:t>227</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_Toc23178 </w:instrText>
      </w:r>
      <w:r>
        <w:fldChar w:fldCharType="separate"/>
      </w:r>
      <w:r>
        <w:rPr>
          <w:rFonts w:hint="default" w:ascii="Times New Roman" w:hAnsi="Times New Roman" w:eastAsia="宋体" w:cs="宋体"/>
          <w:szCs w:val="32"/>
        </w:rPr>
        <w:t xml:space="preserve">6.7 </w:t>
      </w:r>
      <w:r>
        <w:t>固体废弃物处理处置措施及可行性</w:t>
      </w:r>
      <w:r>
        <w:tab/>
      </w:r>
      <w:r>
        <w:fldChar w:fldCharType="begin"/>
      </w:r>
      <w:r>
        <w:instrText xml:space="preserve"> PAGEREF _Toc23178 \h </w:instrText>
      </w:r>
      <w:r>
        <w:fldChar w:fldCharType="separate"/>
      </w:r>
      <w:r>
        <w:t>228</w:t>
      </w:r>
      <w:r>
        <w:fldChar w:fldCharType="end"/>
      </w:r>
      <w:r>
        <w:rPr>
          <w:color w:val="auto"/>
        </w:rPr>
        <w:fldChar w:fldCharType="end"/>
      </w:r>
    </w:p>
    <w:p>
      <w:pPr>
        <w:pStyle w:val="22"/>
        <w:tabs>
          <w:tab w:val="right" w:leader="dot" w:pos="8300"/>
          <w:tab w:val="clear" w:pos="8381"/>
        </w:tabs>
        <w:spacing w:line="240" w:lineRule="auto"/>
      </w:pPr>
      <w:r>
        <w:rPr>
          <w:color w:val="auto"/>
        </w:rPr>
        <w:fldChar w:fldCharType="begin"/>
      </w:r>
      <w:r>
        <w:instrText xml:space="preserve"> HYPERLINK \l _Toc581 </w:instrText>
      </w:r>
      <w:r>
        <w:fldChar w:fldCharType="separate"/>
      </w:r>
      <w:r>
        <w:rPr>
          <w:rFonts w:hint="default" w:ascii="Times New Roman" w:hAnsi="Times New Roman" w:eastAsia="宋体" w:cs="宋体"/>
          <w:lang w:val="en-US" w:eastAsia="zh-CN"/>
        </w:rPr>
        <w:t xml:space="preserve">7 </w:t>
      </w:r>
      <w:r>
        <w:rPr>
          <w:rFonts w:hint="eastAsia"/>
          <w:lang w:val="en-US" w:eastAsia="zh-CN"/>
        </w:rPr>
        <w:t>环保投资及经济损益分析</w:t>
      </w:r>
      <w:r>
        <w:tab/>
      </w:r>
      <w:r>
        <w:fldChar w:fldCharType="begin"/>
      </w:r>
      <w:r>
        <w:instrText xml:space="preserve"> PAGEREF _Toc581 \h </w:instrText>
      </w:r>
      <w:r>
        <w:fldChar w:fldCharType="separate"/>
      </w:r>
      <w:r>
        <w:t>230</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_Toc21158 </w:instrText>
      </w:r>
      <w:r>
        <w:fldChar w:fldCharType="separate"/>
      </w:r>
      <w:r>
        <w:rPr>
          <w:rFonts w:hint="default" w:ascii="Times New Roman" w:hAnsi="Times New Roman" w:eastAsia="宋体" w:cs="宋体"/>
          <w:szCs w:val="32"/>
          <w:lang w:val="en-US" w:eastAsia="zh-CN"/>
        </w:rPr>
        <w:t xml:space="preserve">7.1 </w:t>
      </w:r>
      <w:r>
        <w:rPr>
          <w:rFonts w:hint="eastAsia"/>
          <w:lang w:val="en-US" w:eastAsia="zh-CN"/>
        </w:rPr>
        <w:t>环保投资估算</w:t>
      </w:r>
      <w:r>
        <w:tab/>
      </w:r>
      <w:r>
        <w:fldChar w:fldCharType="begin"/>
      </w:r>
      <w:r>
        <w:instrText xml:space="preserve"> PAGEREF _Toc21158 \h </w:instrText>
      </w:r>
      <w:r>
        <w:fldChar w:fldCharType="separate"/>
      </w:r>
      <w:r>
        <w:t>230</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_Toc29885 </w:instrText>
      </w:r>
      <w:r>
        <w:fldChar w:fldCharType="separate"/>
      </w:r>
      <w:r>
        <w:rPr>
          <w:rFonts w:hint="default" w:ascii="Times New Roman" w:hAnsi="Times New Roman" w:eastAsia="宋体" w:cs="宋体"/>
          <w:szCs w:val="32"/>
        </w:rPr>
        <w:t xml:space="preserve">7.2 </w:t>
      </w:r>
      <w:r>
        <w:t>环境影响经济效益分析</w:t>
      </w:r>
      <w:r>
        <w:tab/>
      </w:r>
      <w:r>
        <w:fldChar w:fldCharType="begin"/>
      </w:r>
      <w:r>
        <w:instrText xml:space="preserve"> PAGEREF _Toc29885 \h </w:instrText>
      </w:r>
      <w:r>
        <w:fldChar w:fldCharType="separate"/>
      </w:r>
      <w:r>
        <w:t>231</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_Toc22262 </w:instrText>
      </w:r>
      <w:r>
        <w:fldChar w:fldCharType="separate"/>
      </w:r>
      <w:r>
        <w:rPr>
          <w:rFonts w:hint="default" w:ascii="Times New Roman" w:hAnsi="Times New Roman" w:eastAsia="宋体" w:cs="宋体"/>
          <w:szCs w:val="32"/>
        </w:rPr>
        <w:t xml:space="preserve">7.3 </w:t>
      </w:r>
      <w:r>
        <w:t>环境影响经济损失分析</w:t>
      </w:r>
      <w:r>
        <w:tab/>
      </w:r>
      <w:r>
        <w:fldChar w:fldCharType="begin"/>
      </w:r>
      <w:r>
        <w:instrText xml:space="preserve"> PAGEREF _Toc22262 \h </w:instrText>
      </w:r>
      <w:r>
        <w:fldChar w:fldCharType="separate"/>
      </w:r>
      <w:r>
        <w:t>232</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_Toc4156 </w:instrText>
      </w:r>
      <w:r>
        <w:fldChar w:fldCharType="separate"/>
      </w:r>
      <w:r>
        <w:rPr>
          <w:rFonts w:hint="default" w:ascii="Times New Roman" w:hAnsi="Times New Roman" w:eastAsia="宋体" w:cs="宋体"/>
          <w:szCs w:val="32"/>
        </w:rPr>
        <w:t xml:space="preserve">7.4 </w:t>
      </w:r>
      <w:r>
        <w:t>环境经济损益分析</w:t>
      </w:r>
      <w:r>
        <w:tab/>
      </w:r>
      <w:r>
        <w:fldChar w:fldCharType="begin"/>
      </w:r>
      <w:r>
        <w:instrText xml:space="preserve"> PAGEREF _Toc4156 \h </w:instrText>
      </w:r>
      <w:r>
        <w:fldChar w:fldCharType="separate"/>
      </w:r>
      <w:r>
        <w:t>232</w:t>
      </w:r>
      <w:r>
        <w:fldChar w:fldCharType="end"/>
      </w:r>
      <w:r>
        <w:rPr>
          <w:color w:val="auto"/>
        </w:rPr>
        <w:fldChar w:fldCharType="end"/>
      </w:r>
    </w:p>
    <w:p>
      <w:pPr>
        <w:pStyle w:val="22"/>
        <w:tabs>
          <w:tab w:val="right" w:leader="dot" w:pos="8300"/>
          <w:tab w:val="clear" w:pos="8381"/>
        </w:tabs>
        <w:spacing w:line="240" w:lineRule="auto"/>
      </w:pPr>
      <w:r>
        <w:rPr>
          <w:color w:val="auto"/>
        </w:rPr>
        <w:fldChar w:fldCharType="begin"/>
      </w:r>
      <w:r>
        <w:instrText xml:space="preserve"> HYPERLINK \l _Toc22599 </w:instrText>
      </w:r>
      <w:r>
        <w:fldChar w:fldCharType="separate"/>
      </w:r>
      <w:r>
        <w:rPr>
          <w:rFonts w:hint="default" w:ascii="Times New Roman" w:hAnsi="Times New Roman" w:eastAsia="宋体" w:cs="宋体"/>
        </w:rPr>
        <w:t xml:space="preserve">8 </w:t>
      </w:r>
      <w:r>
        <w:t>环境管理与监测计划</w:t>
      </w:r>
      <w:r>
        <w:tab/>
      </w:r>
      <w:r>
        <w:fldChar w:fldCharType="begin"/>
      </w:r>
      <w:r>
        <w:instrText xml:space="preserve"> PAGEREF _Toc22599 \h </w:instrText>
      </w:r>
      <w:r>
        <w:fldChar w:fldCharType="separate"/>
      </w:r>
      <w:r>
        <w:t>233</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_Toc10625 </w:instrText>
      </w:r>
      <w:r>
        <w:fldChar w:fldCharType="separate"/>
      </w:r>
      <w:r>
        <w:rPr>
          <w:rFonts w:hint="default" w:ascii="Times New Roman" w:hAnsi="Times New Roman" w:eastAsia="宋体" w:cs="宋体"/>
          <w:szCs w:val="32"/>
        </w:rPr>
        <w:t xml:space="preserve">8.1 </w:t>
      </w:r>
      <w:r>
        <w:t>环境管理</w:t>
      </w:r>
      <w:r>
        <w:tab/>
      </w:r>
      <w:r>
        <w:fldChar w:fldCharType="begin"/>
      </w:r>
      <w:r>
        <w:instrText xml:space="preserve"> PAGEREF _Toc10625 \h </w:instrText>
      </w:r>
      <w:r>
        <w:fldChar w:fldCharType="separate"/>
      </w:r>
      <w:r>
        <w:t>233</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_Toc27378 </w:instrText>
      </w:r>
      <w:r>
        <w:fldChar w:fldCharType="separate"/>
      </w:r>
      <w:r>
        <w:rPr>
          <w:rFonts w:hint="default" w:ascii="Times New Roman" w:hAnsi="Times New Roman" w:eastAsia="宋体" w:cs="宋体"/>
          <w:szCs w:val="32"/>
        </w:rPr>
        <w:t xml:space="preserve">8.2 </w:t>
      </w:r>
      <w:r>
        <w:t>环境管理原则</w:t>
      </w:r>
      <w:r>
        <w:tab/>
      </w:r>
      <w:r>
        <w:fldChar w:fldCharType="begin"/>
      </w:r>
      <w:r>
        <w:instrText xml:space="preserve"> PAGEREF _Toc27378 \h </w:instrText>
      </w:r>
      <w:r>
        <w:fldChar w:fldCharType="separate"/>
      </w:r>
      <w:r>
        <w:t>233</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_Toc27897 </w:instrText>
      </w:r>
      <w:r>
        <w:fldChar w:fldCharType="separate"/>
      </w:r>
      <w:r>
        <w:rPr>
          <w:rFonts w:hint="default" w:ascii="Times New Roman" w:hAnsi="Times New Roman" w:eastAsia="宋体" w:cs="宋体"/>
          <w:szCs w:val="32"/>
        </w:rPr>
        <w:t xml:space="preserve">8.3 </w:t>
      </w:r>
      <w:r>
        <w:t>环境管理机构设置与职责</w:t>
      </w:r>
      <w:r>
        <w:tab/>
      </w:r>
      <w:r>
        <w:fldChar w:fldCharType="begin"/>
      </w:r>
      <w:r>
        <w:instrText xml:space="preserve"> PAGEREF _Toc27897 \h </w:instrText>
      </w:r>
      <w:r>
        <w:fldChar w:fldCharType="separate"/>
      </w:r>
      <w:r>
        <w:t>233</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_Toc5765 </w:instrText>
      </w:r>
      <w:r>
        <w:fldChar w:fldCharType="separate"/>
      </w:r>
      <w:r>
        <w:rPr>
          <w:rFonts w:hint="default" w:ascii="Times New Roman" w:hAnsi="Times New Roman" w:eastAsia="宋体" w:cs="宋体"/>
          <w:szCs w:val="32"/>
        </w:rPr>
        <w:t xml:space="preserve">8.4 </w:t>
      </w:r>
      <w:r>
        <w:t>环境管理内容</w:t>
      </w:r>
      <w:r>
        <w:tab/>
      </w:r>
      <w:r>
        <w:fldChar w:fldCharType="begin"/>
      </w:r>
      <w:r>
        <w:instrText xml:space="preserve"> PAGEREF _Toc5765 \h </w:instrText>
      </w:r>
      <w:r>
        <w:fldChar w:fldCharType="separate"/>
      </w:r>
      <w:r>
        <w:t>234</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_Toc10717 </w:instrText>
      </w:r>
      <w:r>
        <w:fldChar w:fldCharType="separate"/>
      </w:r>
      <w:r>
        <w:rPr>
          <w:rFonts w:hint="default" w:ascii="Times New Roman" w:hAnsi="Times New Roman" w:eastAsia="宋体" w:cs="宋体"/>
          <w:szCs w:val="32"/>
        </w:rPr>
        <w:t xml:space="preserve">8.5 </w:t>
      </w:r>
      <w:r>
        <w:t>施工期环境监理</w:t>
      </w:r>
      <w:r>
        <w:tab/>
      </w:r>
      <w:r>
        <w:fldChar w:fldCharType="begin"/>
      </w:r>
      <w:r>
        <w:instrText xml:space="preserve"> PAGEREF _Toc10717 \h </w:instrText>
      </w:r>
      <w:r>
        <w:fldChar w:fldCharType="separate"/>
      </w:r>
      <w:r>
        <w:t>234</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_Toc20301 </w:instrText>
      </w:r>
      <w:r>
        <w:fldChar w:fldCharType="separate"/>
      </w:r>
      <w:r>
        <w:rPr>
          <w:rFonts w:hint="default" w:ascii="Times New Roman" w:hAnsi="Times New Roman" w:eastAsia="宋体" w:cs="宋体"/>
          <w:szCs w:val="32"/>
        </w:rPr>
        <w:t xml:space="preserve">8.6 </w:t>
      </w:r>
      <w:r>
        <w:t>环境监测计划</w:t>
      </w:r>
      <w:r>
        <w:tab/>
      </w:r>
      <w:r>
        <w:fldChar w:fldCharType="begin"/>
      </w:r>
      <w:r>
        <w:instrText xml:space="preserve"> PAGEREF _Toc20301 \h </w:instrText>
      </w:r>
      <w:r>
        <w:fldChar w:fldCharType="separate"/>
      </w:r>
      <w:r>
        <w:t>235</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_Toc21060 </w:instrText>
      </w:r>
      <w:r>
        <w:fldChar w:fldCharType="separate"/>
      </w:r>
      <w:r>
        <w:rPr>
          <w:rFonts w:hint="default" w:ascii="Times New Roman" w:hAnsi="Times New Roman" w:eastAsia="宋体" w:cs="宋体"/>
          <w:szCs w:val="32"/>
        </w:rPr>
        <w:t xml:space="preserve">8.7 </w:t>
      </w:r>
      <w:r>
        <w:t>竣工环保验收</w:t>
      </w:r>
      <w:r>
        <w:tab/>
      </w:r>
      <w:r>
        <w:fldChar w:fldCharType="begin"/>
      </w:r>
      <w:r>
        <w:instrText xml:space="preserve"> PAGEREF _Toc21060 \h </w:instrText>
      </w:r>
      <w:r>
        <w:fldChar w:fldCharType="separate"/>
      </w:r>
      <w:r>
        <w:t>238</w:t>
      </w:r>
      <w:r>
        <w:fldChar w:fldCharType="end"/>
      </w:r>
      <w:r>
        <w:rPr>
          <w:color w:val="auto"/>
        </w:rPr>
        <w:fldChar w:fldCharType="end"/>
      </w:r>
    </w:p>
    <w:p>
      <w:pPr>
        <w:pStyle w:val="22"/>
        <w:tabs>
          <w:tab w:val="right" w:leader="dot" w:pos="8300"/>
          <w:tab w:val="clear" w:pos="8381"/>
        </w:tabs>
        <w:spacing w:line="240" w:lineRule="auto"/>
      </w:pPr>
      <w:r>
        <w:rPr>
          <w:color w:val="auto"/>
        </w:rPr>
        <w:fldChar w:fldCharType="begin"/>
      </w:r>
      <w:r>
        <w:instrText xml:space="preserve"> HYPERLINK \l _Toc31358 </w:instrText>
      </w:r>
      <w:r>
        <w:fldChar w:fldCharType="separate"/>
      </w:r>
      <w:r>
        <w:rPr>
          <w:rFonts w:hint="default" w:ascii="Times New Roman" w:hAnsi="Times New Roman" w:eastAsia="宋体" w:cs="宋体"/>
          <w:lang w:val="en-US" w:eastAsia="zh-CN"/>
        </w:rPr>
        <w:t xml:space="preserve">9 </w:t>
      </w:r>
      <w:r>
        <w:rPr>
          <w:rFonts w:hint="eastAsia"/>
          <w:lang w:val="en-US" w:eastAsia="zh-CN"/>
        </w:rPr>
        <w:t>相关政策及规划符合性分析</w:t>
      </w:r>
      <w:r>
        <w:tab/>
      </w:r>
      <w:r>
        <w:fldChar w:fldCharType="begin"/>
      </w:r>
      <w:r>
        <w:instrText xml:space="preserve"> PAGEREF _Toc31358 \h </w:instrText>
      </w:r>
      <w:r>
        <w:fldChar w:fldCharType="separate"/>
      </w:r>
      <w:r>
        <w:t>240</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_Toc3494 </w:instrText>
      </w:r>
      <w:r>
        <w:fldChar w:fldCharType="separate"/>
      </w:r>
      <w:r>
        <w:rPr>
          <w:rFonts w:hint="default" w:ascii="Times New Roman" w:hAnsi="Times New Roman" w:eastAsia="宋体" w:cs="宋体"/>
          <w:szCs w:val="32"/>
        </w:rPr>
        <w:t xml:space="preserve">9.1 </w:t>
      </w:r>
      <w:r>
        <w:rPr>
          <w:rFonts w:hint="default"/>
        </w:rPr>
        <w:t>与产业政策符合性分析</w:t>
      </w:r>
      <w:r>
        <w:tab/>
      </w:r>
      <w:r>
        <w:fldChar w:fldCharType="begin"/>
      </w:r>
      <w:r>
        <w:instrText xml:space="preserve"> PAGEREF _Toc3494 \h </w:instrText>
      </w:r>
      <w:r>
        <w:fldChar w:fldCharType="separate"/>
      </w:r>
      <w:r>
        <w:t>240</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_Toc4892 </w:instrText>
      </w:r>
      <w:r>
        <w:fldChar w:fldCharType="separate"/>
      </w:r>
      <w:r>
        <w:rPr>
          <w:rFonts w:hint="default" w:ascii="Times New Roman" w:hAnsi="Times New Roman" w:eastAsia="宋体" w:cs="宋体"/>
          <w:szCs w:val="32"/>
        </w:rPr>
        <w:t xml:space="preserve">9.2 </w:t>
      </w:r>
      <w:r>
        <w:rPr>
          <w:rFonts w:hint="default"/>
        </w:rPr>
        <w:t>与相关</w:t>
      </w:r>
      <w:r>
        <w:rPr>
          <w:rFonts w:hint="eastAsia"/>
          <w:lang w:val="en-US" w:eastAsia="zh-CN"/>
        </w:rPr>
        <w:t>法律、法规</w:t>
      </w:r>
      <w:r>
        <w:rPr>
          <w:rFonts w:hint="default"/>
        </w:rPr>
        <w:t>的</w:t>
      </w:r>
      <w:r>
        <w:rPr>
          <w:rFonts w:hint="eastAsia"/>
          <w:lang w:val="en-US" w:eastAsia="zh-CN"/>
        </w:rPr>
        <w:t>符合性</w:t>
      </w:r>
      <w:r>
        <w:rPr>
          <w:rFonts w:hint="default"/>
        </w:rPr>
        <w:t>分析</w:t>
      </w:r>
      <w:r>
        <w:tab/>
      </w:r>
      <w:r>
        <w:fldChar w:fldCharType="begin"/>
      </w:r>
      <w:r>
        <w:instrText xml:space="preserve"> PAGEREF _Toc4892 \h </w:instrText>
      </w:r>
      <w:r>
        <w:fldChar w:fldCharType="separate"/>
      </w:r>
      <w:r>
        <w:t>240</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_Toc24223 </w:instrText>
      </w:r>
      <w:r>
        <w:fldChar w:fldCharType="separate"/>
      </w:r>
      <w:r>
        <w:rPr>
          <w:rFonts w:hint="default" w:ascii="Times New Roman" w:hAnsi="Times New Roman" w:eastAsia="宋体" w:cs="宋体"/>
          <w:szCs w:val="32"/>
          <w:lang w:val="en-US" w:eastAsia="zh-CN"/>
        </w:rPr>
        <w:t xml:space="preserve">9.3 </w:t>
      </w:r>
      <w:r>
        <w:rPr>
          <w:rFonts w:hint="default"/>
        </w:rPr>
        <w:t>与相关政策的</w:t>
      </w:r>
      <w:r>
        <w:rPr>
          <w:rFonts w:hint="eastAsia"/>
          <w:lang w:val="en-US" w:eastAsia="zh-CN"/>
        </w:rPr>
        <w:t>符合性分析</w:t>
      </w:r>
      <w:r>
        <w:tab/>
      </w:r>
      <w:r>
        <w:fldChar w:fldCharType="begin"/>
      </w:r>
      <w:r>
        <w:instrText xml:space="preserve"> PAGEREF _Toc24223 \h </w:instrText>
      </w:r>
      <w:r>
        <w:fldChar w:fldCharType="separate"/>
      </w:r>
      <w:r>
        <w:t>242</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_Toc24151 </w:instrText>
      </w:r>
      <w:r>
        <w:fldChar w:fldCharType="separate"/>
      </w:r>
      <w:r>
        <w:rPr>
          <w:rFonts w:hint="default" w:ascii="Times New Roman" w:hAnsi="Times New Roman" w:eastAsia="宋体" w:cs="宋体"/>
          <w:szCs w:val="32"/>
        </w:rPr>
        <w:t xml:space="preserve">9.4 </w:t>
      </w:r>
      <w:r>
        <w:rPr>
          <w:rFonts w:hint="default"/>
        </w:rPr>
        <w:t>与</w:t>
      </w:r>
      <w:r>
        <w:rPr>
          <w:rFonts w:hint="eastAsia"/>
          <w:lang w:eastAsia="zh-CN"/>
        </w:rPr>
        <w:t>“</w:t>
      </w:r>
      <w:r>
        <w:rPr>
          <w:rFonts w:hint="default"/>
        </w:rPr>
        <w:t>三线一单</w:t>
      </w:r>
      <w:r>
        <w:rPr>
          <w:rFonts w:hint="eastAsia"/>
          <w:lang w:eastAsia="zh-CN"/>
        </w:rPr>
        <w:t>”</w:t>
      </w:r>
      <w:r>
        <w:rPr>
          <w:rFonts w:hint="default"/>
        </w:rPr>
        <w:t>符合性分析</w:t>
      </w:r>
      <w:r>
        <w:tab/>
      </w:r>
      <w:r>
        <w:fldChar w:fldCharType="begin"/>
      </w:r>
      <w:r>
        <w:instrText xml:space="preserve"> PAGEREF _Toc24151 \h </w:instrText>
      </w:r>
      <w:r>
        <w:fldChar w:fldCharType="separate"/>
      </w:r>
      <w:r>
        <w:t>250</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_Toc5785 </w:instrText>
      </w:r>
      <w:r>
        <w:fldChar w:fldCharType="separate"/>
      </w:r>
      <w:r>
        <w:rPr>
          <w:rFonts w:hint="default" w:ascii="Times New Roman" w:hAnsi="Times New Roman" w:eastAsia="宋体" w:cs="宋体"/>
          <w:szCs w:val="32"/>
        </w:rPr>
        <w:t xml:space="preserve">9.5 </w:t>
      </w:r>
      <w:r>
        <w:rPr>
          <w:rFonts w:hint="default"/>
        </w:rPr>
        <w:t>选址环境合理性分析</w:t>
      </w:r>
      <w:r>
        <w:tab/>
      </w:r>
      <w:r>
        <w:fldChar w:fldCharType="begin"/>
      </w:r>
      <w:r>
        <w:instrText xml:space="preserve"> PAGEREF _Toc5785 \h </w:instrText>
      </w:r>
      <w:r>
        <w:fldChar w:fldCharType="separate"/>
      </w:r>
      <w:r>
        <w:t>255</w:t>
      </w:r>
      <w:r>
        <w:fldChar w:fldCharType="end"/>
      </w:r>
      <w:r>
        <w:rPr>
          <w:color w:val="auto"/>
        </w:rPr>
        <w:fldChar w:fldCharType="end"/>
      </w:r>
    </w:p>
    <w:p>
      <w:pPr>
        <w:pStyle w:val="22"/>
        <w:tabs>
          <w:tab w:val="right" w:leader="dot" w:pos="8300"/>
          <w:tab w:val="clear" w:pos="8381"/>
        </w:tabs>
        <w:spacing w:line="240" w:lineRule="auto"/>
      </w:pPr>
      <w:r>
        <w:rPr>
          <w:color w:val="auto"/>
        </w:rPr>
        <w:fldChar w:fldCharType="begin"/>
      </w:r>
      <w:r>
        <w:instrText xml:space="preserve"> HYPERLINK \l _Toc27907 </w:instrText>
      </w:r>
      <w:r>
        <w:fldChar w:fldCharType="separate"/>
      </w:r>
      <w:r>
        <w:rPr>
          <w:rFonts w:hint="default" w:ascii="Times New Roman" w:hAnsi="Times New Roman" w:eastAsia="宋体" w:cs="宋体"/>
          <w:lang w:val="en-US" w:eastAsia="zh-CN"/>
        </w:rPr>
        <w:t xml:space="preserve">10 </w:t>
      </w:r>
      <w:r>
        <w:rPr>
          <w:highlight w:val="none"/>
        </w:rPr>
        <w:t>结论</w:t>
      </w:r>
      <w:r>
        <w:rPr>
          <w:rFonts w:hint="eastAsia"/>
          <w:highlight w:val="none"/>
          <w:lang w:val="en-US" w:eastAsia="zh-CN"/>
        </w:rPr>
        <w:t>与建议</w:t>
      </w:r>
      <w:r>
        <w:tab/>
      </w:r>
      <w:r>
        <w:fldChar w:fldCharType="begin"/>
      </w:r>
      <w:r>
        <w:instrText xml:space="preserve"> PAGEREF _Toc27907 \h </w:instrText>
      </w:r>
      <w:r>
        <w:fldChar w:fldCharType="separate"/>
      </w:r>
      <w:r>
        <w:t>258</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_Toc15331 </w:instrText>
      </w:r>
      <w:r>
        <w:fldChar w:fldCharType="separate"/>
      </w:r>
      <w:r>
        <w:rPr>
          <w:rFonts w:hint="default" w:ascii="Times New Roman" w:hAnsi="Times New Roman" w:eastAsia="宋体" w:cs="宋体"/>
          <w:szCs w:val="32"/>
        </w:rPr>
        <w:t xml:space="preserve">10.1 </w:t>
      </w:r>
      <w:r>
        <w:t>与产业政策、规划、法规的符合性及选址合理性</w:t>
      </w:r>
      <w:r>
        <w:tab/>
      </w:r>
      <w:r>
        <w:fldChar w:fldCharType="begin"/>
      </w:r>
      <w:r>
        <w:instrText xml:space="preserve"> PAGEREF _Toc15331 \h </w:instrText>
      </w:r>
      <w:r>
        <w:fldChar w:fldCharType="separate"/>
      </w:r>
      <w:r>
        <w:t>258</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_Toc10710 </w:instrText>
      </w:r>
      <w:r>
        <w:fldChar w:fldCharType="separate"/>
      </w:r>
      <w:r>
        <w:rPr>
          <w:rFonts w:hint="default" w:ascii="Times New Roman" w:hAnsi="Times New Roman" w:eastAsia="宋体" w:cs="宋体"/>
          <w:szCs w:val="32"/>
        </w:rPr>
        <w:t xml:space="preserve">10.2 </w:t>
      </w:r>
      <w:r>
        <w:t>环境质量现状</w:t>
      </w:r>
      <w:r>
        <w:tab/>
      </w:r>
      <w:r>
        <w:fldChar w:fldCharType="begin"/>
      </w:r>
      <w:r>
        <w:instrText xml:space="preserve"> PAGEREF _Toc10710 \h </w:instrText>
      </w:r>
      <w:r>
        <w:fldChar w:fldCharType="separate"/>
      </w:r>
      <w:r>
        <w:t>258</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_Toc7544 </w:instrText>
      </w:r>
      <w:r>
        <w:fldChar w:fldCharType="separate"/>
      </w:r>
      <w:r>
        <w:rPr>
          <w:rFonts w:hint="default" w:ascii="Times New Roman" w:hAnsi="Times New Roman" w:eastAsia="宋体" w:cs="宋体"/>
          <w:szCs w:val="32"/>
        </w:rPr>
        <w:t xml:space="preserve">10.3 </w:t>
      </w:r>
      <w:r>
        <w:t>环境影响评价结论</w:t>
      </w:r>
      <w:r>
        <w:tab/>
      </w:r>
      <w:r>
        <w:fldChar w:fldCharType="begin"/>
      </w:r>
      <w:r>
        <w:instrText xml:space="preserve"> PAGEREF _Toc7544 \h </w:instrText>
      </w:r>
      <w:r>
        <w:fldChar w:fldCharType="separate"/>
      </w:r>
      <w:r>
        <w:t>259</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_Toc27136 </w:instrText>
      </w:r>
      <w:r>
        <w:fldChar w:fldCharType="separate"/>
      </w:r>
      <w:r>
        <w:rPr>
          <w:rFonts w:hint="default" w:ascii="Times New Roman" w:hAnsi="Times New Roman" w:eastAsia="宋体" w:cs="宋体"/>
          <w:szCs w:val="32"/>
          <w:lang w:val="en-US" w:eastAsia="zh-CN"/>
        </w:rPr>
        <w:t xml:space="preserve">10.4 </w:t>
      </w:r>
      <w:r>
        <w:rPr>
          <w:rFonts w:hint="eastAsia"/>
          <w:lang w:val="en-US" w:eastAsia="zh-CN"/>
        </w:rPr>
        <w:t>公众参与评价结论</w:t>
      </w:r>
      <w:r>
        <w:tab/>
      </w:r>
      <w:r>
        <w:fldChar w:fldCharType="begin"/>
      </w:r>
      <w:r>
        <w:instrText xml:space="preserve"> PAGEREF _Toc27136 \h </w:instrText>
      </w:r>
      <w:r>
        <w:fldChar w:fldCharType="separate"/>
      </w:r>
      <w:r>
        <w:t>264</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_Toc27517 </w:instrText>
      </w:r>
      <w:r>
        <w:fldChar w:fldCharType="separate"/>
      </w:r>
      <w:r>
        <w:rPr>
          <w:rFonts w:hint="default" w:ascii="Times New Roman" w:hAnsi="Times New Roman" w:eastAsia="宋体" w:cs="宋体"/>
          <w:szCs w:val="32"/>
        </w:rPr>
        <w:t xml:space="preserve">10.5 </w:t>
      </w:r>
      <w:r>
        <w:rPr>
          <w:rFonts w:hint="default" w:ascii="Times New Roman" w:hAnsi="Times New Roman" w:cs="Times New Roman"/>
          <w:highlight w:val="none"/>
        </w:rPr>
        <w:t>综合评价结论</w:t>
      </w:r>
      <w:r>
        <w:tab/>
      </w:r>
      <w:r>
        <w:fldChar w:fldCharType="begin"/>
      </w:r>
      <w:r>
        <w:instrText xml:space="preserve"> PAGEREF _Toc27517 \h </w:instrText>
      </w:r>
      <w:r>
        <w:fldChar w:fldCharType="separate"/>
      </w:r>
      <w:r>
        <w:t>264</w:t>
      </w:r>
      <w:r>
        <w:fldChar w:fldCharType="end"/>
      </w:r>
      <w:r>
        <w:rPr>
          <w:color w:val="auto"/>
        </w:rPr>
        <w:fldChar w:fldCharType="end"/>
      </w:r>
    </w:p>
    <w:p>
      <w:pPr>
        <w:pStyle w:val="25"/>
        <w:tabs>
          <w:tab w:val="right" w:leader="dot" w:pos="8300"/>
        </w:tabs>
        <w:spacing w:line="240" w:lineRule="auto"/>
      </w:pPr>
      <w:r>
        <w:rPr>
          <w:color w:val="auto"/>
        </w:rPr>
        <w:fldChar w:fldCharType="begin"/>
      </w:r>
      <w:r>
        <w:instrText xml:space="preserve"> HYPERLINK \l _Toc3022 </w:instrText>
      </w:r>
      <w:r>
        <w:fldChar w:fldCharType="separate"/>
      </w:r>
      <w:r>
        <w:rPr>
          <w:rFonts w:hint="default" w:ascii="Times New Roman" w:hAnsi="Times New Roman" w:eastAsia="宋体" w:cs="宋体"/>
          <w:szCs w:val="32"/>
        </w:rPr>
        <w:t xml:space="preserve">10.6 </w:t>
      </w:r>
      <w:r>
        <w:rPr>
          <w:rFonts w:hint="default" w:ascii="Times New Roman" w:hAnsi="Times New Roman" w:cs="Times New Roman"/>
          <w:highlight w:val="none"/>
        </w:rPr>
        <w:t>建议</w:t>
      </w:r>
      <w:r>
        <w:tab/>
      </w:r>
      <w:r>
        <w:fldChar w:fldCharType="begin"/>
      </w:r>
      <w:r>
        <w:instrText xml:space="preserve"> PAGEREF _Toc3022 \h </w:instrText>
      </w:r>
      <w:r>
        <w:fldChar w:fldCharType="separate"/>
      </w:r>
      <w:r>
        <w:t>265</w:t>
      </w:r>
      <w:r>
        <w:fldChar w:fldCharType="end"/>
      </w:r>
      <w:r>
        <w:rPr>
          <w:color w:val="auto"/>
        </w:rPr>
        <w:fldChar w:fldCharType="end"/>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color w:val="auto"/>
        </w:rPr>
        <w:sectPr>
          <w:headerReference r:id="rId5" w:type="default"/>
          <w:footerReference r:id="rId6" w:type="default"/>
          <w:pgSz w:w="11906" w:h="16838"/>
          <w:pgMar w:top="1440" w:right="1803" w:bottom="1440" w:left="1803" w:header="851" w:footer="992" w:gutter="0"/>
          <w:pgBorders>
            <w:top w:val="none" w:sz="0" w:space="0"/>
            <w:left w:val="none" w:sz="0" w:space="0"/>
            <w:bottom w:val="none" w:sz="0" w:space="0"/>
            <w:right w:val="none" w:sz="0" w:space="0"/>
          </w:pgBorders>
          <w:pgNumType w:fmt="upperRoman" w:start="1"/>
          <w:cols w:space="720" w:num="1"/>
          <w:rtlGutter w:val="0"/>
          <w:docGrid w:type="lines" w:linePitch="312" w:charSpace="0"/>
        </w:sectPr>
      </w:pPr>
      <w:r>
        <w:rPr>
          <w:color w:val="auto"/>
        </w:rPr>
        <w:fldChar w:fldCharType="end"/>
      </w:r>
    </w:p>
    <w:p>
      <w:pPr>
        <w:keepNext w:val="0"/>
        <w:keepLines w:val="0"/>
        <w:pageBreakBefore w:val="0"/>
        <w:widowControl w:val="0"/>
        <w:kinsoku/>
        <w:wordWrap/>
        <w:overflowPunct/>
        <w:topLinePunct w:val="0"/>
        <w:autoSpaceDE/>
        <w:autoSpaceDN/>
        <w:bidi w:val="0"/>
        <w:adjustRightInd/>
        <w:snapToGrid w:val="0"/>
        <w:ind w:left="0" w:leftChars="0" w:firstLine="482" w:firstLineChars="200"/>
        <w:jc w:val="both"/>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附表：</w:t>
      </w:r>
    </w:p>
    <w:p>
      <w:pPr>
        <w:outlineLvl w:val="9"/>
        <w:rPr>
          <w:rFonts w:hint="default" w:eastAsia="宋体"/>
          <w:b w:val="0"/>
          <w:bCs w:val="0"/>
          <w:color w:val="auto"/>
          <w:highlight w:val="none"/>
          <w:lang w:val="en-US" w:eastAsia="zh-CN"/>
        </w:rPr>
      </w:pPr>
      <w:r>
        <w:rPr>
          <w:rFonts w:hint="eastAsia"/>
          <w:b w:val="0"/>
          <w:bCs w:val="0"/>
          <w:color w:val="auto"/>
          <w:highlight w:val="none"/>
          <w:lang w:val="en-US" w:eastAsia="zh-CN"/>
        </w:rPr>
        <w:t>附表1 建设项目环境影响报告书审批基础信息表</w:t>
      </w:r>
    </w:p>
    <w:p>
      <w:pPr>
        <w:outlineLvl w:val="9"/>
        <w:rPr>
          <w:rFonts w:hint="default" w:ascii="Times New Roman" w:hAnsi="Times New Roman" w:eastAsia="宋体" w:cs="Times New Roman"/>
          <w:b w:val="0"/>
          <w:bCs w:val="0"/>
          <w:color w:val="auto"/>
          <w:highlight w:val="none"/>
          <w:lang w:val="en-US" w:eastAsia="zh-CN"/>
        </w:rPr>
      </w:pPr>
      <w:r>
        <w:rPr>
          <w:rFonts w:hint="eastAsia" w:cs="Times New Roman"/>
          <w:b w:val="0"/>
          <w:bCs w:val="0"/>
          <w:color w:val="auto"/>
          <w:highlight w:val="none"/>
          <w:lang w:val="en-US" w:eastAsia="zh-CN"/>
        </w:rPr>
        <w:t xml:space="preserve">附表2 </w:t>
      </w:r>
      <w:r>
        <w:rPr>
          <w:rFonts w:hint="eastAsia" w:ascii="Times New Roman" w:hAnsi="Times New Roman"/>
          <w:b w:val="0"/>
          <w:bCs w:val="0"/>
          <w:smallCaps w:val="0"/>
          <w:color w:val="auto"/>
        </w:rPr>
        <w:t>地表水环境影响评价自查表</w:t>
      </w:r>
    </w:p>
    <w:p>
      <w:pPr>
        <w:outlineLvl w:val="9"/>
        <w:rPr>
          <w:rFonts w:hint="default"/>
          <w:b w:val="0"/>
          <w:bCs w:val="0"/>
          <w:color w:val="auto"/>
        </w:rPr>
      </w:pPr>
      <w:r>
        <w:rPr>
          <w:rFonts w:hint="eastAsia"/>
          <w:b w:val="0"/>
          <w:bCs w:val="0"/>
          <w:color w:val="auto"/>
          <w:lang w:val="en-US" w:eastAsia="zh-CN"/>
        </w:rPr>
        <w:t xml:space="preserve">附表3 </w:t>
      </w:r>
      <w:r>
        <w:rPr>
          <w:rFonts w:hint="default"/>
          <w:b w:val="0"/>
          <w:bCs w:val="0"/>
          <w:color w:val="auto"/>
        </w:rPr>
        <w:t>声环境影响评价自查表</w:t>
      </w:r>
    </w:p>
    <w:p>
      <w:pPr>
        <w:outlineLvl w:val="9"/>
        <w:rPr>
          <w:rFonts w:hint="default"/>
          <w:b w:val="0"/>
          <w:bCs w:val="0"/>
          <w:color w:val="auto"/>
        </w:rPr>
      </w:pPr>
      <w:r>
        <w:rPr>
          <w:rFonts w:hint="eastAsia"/>
          <w:b w:val="0"/>
          <w:bCs w:val="0"/>
          <w:color w:val="auto"/>
          <w:lang w:val="en-US" w:eastAsia="zh-CN"/>
        </w:rPr>
        <w:t xml:space="preserve">附表4 </w:t>
      </w:r>
      <w:r>
        <w:rPr>
          <w:rFonts w:hint="default"/>
          <w:b w:val="0"/>
          <w:bCs w:val="0"/>
          <w:color w:val="auto"/>
        </w:rPr>
        <w:t>生态影响评价自查表</w:t>
      </w:r>
    </w:p>
    <w:p>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auto"/>
          <w:highlight w:val="none"/>
        </w:rPr>
      </w:pPr>
      <w:bookmarkStart w:id="6" w:name="_Toc3818"/>
    </w:p>
    <w:p>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附录：</w:t>
      </w:r>
      <w:bookmarkEnd w:id="6"/>
    </w:p>
    <w:p>
      <w:pPr>
        <w:pStyle w:val="13"/>
        <w:keepNext w:val="0"/>
        <w:keepLines w:val="0"/>
        <w:pageBreakBefore w:val="0"/>
        <w:widowControl w:val="0"/>
        <w:kinsoku/>
        <w:wordWrap/>
        <w:overflowPunct/>
        <w:topLinePunct w:val="0"/>
        <w:autoSpaceDE/>
        <w:autoSpaceDN/>
        <w:bidi w:val="0"/>
        <w:adjustRightInd/>
        <w:ind w:left="0" w:leftChars="0" w:firstLine="480" w:firstLineChars="200"/>
        <w:textAlignment w:val="auto"/>
        <w:rPr>
          <w:rFonts w:hint="eastAsia" w:cs="Times New Roman"/>
          <w:b w:val="0"/>
          <w:bCs w:val="0"/>
          <w:color w:val="auto"/>
          <w:highlight w:val="none"/>
          <w:lang w:val="en-US" w:eastAsia="zh-CN"/>
        </w:rPr>
      </w:pPr>
      <w:r>
        <w:rPr>
          <w:rFonts w:hint="eastAsia" w:cs="Times New Roman"/>
          <w:b w:val="0"/>
          <w:bCs w:val="0"/>
          <w:color w:val="auto"/>
          <w:highlight w:val="none"/>
          <w:lang w:val="en-US" w:eastAsia="zh-CN"/>
        </w:rPr>
        <w:t>附录1 维管束植物名录</w:t>
      </w:r>
    </w:p>
    <w:p>
      <w:pPr>
        <w:keepNext w:val="0"/>
        <w:keepLines w:val="0"/>
        <w:pageBreakBefore w:val="0"/>
        <w:widowControl w:val="0"/>
        <w:kinsoku/>
        <w:wordWrap/>
        <w:overflowPunct/>
        <w:topLinePunct w:val="0"/>
        <w:autoSpaceDE/>
        <w:autoSpaceDN/>
        <w:bidi w:val="0"/>
        <w:adjustRightInd/>
        <w:ind w:firstLine="480" w:firstLineChars="200"/>
        <w:textAlignment w:val="auto"/>
        <w:rPr>
          <w:rFonts w:hint="eastAsia" w:cs="Times New Roman"/>
          <w:b w:val="0"/>
          <w:bCs w:val="0"/>
          <w:color w:val="auto"/>
          <w:highlight w:val="none"/>
          <w:lang w:val="en-US" w:eastAsia="zh-CN"/>
        </w:rPr>
      </w:pPr>
      <w:r>
        <w:rPr>
          <w:rFonts w:hint="eastAsia" w:cs="Times New Roman"/>
          <w:b w:val="0"/>
          <w:bCs w:val="0"/>
          <w:color w:val="auto"/>
          <w:highlight w:val="none"/>
          <w:lang w:val="en-US" w:eastAsia="zh-CN"/>
        </w:rPr>
        <w:t>附录2 动物名录</w:t>
      </w:r>
    </w:p>
    <w:p>
      <w:pPr>
        <w:pStyle w:val="13"/>
        <w:keepNext w:val="0"/>
        <w:keepLines w:val="0"/>
        <w:pageBreakBefore w:val="0"/>
        <w:widowControl w:val="0"/>
        <w:kinsoku/>
        <w:wordWrap/>
        <w:overflowPunct/>
        <w:topLinePunct w:val="0"/>
        <w:autoSpaceDE/>
        <w:autoSpaceDN/>
        <w:bidi w:val="0"/>
        <w:adjustRightInd/>
        <w:ind w:left="0" w:leftChars="0" w:firstLine="480" w:firstLineChars="200"/>
        <w:textAlignment w:val="auto"/>
        <w:rPr>
          <w:rFonts w:hint="eastAsia" w:cs="Times New Roman"/>
          <w:b w:val="0"/>
          <w:bCs w:val="0"/>
          <w:color w:val="auto"/>
          <w:highlight w:val="none"/>
          <w:lang w:val="en-US" w:eastAsia="zh-CN"/>
        </w:rPr>
      </w:pPr>
      <w:r>
        <w:rPr>
          <w:rFonts w:hint="eastAsia" w:cs="Times New Roman"/>
          <w:b w:val="0"/>
          <w:bCs w:val="0"/>
          <w:color w:val="auto"/>
          <w:highlight w:val="none"/>
          <w:lang w:val="en-US" w:eastAsia="zh-CN"/>
        </w:rPr>
        <w:t>附录3 鱼类名录</w:t>
      </w:r>
    </w:p>
    <w:p>
      <w:pPr>
        <w:keepNext w:val="0"/>
        <w:keepLines w:val="0"/>
        <w:pageBreakBefore w:val="0"/>
        <w:widowControl w:val="0"/>
        <w:kinsoku/>
        <w:wordWrap/>
        <w:overflowPunct/>
        <w:topLinePunct w:val="0"/>
        <w:autoSpaceDE/>
        <w:autoSpaceDN/>
        <w:bidi w:val="0"/>
        <w:adjustRightInd/>
        <w:ind w:firstLine="480" w:firstLineChars="200"/>
        <w:textAlignment w:val="auto"/>
        <w:rPr>
          <w:rFonts w:hint="eastAsia" w:cs="Times New Roman"/>
          <w:b w:val="0"/>
          <w:bCs w:val="0"/>
          <w:color w:val="auto"/>
          <w:highlight w:val="none"/>
          <w:lang w:val="en-US" w:eastAsia="zh-CN"/>
        </w:rPr>
      </w:pPr>
      <w:r>
        <w:rPr>
          <w:rFonts w:hint="eastAsia" w:cs="Times New Roman"/>
          <w:b w:val="0"/>
          <w:bCs w:val="0"/>
          <w:color w:val="auto"/>
          <w:highlight w:val="none"/>
          <w:lang w:val="en-US" w:eastAsia="zh-CN"/>
        </w:rPr>
        <w:t>附录4 评价区样地调查表</w:t>
      </w:r>
    </w:p>
    <w:p>
      <w:pPr>
        <w:pStyle w:val="13"/>
        <w:keepNext w:val="0"/>
        <w:keepLines w:val="0"/>
        <w:pageBreakBefore w:val="0"/>
        <w:widowControl w:val="0"/>
        <w:kinsoku/>
        <w:wordWrap/>
        <w:overflowPunct/>
        <w:topLinePunct w:val="0"/>
        <w:autoSpaceDE/>
        <w:autoSpaceDN/>
        <w:bidi w:val="0"/>
        <w:adjustRightInd/>
        <w:ind w:left="0" w:leftChars="0" w:firstLine="480" w:firstLineChars="200"/>
        <w:textAlignment w:val="auto"/>
        <w:rPr>
          <w:rFonts w:hint="eastAsia" w:cs="Times New Roman"/>
          <w:b w:val="0"/>
          <w:bCs w:val="0"/>
          <w:color w:val="auto"/>
          <w:highlight w:val="none"/>
          <w:lang w:val="en-US" w:eastAsia="zh-CN"/>
        </w:rPr>
      </w:pPr>
      <w:r>
        <w:rPr>
          <w:rFonts w:hint="eastAsia" w:cs="Times New Roman"/>
          <w:b w:val="0"/>
          <w:bCs w:val="0"/>
          <w:color w:val="auto"/>
          <w:highlight w:val="none"/>
          <w:lang w:val="en-US" w:eastAsia="zh-CN"/>
        </w:rPr>
        <w:t>附录5 现场调查样方一览表</w:t>
      </w:r>
    </w:p>
    <w:p>
      <w:pPr>
        <w:keepNext w:val="0"/>
        <w:keepLines w:val="0"/>
        <w:pageBreakBefore w:val="0"/>
        <w:widowControl w:val="0"/>
        <w:kinsoku/>
        <w:wordWrap/>
        <w:overflowPunct/>
        <w:topLinePunct w:val="0"/>
        <w:autoSpaceDE/>
        <w:autoSpaceDN/>
        <w:bidi w:val="0"/>
        <w:adjustRightInd/>
        <w:ind w:firstLine="480" w:firstLineChars="200"/>
        <w:textAlignment w:val="auto"/>
        <w:rPr>
          <w:rFonts w:hint="default"/>
          <w:b w:val="0"/>
          <w:bCs w:val="0"/>
          <w:color w:val="auto"/>
          <w:highlight w:val="none"/>
          <w:lang w:val="en-US" w:eastAsia="zh-CN"/>
        </w:rPr>
      </w:pPr>
      <w:r>
        <w:rPr>
          <w:rFonts w:hint="eastAsia" w:cs="Times New Roman"/>
          <w:b w:val="0"/>
          <w:bCs w:val="0"/>
          <w:color w:val="auto"/>
          <w:highlight w:val="none"/>
          <w:lang w:val="en-US" w:eastAsia="zh-CN"/>
        </w:rPr>
        <w:t>附录6 植物线路调查记录表</w:t>
      </w:r>
    </w:p>
    <w:p>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auto"/>
          <w:highlight w:val="none"/>
          <w:lang w:val="zh-CN"/>
        </w:rPr>
      </w:pPr>
    </w:p>
    <w:p>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eastAsia" w:ascii="Times New Roman" w:hAnsi="Times New Roman" w:cs="Times New Roman"/>
          <w:b/>
          <w:bCs/>
          <w:color w:val="auto"/>
          <w:highlight w:val="none"/>
          <w:lang w:val="zh-CN"/>
        </w:rPr>
      </w:pPr>
      <w:r>
        <w:rPr>
          <w:rFonts w:hint="default" w:ascii="Times New Roman" w:hAnsi="Times New Roman" w:cs="Times New Roman"/>
          <w:b/>
          <w:bCs/>
          <w:color w:val="auto"/>
          <w:highlight w:val="none"/>
          <w:lang w:val="zh-CN"/>
        </w:rPr>
        <w:t>附图</w:t>
      </w:r>
      <w:r>
        <w:rPr>
          <w:rFonts w:hint="eastAsia" w:ascii="Times New Roman" w:hAnsi="Times New Roman" w:cs="Times New Roman"/>
          <w:b/>
          <w:bCs/>
          <w:color w:val="auto"/>
          <w:highlight w:val="none"/>
          <w:lang w:val="zh-CN"/>
        </w:rPr>
        <w:t>：</w:t>
      </w:r>
    </w:p>
    <w:p>
      <w:pPr>
        <w:pStyle w:val="13"/>
        <w:keepNext w:val="0"/>
        <w:keepLines w:val="0"/>
        <w:pageBreakBefore w:val="0"/>
        <w:widowControl w:val="0"/>
        <w:kinsoku/>
        <w:wordWrap/>
        <w:overflowPunct/>
        <w:topLinePunct w:val="0"/>
        <w:autoSpaceDE/>
        <w:autoSpaceDN/>
        <w:bidi w:val="0"/>
        <w:adjustRightInd/>
        <w:ind w:left="0" w:leftChars="0" w:firstLine="480" w:firstLineChars="200"/>
        <w:textAlignment w:val="auto"/>
        <w:rPr>
          <w:rFonts w:hint="eastAsia"/>
          <w:color w:val="auto"/>
          <w:highlight w:val="none"/>
          <w:lang w:val="en-US" w:eastAsia="zh-CN"/>
        </w:rPr>
      </w:pPr>
      <w:r>
        <w:rPr>
          <w:rFonts w:hint="eastAsia"/>
          <w:color w:val="auto"/>
          <w:highlight w:val="none"/>
          <w:lang w:val="en-US" w:eastAsia="zh-CN"/>
        </w:rPr>
        <w:t>附图1 地理位置图</w:t>
      </w:r>
    </w:p>
    <w:p>
      <w:pPr>
        <w:pStyle w:val="13"/>
        <w:keepNext w:val="0"/>
        <w:keepLines w:val="0"/>
        <w:pageBreakBefore w:val="0"/>
        <w:widowControl w:val="0"/>
        <w:kinsoku/>
        <w:wordWrap/>
        <w:overflowPunct/>
        <w:topLinePunct w:val="0"/>
        <w:autoSpaceDE/>
        <w:autoSpaceDN/>
        <w:bidi w:val="0"/>
        <w:adjustRightInd/>
        <w:ind w:left="0" w:leftChars="0" w:firstLine="480" w:firstLineChars="200"/>
        <w:textAlignment w:val="auto"/>
        <w:rPr>
          <w:rFonts w:hint="eastAsia"/>
          <w:color w:val="0000FF"/>
          <w:highlight w:val="none"/>
          <w:lang w:val="en-US" w:eastAsia="zh-CN"/>
        </w:rPr>
      </w:pPr>
      <w:r>
        <w:rPr>
          <w:rFonts w:hint="eastAsia"/>
          <w:color w:val="0000FF"/>
          <w:highlight w:val="none"/>
          <w:lang w:val="en-US" w:eastAsia="zh-CN"/>
        </w:rPr>
        <w:t>附图2 项目区水系图</w:t>
      </w:r>
    </w:p>
    <w:p>
      <w:pPr>
        <w:pStyle w:val="13"/>
        <w:keepNext w:val="0"/>
        <w:keepLines w:val="0"/>
        <w:pageBreakBefore w:val="0"/>
        <w:widowControl w:val="0"/>
        <w:kinsoku/>
        <w:wordWrap/>
        <w:overflowPunct/>
        <w:topLinePunct w:val="0"/>
        <w:autoSpaceDE/>
        <w:autoSpaceDN/>
        <w:bidi w:val="0"/>
        <w:adjustRightInd/>
        <w:ind w:left="0" w:leftChars="0" w:firstLine="480" w:firstLineChars="200"/>
        <w:textAlignment w:val="auto"/>
        <w:rPr>
          <w:rFonts w:hint="eastAsia"/>
          <w:color w:val="0000FF"/>
          <w:highlight w:val="none"/>
          <w:lang w:val="en-US" w:eastAsia="zh-CN"/>
        </w:rPr>
      </w:pPr>
      <w:r>
        <w:rPr>
          <w:rFonts w:hint="eastAsia"/>
          <w:color w:val="0000FF"/>
          <w:highlight w:val="none"/>
          <w:lang w:val="en-US" w:eastAsia="zh-CN"/>
        </w:rPr>
        <w:t>附图3 元谋县姜驿中型灌区总体平面布置图</w:t>
      </w:r>
    </w:p>
    <w:p>
      <w:pPr>
        <w:keepNext w:val="0"/>
        <w:keepLines w:val="0"/>
        <w:pageBreakBefore w:val="0"/>
        <w:widowControl w:val="0"/>
        <w:kinsoku/>
        <w:wordWrap/>
        <w:overflowPunct/>
        <w:topLinePunct w:val="0"/>
        <w:autoSpaceDE/>
        <w:autoSpaceDN/>
        <w:bidi w:val="0"/>
        <w:adjustRightInd/>
        <w:ind w:firstLine="480" w:firstLineChars="200"/>
        <w:textAlignment w:val="auto"/>
        <w:rPr>
          <w:rFonts w:hint="default"/>
          <w:color w:val="auto"/>
          <w:highlight w:val="none"/>
          <w:lang w:val="en-US" w:eastAsia="zh-CN"/>
        </w:rPr>
      </w:pPr>
      <w:r>
        <w:rPr>
          <w:rFonts w:hint="eastAsia"/>
          <w:color w:val="auto"/>
          <w:highlight w:val="none"/>
          <w:lang w:val="en-US" w:eastAsia="zh-CN"/>
        </w:rPr>
        <w:t>附图4 施工总平面布置图</w:t>
      </w:r>
    </w:p>
    <w:p>
      <w:pPr>
        <w:keepNext w:val="0"/>
        <w:keepLines w:val="0"/>
        <w:pageBreakBefore w:val="0"/>
        <w:widowControl w:val="0"/>
        <w:kinsoku/>
        <w:wordWrap/>
        <w:overflowPunct/>
        <w:topLinePunct w:val="0"/>
        <w:autoSpaceDE/>
        <w:autoSpaceDN/>
        <w:bidi w:val="0"/>
        <w:adjustRightInd/>
        <w:ind w:firstLine="480" w:firstLineChars="200"/>
        <w:textAlignment w:val="auto"/>
        <w:rPr>
          <w:rFonts w:hint="default"/>
          <w:color w:val="0000FF"/>
          <w:highlight w:val="none"/>
          <w:lang w:val="en-US" w:eastAsia="zh-CN"/>
        </w:rPr>
      </w:pPr>
      <w:r>
        <w:rPr>
          <w:rFonts w:hint="default"/>
          <w:color w:val="0000FF"/>
          <w:highlight w:val="none"/>
          <w:lang w:val="en-US" w:eastAsia="zh-CN"/>
        </w:rPr>
        <w:t>附图5 大气</w:t>
      </w:r>
      <w:r>
        <w:rPr>
          <w:rFonts w:hint="eastAsia"/>
          <w:color w:val="0000FF"/>
          <w:highlight w:val="none"/>
          <w:lang w:val="en-US" w:eastAsia="zh-CN"/>
        </w:rPr>
        <w:t>、</w:t>
      </w:r>
      <w:r>
        <w:rPr>
          <w:rFonts w:hint="default"/>
          <w:color w:val="0000FF"/>
          <w:highlight w:val="none"/>
          <w:lang w:val="en-US" w:eastAsia="zh-CN"/>
        </w:rPr>
        <w:t>噪声</w:t>
      </w:r>
      <w:r>
        <w:rPr>
          <w:rFonts w:hint="eastAsia"/>
          <w:color w:val="0000FF"/>
          <w:highlight w:val="none"/>
          <w:lang w:val="en-US" w:eastAsia="zh-CN"/>
        </w:rPr>
        <w:t>、土壤</w:t>
      </w:r>
      <w:r>
        <w:rPr>
          <w:rFonts w:hint="default"/>
          <w:color w:val="0000FF"/>
          <w:highlight w:val="none"/>
          <w:lang w:val="en-US" w:eastAsia="zh-CN"/>
        </w:rPr>
        <w:t>评价范围</w:t>
      </w:r>
      <w:r>
        <w:rPr>
          <w:rFonts w:hint="eastAsia"/>
          <w:color w:val="0000FF"/>
          <w:highlight w:val="none"/>
          <w:lang w:val="en-US" w:eastAsia="zh-CN"/>
        </w:rPr>
        <w:t>及保护目标</w:t>
      </w:r>
      <w:r>
        <w:rPr>
          <w:rFonts w:hint="default"/>
          <w:color w:val="0000FF"/>
          <w:highlight w:val="none"/>
          <w:lang w:val="en-US" w:eastAsia="zh-CN"/>
        </w:rPr>
        <w:t>图</w:t>
      </w:r>
    </w:p>
    <w:p>
      <w:pPr>
        <w:pStyle w:val="13"/>
        <w:keepNext w:val="0"/>
        <w:keepLines w:val="0"/>
        <w:pageBreakBefore w:val="0"/>
        <w:widowControl w:val="0"/>
        <w:kinsoku/>
        <w:wordWrap/>
        <w:overflowPunct/>
        <w:topLinePunct w:val="0"/>
        <w:autoSpaceDE/>
        <w:autoSpaceDN/>
        <w:bidi w:val="0"/>
        <w:adjustRightInd/>
        <w:ind w:left="0" w:leftChars="0" w:firstLine="480" w:firstLineChars="200"/>
        <w:textAlignment w:val="auto"/>
        <w:rPr>
          <w:rFonts w:hint="default"/>
          <w:color w:val="0000FF"/>
          <w:highlight w:val="none"/>
          <w:lang w:val="en-US" w:eastAsia="zh-CN"/>
        </w:rPr>
      </w:pPr>
      <w:r>
        <w:rPr>
          <w:rFonts w:hint="default"/>
          <w:color w:val="0000FF"/>
          <w:highlight w:val="none"/>
          <w:lang w:val="en-US" w:eastAsia="zh-CN"/>
        </w:rPr>
        <w:t xml:space="preserve">附图6 </w:t>
      </w:r>
      <w:r>
        <w:rPr>
          <w:rFonts w:hint="eastAsia"/>
          <w:color w:val="0000FF"/>
          <w:highlight w:val="none"/>
          <w:lang w:val="en-US" w:eastAsia="zh-CN"/>
        </w:rPr>
        <w:t>项目区水文地质及地下水评价范围图</w:t>
      </w:r>
    </w:p>
    <w:p>
      <w:pPr>
        <w:keepNext w:val="0"/>
        <w:keepLines w:val="0"/>
        <w:pageBreakBefore w:val="0"/>
        <w:widowControl w:val="0"/>
        <w:kinsoku/>
        <w:wordWrap/>
        <w:overflowPunct/>
        <w:topLinePunct w:val="0"/>
        <w:autoSpaceDE/>
        <w:autoSpaceDN/>
        <w:bidi w:val="0"/>
        <w:adjustRightInd/>
        <w:ind w:firstLine="480" w:firstLineChars="200"/>
        <w:textAlignment w:val="auto"/>
        <w:rPr>
          <w:rFonts w:hint="default"/>
          <w:color w:val="auto"/>
          <w:highlight w:val="none"/>
          <w:lang w:val="en-US" w:eastAsia="zh-CN"/>
        </w:rPr>
      </w:pPr>
      <w:r>
        <w:rPr>
          <w:rFonts w:hint="default"/>
          <w:color w:val="auto"/>
          <w:highlight w:val="none"/>
          <w:lang w:val="en-US" w:eastAsia="zh-CN"/>
        </w:rPr>
        <w:t>附图7 项目与云南省生物多样性保护优先区位置关系图</w:t>
      </w:r>
    </w:p>
    <w:p>
      <w:pPr>
        <w:pStyle w:val="13"/>
        <w:keepNext w:val="0"/>
        <w:keepLines w:val="0"/>
        <w:pageBreakBefore w:val="0"/>
        <w:widowControl w:val="0"/>
        <w:kinsoku/>
        <w:wordWrap/>
        <w:overflowPunct/>
        <w:topLinePunct w:val="0"/>
        <w:autoSpaceDE/>
        <w:autoSpaceDN/>
        <w:bidi w:val="0"/>
        <w:adjustRightInd/>
        <w:ind w:left="0" w:leftChars="0" w:firstLine="480" w:firstLineChars="200"/>
        <w:textAlignment w:val="auto"/>
        <w:rPr>
          <w:rFonts w:hint="default"/>
          <w:color w:val="auto"/>
          <w:highlight w:val="none"/>
          <w:lang w:val="en-US" w:eastAsia="zh-CN"/>
        </w:rPr>
      </w:pPr>
      <w:r>
        <w:rPr>
          <w:rFonts w:hint="default"/>
          <w:color w:val="auto"/>
          <w:highlight w:val="none"/>
          <w:lang w:val="en-US" w:eastAsia="zh-CN"/>
        </w:rPr>
        <w:t>附图8 项目与云南省主体功能区划位置关系图</w:t>
      </w:r>
    </w:p>
    <w:p>
      <w:pPr>
        <w:keepNext w:val="0"/>
        <w:keepLines w:val="0"/>
        <w:pageBreakBefore w:val="0"/>
        <w:widowControl w:val="0"/>
        <w:kinsoku/>
        <w:wordWrap/>
        <w:overflowPunct/>
        <w:topLinePunct w:val="0"/>
        <w:autoSpaceDE/>
        <w:autoSpaceDN/>
        <w:bidi w:val="0"/>
        <w:adjustRightInd/>
        <w:ind w:firstLine="480" w:firstLineChars="200"/>
        <w:textAlignment w:val="auto"/>
        <w:rPr>
          <w:rFonts w:hint="default"/>
          <w:color w:val="auto"/>
          <w:highlight w:val="none"/>
          <w:lang w:val="en-US" w:eastAsia="zh-CN"/>
        </w:rPr>
      </w:pPr>
      <w:r>
        <w:rPr>
          <w:rFonts w:hint="default"/>
          <w:color w:val="auto"/>
          <w:highlight w:val="none"/>
          <w:lang w:val="en-US" w:eastAsia="zh-CN"/>
        </w:rPr>
        <w:t>附图9 项目与云南省生态功能区划位置关系图</w:t>
      </w:r>
    </w:p>
    <w:p>
      <w:pPr>
        <w:pStyle w:val="13"/>
        <w:keepNext w:val="0"/>
        <w:keepLines w:val="0"/>
        <w:pageBreakBefore w:val="0"/>
        <w:widowControl w:val="0"/>
        <w:kinsoku/>
        <w:wordWrap/>
        <w:overflowPunct/>
        <w:topLinePunct w:val="0"/>
        <w:autoSpaceDE/>
        <w:autoSpaceDN/>
        <w:bidi w:val="0"/>
        <w:adjustRightInd/>
        <w:ind w:left="0" w:leftChars="0" w:firstLine="480" w:firstLineChars="200"/>
        <w:textAlignment w:val="auto"/>
        <w:rPr>
          <w:rFonts w:hint="default"/>
          <w:color w:val="auto"/>
          <w:highlight w:val="none"/>
          <w:lang w:val="en-US" w:eastAsia="zh-CN"/>
        </w:rPr>
      </w:pPr>
      <w:r>
        <w:rPr>
          <w:rFonts w:hint="default"/>
          <w:color w:val="auto"/>
          <w:highlight w:val="none"/>
          <w:lang w:val="en-US" w:eastAsia="zh-CN"/>
        </w:rPr>
        <w:t>附图10 评价区生态系统类型图</w:t>
      </w:r>
    </w:p>
    <w:p>
      <w:pPr>
        <w:keepNext w:val="0"/>
        <w:keepLines w:val="0"/>
        <w:pageBreakBefore w:val="0"/>
        <w:widowControl w:val="0"/>
        <w:kinsoku/>
        <w:wordWrap/>
        <w:overflowPunct/>
        <w:topLinePunct w:val="0"/>
        <w:autoSpaceDE/>
        <w:autoSpaceDN/>
        <w:bidi w:val="0"/>
        <w:adjustRightInd/>
        <w:ind w:firstLine="480" w:firstLineChars="200"/>
        <w:textAlignment w:val="auto"/>
        <w:rPr>
          <w:rFonts w:hint="default"/>
          <w:color w:val="auto"/>
          <w:highlight w:val="none"/>
          <w:lang w:val="en-US" w:eastAsia="zh-CN"/>
        </w:rPr>
      </w:pPr>
      <w:r>
        <w:rPr>
          <w:rFonts w:hint="default"/>
          <w:color w:val="auto"/>
          <w:highlight w:val="none"/>
          <w:lang w:val="en-US" w:eastAsia="zh-CN"/>
        </w:rPr>
        <w:t>附图11</w:t>
      </w:r>
      <w:r>
        <w:rPr>
          <w:rFonts w:hint="eastAsia"/>
          <w:color w:val="auto"/>
          <w:highlight w:val="none"/>
          <w:lang w:val="en-US" w:eastAsia="zh-CN"/>
        </w:rPr>
        <w:t xml:space="preserve"> </w:t>
      </w:r>
      <w:r>
        <w:rPr>
          <w:rFonts w:hint="default"/>
          <w:color w:val="auto"/>
          <w:highlight w:val="none"/>
          <w:lang w:val="en-US" w:eastAsia="zh-CN"/>
        </w:rPr>
        <w:t>评价区土地利用现状图</w:t>
      </w:r>
    </w:p>
    <w:p>
      <w:pPr>
        <w:pStyle w:val="13"/>
        <w:keepNext w:val="0"/>
        <w:keepLines w:val="0"/>
        <w:pageBreakBefore w:val="0"/>
        <w:widowControl w:val="0"/>
        <w:kinsoku/>
        <w:wordWrap/>
        <w:overflowPunct/>
        <w:topLinePunct w:val="0"/>
        <w:autoSpaceDE/>
        <w:autoSpaceDN/>
        <w:bidi w:val="0"/>
        <w:adjustRightInd/>
        <w:ind w:left="0" w:leftChars="0" w:firstLine="480" w:firstLineChars="200"/>
        <w:textAlignment w:val="auto"/>
        <w:rPr>
          <w:rFonts w:hint="default"/>
          <w:color w:val="auto"/>
          <w:highlight w:val="none"/>
          <w:lang w:val="en-US" w:eastAsia="zh-CN"/>
        </w:rPr>
      </w:pPr>
      <w:r>
        <w:rPr>
          <w:rFonts w:hint="default"/>
          <w:color w:val="auto"/>
          <w:highlight w:val="none"/>
          <w:lang w:val="en-US" w:eastAsia="zh-CN"/>
        </w:rPr>
        <w:t>附图12 评价区景观类型分布图</w:t>
      </w:r>
    </w:p>
    <w:p>
      <w:pPr>
        <w:keepNext w:val="0"/>
        <w:keepLines w:val="0"/>
        <w:pageBreakBefore w:val="0"/>
        <w:widowControl w:val="0"/>
        <w:kinsoku/>
        <w:wordWrap/>
        <w:overflowPunct/>
        <w:topLinePunct w:val="0"/>
        <w:autoSpaceDE/>
        <w:autoSpaceDN/>
        <w:bidi w:val="0"/>
        <w:adjustRightInd/>
        <w:ind w:firstLine="480" w:firstLineChars="200"/>
        <w:textAlignment w:val="auto"/>
        <w:rPr>
          <w:rFonts w:hint="default"/>
          <w:color w:val="auto"/>
          <w:highlight w:val="none"/>
          <w:lang w:val="en-US" w:eastAsia="zh-CN"/>
        </w:rPr>
      </w:pPr>
      <w:r>
        <w:rPr>
          <w:rFonts w:hint="default"/>
          <w:color w:val="auto"/>
          <w:highlight w:val="none"/>
          <w:lang w:val="en-US" w:eastAsia="zh-CN"/>
        </w:rPr>
        <w:t>附图13 评价区植被类型图</w:t>
      </w:r>
    </w:p>
    <w:p>
      <w:pPr>
        <w:pStyle w:val="13"/>
        <w:keepNext w:val="0"/>
        <w:keepLines w:val="0"/>
        <w:pageBreakBefore w:val="0"/>
        <w:widowControl w:val="0"/>
        <w:kinsoku/>
        <w:wordWrap/>
        <w:overflowPunct/>
        <w:topLinePunct w:val="0"/>
        <w:autoSpaceDE/>
        <w:autoSpaceDN/>
        <w:bidi w:val="0"/>
        <w:adjustRightInd/>
        <w:ind w:left="0" w:leftChars="0" w:firstLine="480" w:firstLineChars="200"/>
        <w:textAlignment w:val="auto"/>
        <w:rPr>
          <w:rFonts w:hint="default"/>
          <w:color w:val="auto"/>
          <w:highlight w:val="none"/>
          <w:lang w:val="en-US" w:eastAsia="zh-CN"/>
        </w:rPr>
      </w:pPr>
      <w:r>
        <w:rPr>
          <w:rFonts w:hint="default"/>
          <w:color w:val="auto"/>
          <w:highlight w:val="none"/>
          <w:lang w:val="en-US" w:eastAsia="zh-CN"/>
        </w:rPr>
        <w:t>附图14 评价区植被覆盖度分布示意图</w:t>
      </w:r>
    </w:p>
    <w:p>
      <w:pPr>
        <w:keepNext w:val="0"/>
        <w:keepLines w:val="0"/>
        <w:pageBreakBefore w:val="0"/>
        <w:widowControl w:val="0"/>
        <w:kinsoku/>
        <w:wordWrap/>
        <w:overflowPunct/>
        <w:topLinePunct w:val="0"/>
        <w:autoSpaceDE/>
        <w:autoSpaceDN/>
        <w:bidi w:val="0"/>
        <w:adjustRightInd/>
        <w:ind w:firstLine="480" w:firstLineChars="200"/>
        <w:textAlignment w:val="auto"/>
        <w:rPr>
          <w:rFonts w:hint="default"/>
          <w:color w:val="auto"/>
          <w:highlight w:val="none"/>
          <w:lang w:val="en-US" w:eastAsia="zh-CN"/>
        </w:rPr>
      </w:pPr>
      <w:r>
        <w:rPr>
          <w:rFonts w:hint="default"/>
          <w:color w:val="auto"/>
          <w:highlight w:val="none"/>
          <w:lang w:val="en-US" w:eastAsia="zh-CN"/>
        </w:rPr>
        <w:t>附图15 评价区样方样线布设示意图</w:t>
      </w:r>
    </w:p>
    <w:p>
      <w:pPr>
        <w:pStyle w:val="13"/>
        <w:keepNext w:val="0"/>
        <w:keepLines w:val="0"/>
        <w:pageBreakBefore w:val="0"/>
        <w:widowControl w:val="0"/>
        <w:kinsoku/>
        <w:wordWrap/>
        <w:overflowPunct/>
        <w:topLinePunct w:val="0"/>
        <w:autoSpaceDE/>
        <w:autoSpaceDN/>
        <w:bidi w:val="0"/>
        <w:adjustRightInd/>
        <w:ind w:left="0" w:leftChars="0" w:firstLine="480" w:firstLineChars="200"/>
        <w:textAlignment w:val="auto"/>
        <w:rPr>
          <w:rFonts w:hint="default"/>
          <w:color w:val="0000FF"/>
          <w:highlight w:val="none"/>
          <w:lang w:val="en-US" w:eastAsia="zh-CN"/>
        </w:rPr>
      </w:pPr>
      <w:r>
        <w:rPr>
          <w:rFonts w:hint="default"/>
          <w:color w:val="0000FF"/>
          <w:highlight w:val="none"/>
          <w:lang w:val="en-US" w:eastAsia="zh-CN"/>
        </w:rPr>
        <w:t>附图16 评价区重要物种分布图</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color w:val="0000FF"/>
          <w:highlight w:val="none"/>
          <w:lang w:val="en-US" w:eastAsia="zh-CN"/>
        </w:rPr>
      </w:pPr>
      <w:r>
        <w:rPr>
          <w:rFonts w:hint="default"/>
          <w:color w:val="0000FF"/>
          <w:highlight w:val="none"/>
          <w:lang w:val="en-US" w:eastAsia="zh-CN"/>
        </w:rPr>
        <w:t>附图17 普通鵟适宜生境分布图</w:t>
      </w:r>
    </w:p>
    <w:p>
      <w:pPr>
        <w:pStyle w:val="13"/>
        <w:keepNext w:val="0"/>
        <w:keepLines w:val="0"/>
        <w:pageBreakBefore w:val="0"/>
        <w:widowControl w:val="0"/>
        <w:kinsoku/>
        <w:wordWrap/>
        <w:overflowPunct/>
        <w:topLinePunct w:val="0"/>
        <w:autoSpaceDE/>
        <w:autoSpaceDN/>
        <w:bidi w:val="0"/>
        <w:adjustRightInd/>
        <w:spacing w:line="360" w:lineRule="auto"/>
        <w:ind w:left="0" w:leftChars="0" w:firstLine="480" w:firstLineChars="200"/>
        <w:textAlignment w:val="auto"/>
        <w:rPr>
          <w:rFonts w:hint="default"/>
          <w:color w:val="0000FF"/>
          <w:highlight w:val="none"/>
          <w:lang w:val="en-US" w:eastAsia="zh-CN"/>
        </w:rPr>
      </w:pPr>
      <w:r>
        <w:rPr>
          <w:rFonts w:hint="default"/>
          <w:color w:val="0000FF"/>
          <w:highlight w:val="none"/>
          <w:lang w:val="en-US" w:eastAsia="zh-CN"/>
        </w:rPr>
        <w:t>附图18 红隼适宜生境分布图</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color w:val="0000FF"/>
          <w:highlight w:val="none"/>
          <w:lang w:val="en-US" w:eastAsia="zh-CN"/>
        </w:rPr>
      </w:pPr>
      <w:r>
        <w:rPr>
          <w:rFonts w:hint="default"/>
          <w:color w:val="0000FF"/>
          <w:highlight w:val="none"/>
          <w:lang w:val="en-US" w:eastAsia="zh-CN"/>
        </w:rPr>
        <w:t>附图21</w:t>
      </w:r>
      <w:r>
        <w:rPr>
          <w:rFonts w:hint="eastAsia"/>
          <w:color w:val="0000FF"/>
          <w:highlight w:val="none"/>
          <w:lang w:val="en-US" w:eastAsia="zh-CN"/>
        </w:rPr>
        <w:t>-1</w:t>
      </w:r>
      <w:r>
        <w:rPr>
          <w:rFonts w:hint="default"/>
          <w:color w:val="0000FF"/>
          <w:highlight w:val="none"/>
          <w:lang w:val="en-US" w:eastAsia="zh-CN"/>
        </w:rPr>
        <w:t xml:space="preserve"> </w:t>
      </w:r>
      <w:r>
        <w:rPr>
          <w:rFonts w:hint="eastAsia"/>
          <w:color w:val="0000FF"/>
          <w:highlight w:val="none"/>
          <w:lang w:val="en-US" w:eastAsia="zh-CN"/>
        </w:rPr>
        <w:t>现状</w:t>
      </w:r>
      <w:r>
        <w:rPr>
          <w:rFonts w:hint="default"/>
          <w:color w:val="0000FF"/>
          <w:highlight w:val="none"/>
          <w:lang w:val="en-US" w:eastAsia="zh-CN"/>
        </w:rPr>
        <w:t>监测点位图</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color w:val="0000FF"/>
          <w:highlight w:val="none"/>
          <w:lang w:val="en-US" w:eastAsia="zh-CN"/>
        </w:rPr>
      </w:pPr>
      <w:r>
        <w:rPr>
          <w:rFonts w:hint="eastAsia"/>
          <w:color w:val="0000FF"/>
          <w:highlight w:val="none"/>
          <w:lang w:val="en-US" w:eastAsia="zh-CN"/>
        </w:rPr>
        <w:t>附图21-2 补充监测布点图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0000FF"/>
          <w:highlight w:val="none"/>
        </w:rPr>
      </w:pPr>
      <w:bookmarkStart w:id="7" w:name="_Toc27523"/>
      <w:r>
        <w:rPr>
          <w:rFonts w:hint="default" w:ascii="Times New Roman" w:hAnsi="Times New Roman" w:cs="Times New Roman"/>
          <w:b w:val="0"/>
          <w:bCs w:val="0"/>
          <w:color w:val="0000FF"/>
          <w:highlight w:val="none"/>
        </w:rPr>
        <w:t>附图22 本项目与环境敏感区的位置关系图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FF"/>
          <w:highlight w:val="none"/>
          <w:lang w:val="en-US" w:eastAsia="zh-CN"/>
        </w:rPr>
      </w:pPr>
      <w:r>
        <w:rPr>
          <w:rFonts w:hint="eastAsia" w:cs="Times New Roman"/>
          <w:b w:val="0"/>
          <w:bCs w:val="0"/>
          <w:color w:val="0000FF"/>
          <w:highlight w:val="none"/>
          <w:lang w:val="en-US" w:eastAsia="zh-CN"/>
        </w:rPr>
        <w:t>附图23 与饮用水源保护区的位置关系图</w:t>
      </w:r>
    </w:p>
    <w:p>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auto"/>
          <w:highlight w:val="none"/>
        </w:rPr>
      </w:pPr>
    </w:p>
    <w:p>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附件：</w:t>
      </w:r>
      <w:bookmarkEnd w:id="7"/>
    </w:p>
    <w:p>
      <w:pPr>
        <w:pStyle w:val="13"/>
        <w:keepNext w:val="0"/>
        <w:keepLines w:val="0"/>
        <w:pageBreakBefore w:val="0"/>
        <w:widowControl w:val="0"/>
        <w:shd w:val="clear"/>
        <w:kinsoku/>
        <w:wordWrap/>
        <w:overflowPunct/>
        <w:topLinePunct w:val="0"/>
        <w:autoSpaceDE/>
        <w:autoSpaceDN/>
        <w:bidi w:val="0"/>
        <w:adjustRightInd/>
        <w:ind w:left="0" w:leftChars="0" w:firstLine="480" w:firstLineChars="200"/>
        <w:textAlignment w:val="auto"/>
        <w:rPr>
          <w:rFonts w:hint="eastAsia"/>
          <w:color w:val="0000FF"/>
          <w:highlight w:val="none"/>
          <w:lang w:val="en-US" w:eastAsia="zh-CN"/>
        </w:rPr>
      </w:pPr>
      <w:r>
        <w:rPr>
          <w:rFonts w:hint="eastAsia"/>
          <w:color w:val="0000FF"/>
          <w:highlight w:val="none"/>
          <w:lang w:val="en-US" w:eastAsia="zh-CN"/>
        </w:rPr>
        <w:t>附件1 委托书</w:t>
      </w:r>
    </w:p>
    <w:p>
      <w:pPr>
        <w:keepNext w:val="0"/>
        <w:keepLines w:val="0"/>
        <w:pageBreakBefore w:val="0"/>
        <w:widowControl w:val="0"/>
        <w:kinsoku/>
        <w:wordWrap/>
        <w:overflowPunct/>
        <w:topLinePunct w:val="0"/>
        <w:autoSpaceDE/>
        <w:autoSpaceDN/>
        <w:bidi w:val="0"/>
        <w:adjustRightInd/>
        <w:ind w:firstLine="480" w:firstLineChars="200"/>
        <w:textAlignment w:val="auto"/>
        <w:rPr>
          <w:rFonts w:hint="eastAsia"/>
          <w:color w:val="0000FF"/>
          <w:highlight w:val="none"/>
          <w:lang w:val="en-US" w:eastAsia="zh-CN"/>
        </w:rPr>
      </w:pPr>
      <w:r>
        <w:rPr>
          <w:rFonts w:hint="eastAsia"/>
          <w:color w:val="0000FF"/>
          <w:highlight w:val="none"/>
          <w:lang w:val="en-US" w:eastAsia="zh-CN"/>
        </w:rPr>
        <w:t>附件2 关于项目实施方案代初步设计的情况说明</w:t>
      </w:r>
    </w:p>
    <w:p>
      <w:pPr>
        <w:pStyle w:val="13"/>
        <w:keepNext w:val="0"/>
        <w:keepLines w:val="0"/>
        <w:pageBreakBefore w:val="0"/>
        <w:widowControl w:val="0"/>
        <w:kinsoku/>
        <w:wordWrap/>
        <w:overflowPunct/>
        <w:topLinePunct w:val="0"/>
        <w:autoSpaceDE/>
        <w:autoSpaceDN/>
        <w:bidi w:val="0"/>
        <w:adjustRightInd/>
        <w:ind w:left="0" w:leftChars="0" w:firstLine="480" w:firstLineChars="200"/>
        <w:textAlignment w:val="auto"/>
        <w:rPr>
          <w:rFonts w:hint="default" w:ascii="Times New Roman" w:hAnsi="Times New Roman" w:cs="Times New Roman"/>
          <w:color w:val="auto"/>
          <w:highlight w:val="none"/>
        </w:rPr>
      </w:pPr>
      <w:r>
        <w:rPr>
          <w:rFonts w:hint="default"/>
          <w:color w:val="auto"/>
          <w:highlight w:val="none"/>
        </w:rPr>
        <w:t xml:space="preserve">附件3 </w:t>
      </w:r>
      <w:r>
        <w:rPr>
          <w:rFonts w:hint="default" w:ascii="Times New Roman" w:hAnsi="Times New Roman" w:cs="Times New Roman"/>
          <w:color w:val="auto"/>
          <w:highlight w:val="none"/>
        </w:rPr>
        <w:t>元谋县水务局关于《元谋县姜驿中型灌区续建配套与节水改造项目实施方案》的批复</w:t>
      </w:r>
    </w:p>
    <w:p>
      <w:pPr>
        <w:keepNext w:val="0"/>
        <w:keepLines w:val="0"/>
        <w:pageBreakBefore w:val="0"/>
        <w:widowControl w:val="0"/>
        <w:kinsoku/>
        <w:wordWrap/>
        <w:overflowPunct/>
        <w:topLinePunct w:val="0"/>
        <w:autoSpaceDE/>
        <w:autoSpaceDN/>
        <w:bidi w:val="0"/>
        <w:adjustRightIn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附件</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 xml:space="preserve"> 姜驿中型灌区三区三线查询情况</w:t>
      </w:r>
    </w:p>
    <w:p>
      <w:pPr>
        <w:keepNext w:val="0"/>
        <w:keepLines w:val="0"/>
        <w:pageBreakBefore w:val="0"/>
        <w:widowControl w:val="0"/>
        <w:kinsoku/>
        <w:wordWrap/>
        <w:overflowPunct/>
        <w:topLinePunct w:val="0"/>
        <w:autoSpaceDE/>
        <w:autoSpaceDN/>
        <w:bidi w:val="0"/>
        <w:adjustRightIn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附件5 元谋县人民政府关于项目占用生态红线的认定意见</w:t>
      </w:r>
    </w:p>
    <w:p>
      <w:pPr>
        <w:pStyle w:val="23"/>
        <w:rPr>
          <w:rFonts w:hint="default" w:ascii="Times New Roman" w:hAnsi="Times New Roman" w:cs="Times New Roman"/>
          <w:color w:val="auto"/>
          <w:highlight w:val="none"/>
        </w:rPr>
      </w:pPr>
      <w:r>
        <w:rPr>
          <w:rFonts w:hint="default" w:ascii="Times New Roman" w:hAnsi="Times New Roman" w:cs="Times New Roman"/>
          <w:color w:val="auto"/>
          <w:highlight w:val="none"/>
        </w:rPr>
        <w:t>附件6 项目涉及元谋风景名胜区方案选址的意见</w:t>
      </w:r>
    </w:p>
    <w:p>
      <w:pPr>
        <w:pStyle w:val="24"/>
        <w:rPr>
          <w:rFonts w:hint="default" w:ascii="Times New Roman" w:hAnsi="Times New Roman" w:cs="Times New Roman"/>
          <w:color w:val="auto"/>
        </w:rPr>
      </w:pPr>
      <w:r>
        <w:rPr>
          <w:rFonts w:hint="default" w:ascii="Times New Roman" w:hAnsi="Times New Roman" w:cs="Times New Roman"/>
          <w:color w:val="auto"/>
        </w:rPr>
        <w:t>附件7 现状检测报告</w:t>
      </w:r>
    </w:p>
    <w:p>
      <w:pPr>
        <w:rPr>
          <w:rFonts w:hint="default" w:ascii="Times New Roman" w:hAnsi="Times New Roman" w:cs="Times New Roman"/>
          <w:color w:val="auto"/>
        </w:rPr>
      </w:pPr>
      <w:r>
        <w:rPr>
          <w:rFonts w:hint="default" w:ascii="Times New Roman" w:hAnsi="Times New Roman" w:cs="Times New Roman"/>
          <w:color w:val="auto"/>
        </w:rPr>
        <w:t>附件8 项目进度管理表及质量审核表</w:t>
      </w:r>
    </w:p>
    <w:p>
      <w:pPr>
        <w:rPr>
          <w:rFonts w:hint="default" w:eastAsia="宋体"/>
          <w:color w:val="auto"/>
          <w:lang w:val="en-US" w:eastAsia="zh-CN"/>
        </w:rPr>
      </w:pPr>
      <w:r>
        <w:rPr>
          <w:rFonts w:hint="default" w:ascii="Times New Roman" w:hAnsi="Times New Roman" w:cs="Times New Roman"/>
          <w:color w:val="auto"/>
        </w:rPr>
        <w:t xml:space="preserve">附件9 </w:t>
      </w:r>
      <w:r>
        <w:rPr>
          <w:rFonts w:hint="default" w:ascii="Times New Roman" w:hAnsi="Times New Roman" w:cs="Times New Roman"/>
          <w:color w:val="auto"/>
          <w:lang w:val="en-US" w:eastAsia="zh-CN"/>
        </w:rPr>
        <w:t>环境影响评</w:t>
      </w:r>
      <w:r>
        <w:rPr>
          <w:rFonts w:hint="eastAsia"/>
          <w:color w:val="auto"/>
          <w:lang w:val="en-US" w:eastAsia="zh-CN"/>
        </w:rPr>
        <w:t>价技术咨询合同</w:t>
      </w:r>
    </w:p>
    <w:p>
      <w:pPr>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lang w:val="zh-CN"/>
        </w:rPr>
        <w:t>附件10 组织结构代码证及法人身份证</w:t>
      </w:r>
    </w:p>
    <w:p>
      <w:pPr>
        <w:rPr>
          <w:rFonts w:hint="default" w:ascii="Times New Roman" w:hAnsi="Times New Roman" w:eastAsia="宋体" w:cs="Times New Roman"/>
          <w:color w:val="0000FF"/>
          <w:highlight w:val="none"/>
          <w:lang w:val="en-US" w:eastAsia="zh-CN"/>
        </w:rPr>
      </w:pPr>
      <w:r>
        <w:rPr>
          <w:rFonts w:hint="eastAsia" w:cs="Times New Roman"/>
          <w:color w:val="0000FF"/>
          <w:highlight w:val="none"/>
          <w:lang w:val="en-US" w:eastAsia="zh-CN"/>
        </w:rPr>
        <w:t>附件11 关于《元谋县姜驿中型灌区续建配套与节水改造项目》水量的情况说明</w:t>
      </w:r>
    </w:p>
    <w:p>
      <w:pPr>
        <w:rPr>
          <w:rFonts w:hint="eastAsia" w:cs="Times New Roman"/>
          <w:color w:val="0000FF"/>
          <w:highlight w:val="none"/>
          <w:lang w:val="en-US" w:eastAsia="zh-CN"/>
        </w:rPr>
      </w:pPr>
      <w:r>
        <w:rPr>
          <w:rFonts w:hint="eastAsia" w:cs="Times New Roman"/>
          <w:color w:val="0000FF"/>
          <w:highlight w:val="none"/>
          <w:lang w:val="en-US" w:eastAsia="zh-CN"/>
        </w:rPr>
        <w:t>附件12 补充检测报告</w:t>
      </w:r>
    </w:p>
    <w:p>
      <w:pPr>
        <w:rPr>
          <w:rFonts w:hint="default" w:cs="Times New Roman"/>
          <w:color w:val="0000FF"/>
          <w:highlight w:val="none"/>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upperRoman" w:start="1"/>
          <w:cols w:space="720" w:num="1"/>
          <w:rtlGutter w:val="0"/>
          <w:docGrid w:type="lines" w:linePitch="312" w:charSpace="0"/>
        </w:sectPr>
      </w:pPr>
      <w:r>
        <w:rPr>
          <w:rFonts w:hint="default" w:cs="Times New Roman"/>
          <w:color w:val="0000FF"/>
          <w:highlight w:val="none"/>
          <w:lang w:val="en-US" w:eastAsia="zh-CN"/>
        </w:rPr>
        <w:t>附件13 金沙江乌东德水电站水资源综合利用-元谋县姜驿乡提水工程水资源论证报告审查意见</w:t>
      </w:r>
    </w:p>
    <w:p>
      <w:pPr>
        <w:pStyle w:val="2"/>
        <w:numPr>
          <w:ilvl w:val="0"/>
          <w:numId w:val="0"/>
        </w:numPr>
        <w:ind w:leftChars="0"/>
        <w:jc w:val="center"/>
        <w:rPr>
          <w:rFonts w:hint="default" w:ascii="Times New Roman" w:hAnsi="Times New Roman" w:cs="Times New Roman"/>
          <w:color w:val="auto"/>
          <w:highlight w:val="none"/>
          <w:lang w:val="zh-CN"/>
        </w:rPr>
      </w:pPr>
      <w:bookmarkStart w:id="8" w:name="_Toc20794"/>
      <w:bookmarkStart w:id="9" w:name="_Toc23145"/>
      <w:bookmarkStart w:id="10" w:name="_Toc31080"/>
      <w:bookmarkStart w:id="11" w:name="_Toc10765"/>
      <w:bookmarkStart w:id="12" w:name="_Toc26650"/>
      <w:bookmarkStart w:id="13" w:name="_Toc17490"/>
      <w:bookmarkStart w:id="14" w:name="_Toc29730"/>
      <w:bookmarkStart w:id="15" w:name="_Toc10842"/>
      <w:bookmarkStart w:id="16" w:name="_Toc11028"/>
      <w:r>
        <w:rPr>
          <w:rFonts w:hint="default" w:ascii="Times New Roman" w:hAnsi="Times New Roman" w:cs="Times New Roman"/>
          <w:color w:val="auto"/>
          <w:highlight w:val="none"/>
          <w:lang w:val="zh-CN"/>
        </w:rPr>
        <w:t>概</w:t>
      </w:r>
      <w:bookmarkEnd w:id="0"/>
      <w:bookmarkEnd w:id="1"/>
      <w:r>
        <w:rPr>
          <w:rFonts w:hint="default" w:ascii="Times New Roman" w:hAnsi="Times New Roman" w:cs="Times New Roman"/>
          <w:color w:val="auto"/>
          <w:highlight w:val="none"/>
          <w:lang w:val="zh-CN"/>
        </w:rPr>
        <w:t>述</w:t>
      </w:r>
      <w:bookmarkEnd w:id="2"/>
      <w:bookmarkEnd w:id="3"/>
      <w:bookmarkEnd w:id="8"/>
      <w:bookmarkEnd w:id="9"/>
      <w:bookmarkEnd w:id="10"/>
      <w:bookmarkEnd w:id="11"/>
      <w:bookmarkEnd w:id="12"/>
      <w:bookmarkEnd w:id="13"/>
      <w:bookmarkEnd w:id="14"/>
      <w:bookmarkEnd w:id="15"/>
      <w:bookmarkEnd w:id="16"/>
    </w:p>
    <w:p>
      <w:pPr>
        <w:keepNext w:val="0"/>
        <w:keepLines w:val="0"/>
        <w:pageBreakBefore w:val="0"/>
        <w:widowControl w:val="0"/>
        <w:numPr>
          <w:ilvl w:val="0"/>
          <w:numId w:val="0"/>
        </w:numPr>
        <w:kinsoku/>
        <w:wordWrap/>
        <w:overflowPunct/>
        <w:topLinePunct w:val="0"/>
        <w:autoSpaceDE/>
        <w:autoSpaceDN/>
        <w:bidi w:val="0"/>
        <w:adjustRightInd/>
        <w:snapToGrid w:val="0"/>
        <w:ind w:firstLine="482" w:firstLineChars="200"/>
        <w:textAlignment w:val="auto"/>
        <w:rPr>
          <w:rFonts w:hint="default"/>
          <w:b/>
          <w:bCs/>
          <w:color w:val="auto"/>
          <w:highlight w:val="none"/>
        </w:rPr>
      </w:pPr>
      <w:bookmarkStart w:id="17" w:name="_Toc4273"/>
      <w:bookmarkStart w:id="18" w:name="_Toc13281"/>
      <w:bookmarkStart w:id="19" w:name="_Toc11872"/>
      <w:bookmarkStart w:id="20" w:name="_Toc25606"/>
      <w:bookmarkStart w:id="21" w:name="_Toc29608"/>
      <w:r>
        <w:rPr>
          <w:rFonts w:hint="default" w:ascii="Times New Roman" w:hAnsi="Times New Roman" w:eastAsia="宋体" w:cs="Times New Roman"/>
          <w:b/>
          <w:bCs/>
          <w:color w:val="auto"/>
          <w:kern w:val="2"/>
          <w:sz w:val="24"/>
          <w:szCs w:val="21"/>
          <w:highlight w:val="none"/>
          <w:lang w:val="en-US" w:eastAsia="zh-CN" w:bidi="ar-SA"/>
        </w:rPr>
        <w:t>1、</w:t>
      </w:r>
      <w:r>
        <w:rPr>
          <w:rFonts w:hint="default"/>
          <w:b/>
          <w:bCs/>
          <w:color w:val="auto"/>
          <w:highlight w:val="none"/>
        </w:rPr>
        <w:t>项目由来</w:t>
      </w:r>
      <w:bookmarkEnd w:id="17"/>
      <w:bookmarkEnd w:id="18"/>
      <w:bookmarkEnd w:id="19"/>
      <w:bookmarkEnd w:id="20"/>
      <w:bookmarkEnd w:id="21"/>
    </w:p>
    <w:p>
      <w:pPr>
        <w:bidi w:val="0"/>
        <w:spacing w:line="360" w:lineRule="auto"/>
        <w:ind w:firstLine="480" w:firstLineChars="200"/>
        <w:rPr>
          <w:rFonts w:hint="default"/>
          <w:color w:val="auto"/>
          <w:highlight w:val="none"/>
        </w:rPr>
      </w:pPr>
      <w:bookmarkStart w:id="22" w:name="_Toc26633"/>
      <w:bookmarkStart w:id="23" w:name="_Toc27089"/>
      <w:bookmarkStart w:id="24" w:name="_Toc9967"/>
      <w:bookmarkStart w:id="25" w:name="_Toc20037"/>
      <w:bookmarkStart w:id="26" w:name="_Toc17288"/>
      <w:r>
        <w:rPr>
          <w:rFonts w:hint="default"/>
          <w:color w:val="auto"/>
          <w:highlight w:val="none"/>
        </w:rPr>
        <w:t>元谋县地处金沙江流域干热河谷地带，属南亚热带季风气候，气候干燥炎热，是全省主要干旱区，具有降雨少、蒸发量大、严重干旱的特征，但其干热河谷区具有非常良好的自然地理条件，具有适合多种作物生长的光热、土壤条件，江北地区是元谋县农业开发的重要区域，除已耕种土地外，海拔 2000m 高程以下还有大量适宜耕作的荒地，缺水问题严重制约了该片区土地开发，严重制约当地社会及国民经济发展，因此，迫切需要新建水源工程以解决元谋县姜驿片区干旱缺水的状况。</w:t>
      </w:r>
    </w:p>
    <w:p>
      <w:pPr>
        <w:bidi w:val="0"/>
        <w:ind w:firstLine="480" w:firstLineChars="200"/>
        <w:rPr>
          <w:rFonts w:hint="default"/>
          <w:color w:val="auto"/>
        </w:rPr>
      </w:pPr>
      <w:r>
        <w:rPr>
          <w:rFonts w:hint="eastAsia"/>
          <w:color w:val="0000FF"/>
          <w:lang w:val="en-US" w:eastAsia="zh-CN"/>
        </w:rPr>
        <w:t>本次水源为</w:t>
      </w:r>
      <w:r>
        <w:rPr>
          <w:rFonts w:hint="default"/>
          <w:color w:val="0000FF"/>
        </w:rPr>
        <w:t>金沙江乌东德水电站水资源综合利用—元谋县姜驿乡提水工程</w:t>
      </w:r>
      <w:r>
        <w:rPr>
          <w:rFonts w:hint="default"/>
          <w:color w:val="0000FF"/>
          <w:lang w:val="en-US" w:eastAsia="zh-CN"/>
        </w:rPr>
        <w:t>2040m³</w:t>
      </w:r>
      <w:r>
        <w:rPr>
          <w:rFonts w:hint="eastAsia"/>
          <w:color w:val="0000FF"/>
          <w:lang w:val="en-US" w:eastAsia="zh-CN"/>
        </w:rPr>
        <w:t>高位水池，该工程已委托昆明阳光恒业环境工程有限公司进行了环境影响评价。</w:t>
      </w:r>
      <w:r>
        <w:rPr>
          <w:rFonts w:hint="eastAsia"/>
          <w:color w:val="0000FF"/>
          <w:highlight w:val="none"/>
          <w:lang w:val="en-US" w:eastAsia="zh-CN"/>
        </w:rPr>
        <w:t>并于2023年5月26日取得了楚雄州生态环境局准予行政许可决定书（楚环许准〔2023〕54 号），目前已开工建设，预计2025年竣工。该工程建成后，</w:t>
      </w:r>
      <w:r>
        <w:rPr>
          <w:rFonts w:hint="default"/>
          <w:color w:val="auto"/>
        </w:rPr>
        <w:t>可以利用金沙江的水解决该片区的生产、生活用水。该工程从金沙江乌东德水库库区（乌东德水库死水位945m，正常蓄水位975m）提水至1909.8m的2040m³高位水池</w:t>
      </w:r>
      <w:r>
        <w:rPr>
          <w:rFonts w:hint="eastAsia"/>
          <w:color w:val="auto"/>
          <w:lang w:val="en-US" w:eastAsia="zh-CN"/>
        </w:rPr>
        <w:t>作为水源。该工程灌区共包括姜中、贡茶和金河三个灌片，其中姜中片区由北干管供水，贡茶和金河片区由提水管和东干管供水。</w:t>
      </w:r>
      <w:r>
        <w:rPr>
          <w:rFonts w:hint="default"/>
          <w:color w:val="auto"/>
        </w:rPr>
        <w:t>东干管已纳入元谋县姜驿乡提水工程中，但是姜驿河、金沙江以北，川滇省界以南的灌片由于没有配套工程，以致从金沙江提上来的水无法供给姜驿中型灌区西片区。因此，本次配套建设北干管、金马分干管及其支管是非常必要的。</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cs="Times New Roman"/>
          <w:b w:val="0"/>
          <w:bCs w:val="0"/>
          <w:color w:val="0000FF"/>
          <w:sz w:val="24"/>
          <w:szCs w:val="24"/>
          <w:lang w:val="en-US" w:eastAsia="zh-CN"/>
        </w:rPr>
      </w:pPr>
      <w:r>
        <w:rPr>
          <w:rFonts w:hint="default" w:ascii="Times New Roman" w:hAnsi="Times New Roman" w:cs="Times New Roman"/>
          <w:b w:val="0"/>
          <w:bCs w:val="0"/>
          <w:color w:val="0000FF"/>
          <w:sz w:val="24"/>
          <w:szCs w:val="24"/>
          <w:lang w:val="en-US" w:eastAsia="zh-CN"/>
        </w:rPr>
        <w:t>根据金沙江乌东德水电站水资源综合利用—元谋县姜驿乡提水工程水资源论证报告：该项目灌区面积为9.94万亩，其中姜中片区4.4万亩、贡茶片区2.41万亩、金河片区3.13万亩，本项目为该项目中定义的“姜中片区”，预留水量为911.4万m</w:t>
      </w:r>
      <w:r>
        <w:rPr>
          <w:rFonts w:hint="default" w:ascii="Times New Roman" w:hAnsi="Times New Roman" w:cs="Times New Roman"/>
          <w:b w:val="0"/>
          <w:bCs w:val="0"/>
          <w:color w:val="0000FF"/>
          <w:sz w:val="24"/>
          <w:szCs w:val="24"/>
          <w:vertAlign w:val="superscript"/>
          <w:lang w:val="en-US" w:eastAsia="zh-CN"/>
        </w:rPr>
        <w:t>3</w:t>
      </w:r>
      <w:r>
        <w:rPr>
          <w:rFonts w:hint="default" w:ascii="Times New Roman" w:hAnsi="Times New Roman" w:cs="Times New Roman"/>
          <w:b w:val="0"/>
          <w:bCs w:val="0"/>
          <w:color w:val="0000FF"/>
          <w:sz w:val="24"/>
          <w:szCs w:val="24"/>
          <w:lang w:val="en-US" w:eastAsia="zh-CN"/>
        </w:rPr>
        <w:t>（集镇生活用水3.4万m</w:t>
      </w:r>
      <w:r>
        <w:rPr>
          <w:rFonts w:hint="default" w:ascii="Times New Roman" w:hAnsi="Times New Roman" w:cs="Times New Roman"/>
          <w:b w:val="0"/>
          <w:bCs w:val="0"/>
          <w:color w:val="0000FF"/>
          <w:sz w:val="24"/>
          <w:szCs w:val="24"/>
          <w:vertAlign w:val="superscript"/>
          <w:lang w:val="en-US" w:eastAsia="zh-CN"/>
        </w:rPr>
        <w:t>3</w:t>
      </w:r>
      <w:r>
        <w:rPr>
          <w:rFonts w:hint="default" w:ascii="Times New Roman" w:hAnsi="Times New Roman" w:cs="Times New Roman"/>
          <w:b w:val="0"/>
          <w:bCs w:val="0"/>
          <w:color w:val="0000FF"/>
          <w:sz w:val="24"/>
          <w:szCs w:val="24"/>
          <w:lang w:val="en-US" w:eastAsia="zh-CN"/>
        </w:rPr>
        <w:t>，农村生活用水12.5万m</w:t>
      </w:r>
      <w:r>
        <w:rPr>
          <w:rFonts w:hint="default" w:ascii="Times New Roman" w:hAnsi="Times New Roman" w:cs="Times New Roman"/>
          <w:b w:val="0"/>
          <w:bCs w:val="0"/>
          <w:color w:val="0000FF"/>
          <w:sz w:val="24"/>
          <w:szCs w:val="24"/>
          <w:vertAlign w:val="superscript"/>
          <w:lang w:val="en-US" w:eastAsia="zh-CN"/>
        </w:rPr>
        <w:t>3</w:t>
      </w:r>
      <w:r>
        <w:rPr>
          <w:rFonts w:hint="default" w:ascii="Times New Roman" w:hAnsi="Times New Roman" w:cs="Times New Roman"/>
          <w:b w:val="0"/>
          <w:bCs w:val="0"/>
          <w:color w:val="0000FF"/>
          <w:sz w:val="24"/>
          <w:szCs w:val="24"/>
          <w:lang w:val="en-US" w:eastAsia="zh-CN"/>
        </w:rPr>
        <w:t>，高效农灌用水895.5万m</w:t>
      </w:r>
      <w:r>
        <w:rPr>
          <w:rFonts w:hint="default" w:ascii="Times New Roman" w:hAnsi="Times New Roman" w:cs="Times New Roman"/>
          <w:b w:val="0"/>
          <w:bCs w:val="0"/>
          <w:color w:val="0000FF"/>
          <w:sz w:val="24"/>
          <w:szCs w:val="24"/>
          <w:vertAlign w:val="superscript"/>
          <w:lang w:val="en-US" w:eastAsia="zh-CN"/>
        </w:rPr>
        <w:t>3</w:t>
      </w:r>
      <w:r>
        <w:rPr>
          <w:rFonts w:hint="default" w:ascii="Times New Roman" w:hAnsi="Times New Roman" w:cs="Times New Roman"/>
          <w:b w:val="0"/>
          <w:bCs w:val="0"/>
          <w:color w:val="0000FF"/>
          <w:sz w:val="24"/>
          <w:szCs w:val="24"/>
          <w:vertAlign w:val="baseline"/>
          <w:lang w:val="en-US" w:eastAsia="zh-CN"/>
        </w:rPr>
        <w:t>）</w:t>
      </w:r>
      <w:r>
        <w:rPr>
          <w:rFonts w:hint="default" w:ascii="Times New Roman" w:hAnsi="Times New Roman" w:cs="Times New Roman"/>
          <w:b w:val="0"/>
          <w:bCs w:val="0"/>
          <w:color w:val="0000FF"/>
          <w:sz w:val="24"/>
          <w:szCs w:val="24"/>
          <w:lang w:val="en-US" w:eastAsia="zh-CN"/>
        </w:rPr>
        <w:t>。本项目规划实施阶段复核后的灌溉面积为3.49万亩，且片区已有姜驿乡抗旱应急供水工程提供生活用水，无生活用水需求。仅考虑灌溉用水量为</w:t>
      </w:r>
      <w:r>
        <w:rPr>
          <w:rFonts w:hint="default" w:ascii="Times New Roman" w:hAnsi="Times New Roman" w:cs="Times New Roman"/>
          <w:color w:val="0000FF"/>
          <w:sz w:val="24"/>
          <w:szCs w:val="24"/>
          <w:highlight w:val="none"/>
          <w:shd w:val="clear"/>
          <w:lang w:val="en-US" w:eastAsia="zh-CN"/>
        </w:rPr>
        <w:t>760.7万m³</w:t>
      </w:r>
      <w:r>
        <w:rPr>
          <w:rFonts w:hint="eastAsia" w:cs="Times New Roman"/>
          <w:color w:val="0000FF"/>
          <w:sz w:val="24"/>
          <w:szCs w:val="24"/>
          <w:highlight w:val="none"/>
          <w:shd w:val="clear"/>
          <w:lang w:val="en-US" w:eastAsia="zh-CN"/>
        </w:rPr>
        <w:t>（该工程已取得水资源论证报告审查意见，不违背“高水高用”、“低水低用”原则）</w:t>
      </w:r>
      <w:r>
        <w:rPr>
          <w:rFonts w:hint="default" w:ascii="Times New Roman" w:hAnsi="Times New Roman" w:cs="Times New Roman"/>
          <w:color w:val="0000FF"/>
          <w:sz w:val="24"/>
          <w:szCs w:val="24"/>
          <w:highlight w:val="none"/>
          <w:shd w:val="clear"/>
          <w:lang w:val="en-US" w:eastAsia="zh-CN"/>
        </w:rPr>
        <w:t>，因此小于</w:t>
      </w:r>
      <w:r>
        <w:rPr>
          <w:rFonts w:hint="default" w:ascii="Times New Roman" w:hAnsi="Times New Roman" w:cs="Times New Roman"/>
          <w:b w:val="0"/>
          <w:bCs w:val="0"/>
          <w:color w:val="0000FF"/>
          <w:sz w:val="24"/>
          <w:szCs w:val="24"/>
          <w:highlight w:val="none"/>
          <w:lang w:val="en-US" w:eastAsia="zh-CN"/>
        </w:rPr>
        <w:t>金沙江乌东德水电站水资源综合利用—元谋县姜驿乡提水工程预留的水量。关于《元谋县姜驿中型灌区续建配套与节水改造项目》水量的情况说明</w:t>
      </w:r>
      <w:r>
        <w:rPr>
          <w:rFonts w:hint="eastAsia" w:ascii="Times New Roman" w:hAnsi="Times New Roman" w:cs="Times New Roman"/>
          <w:b w:val="0"/>
          <w:bCs w:val="0"/>
          <w:color w:val="0000FF"/>
          <w:sz w:val="24"/>
          <w:szCs w:val="24"/>
          <w:highlight w:val="none"/>
          <w:lang w:val="en-US" w:eastAsia="zh-CN"/>
        </w:rPr>
        <w:t>见附件</w:t>
      </w:r>
      <w:r>
        <w:rPr>
          <w:rFonts w:hint="eastAsia" w:cs="Times New Roman"/>
          <w:b w:val="0"/>
          <w:bCs w:val="0"/>
          <w:color w:val="0000FF"/>
          <w:sz w:val="24"/>
          <w:szCs w:val="24"/>
          <w:highlight w:val="none"/>
          <w:lang w:val="en-US" w:eastAsia="zh-CN"/>
        </w:rPr>
        <w:t>11</w:t>
      </w:r>
      <w:r>
        <w:rPr>
          <w:rFonts w:hint="eastAsia" w:ascii="Times New Roman" w:hAnsi="Times New Roman" w:cs="Times New Roman"/>
          <w:b w:val="0"/>
          <w:bCs w:val="0"/>
          <w:color w:val="0000FF"/>
          <w:sz w:val="24"/>
          <w:szCs w:val="24"/>
          <w:highlight w:val="none"/>
          <w:lang w:val="en-US" w:eastAsia="zh-CN"/>
        </w:rPr>
        <w:t>。</w:t>
      </w:r>
    </w:p>
    <w:p>
      <w:pPr>
        <w:keepNext w:val="0"/>
        <w:keepLines w:val="0"/>
        <w:pageBreakBefore w:val="0"/>
        <w:widowControl w:val="0"/>
        <w:kinsoku/>
        <w:wordWrap w:val="0"/>
        <w:overflowPunct/>
        <w:topLinePunct w:val="0"/>
        <w:autoSpaceDE/>
        <w:autoSpaceDN/>
        <w:bidi w:val="0"/>
        <w:adjustRightInd/>
        <w:snapToGrid w:val="0"/>
        <w:ind w:firstLine="480" w:firstLineChars="200"/>
        <w:textAlignment w:val="auto"/>
        <w:rPr>
          <w:rFonts w:hint="default" w:ascii="Times New Roman" w:hAnsi="Times New Roman" w:cs="Times New Roman"/>
          <w:b w:val="0"/>
          <w:bCs w:val="0"/>
          <w:color w:val="0000FF"/>
          <w:sz w:val="24"/>
          <w:szCs w:val="24"/>
          <w:lang w:val="en-US" w:eastAsia="zh-CN"/>
        </w:rPr>
      </w:pPr>
      <w:r>
        <w:rPr>
          <w:rFonts w:hint="default" w:ascii="Times New Roman" w:hAnsi="Times New Roman" w:cs="Times New Roman"/>
          <w:b w:val="0"/>
          <w:bCs w:val="0"/>
          <w:color w:val="0000FF"/>
          <w:sz w:val="24"/>
          <w:szCs w:val="24"/>
          <w:lang w:val="en-US" w:eastAsia="zh-CN"/>
        </w:rPr>
        <w:t>根据《灌排发展中心关于编制2023年-2025年中型灌区续建配套与节水改造项目实施方案有关技术要求的函》（中灌节水函[2022]39号）</w:t>
      </w:r>
      <w:r>
        <w:rPr>
          <w:rFonts w:hint="eastAsia" w:ascii="Times New Roman" w:hAnsi="Times New Roman" w:cs="Times New Roman"/>
          <w:b w:val="0"/>
          <w:bCs w:val="0"/>
          <w:color w:val="0000FF"/>
          <w:sz w:val="24"/>
          <w:szCs w:val="24"/>
          <w:lang w:val="en-US" w:eastAsia="zh-CN"/>
        </w:rPr>
        <w:t>、《2023 年-2025 年中型灌区续建配套与节水改造项目实施方案编制技术指南》中编制深度的要求：“项目实施方案应当由具有相应水利专业设计资质的单位编制，达到初步设计深度”。</w:t>
      </w:r>
      <w:r>
        <w:rPr>
          <w:rFonts w:hint="eastAsia" w:cs="Times New Roman"/>
          <w:b w:val="0"/>
          <w:bCs w:val="0"/>
          <w:color w:val="0000FF"/>
          <w:sz w:val="24"/>
          <w:szCs w:val="24"/>
          <w:lang w:val="en-US" w:eastAsia="zh-CN"/>
        </w:rPr>
        <w:t>因此，建设</w:t>
      </w:r>
      <w:r>
        <w:rPr>
          <w:rFonts w:hint="eastAsia" w:ascii="Times New Roman" w:hAnsi="Times New Roman" w:cs="Times New Roman"/>
          <w:b w:val="0"/>
          <w:bCs w:val="0"/>
          <w:color w:val="0000FF"/>
          <w:sz w:val="24"/>
          <w:szCs w:val="24"/>
          <w:lang w:val="en-US" w:eastAsia="zh-CN"/>
        </w:rPr>
        <w:t>单位委托楚雄欣源水利电力勘察设计有限责任公司编制了《元谋县姜驿中型灌区续建配套与节水改造项目实施方案》，并</w:t>
      </w:r>
      <w:r>
        <w:rPr>
          <w:rFonts w:hint="default" w:ascii="Times New Roman" w:hAnsi="Times New Roman" w:cs="Times New Roman"/>
          <w:color w:val="0000FF"/>
          <w:sz w:val="24"/>
          <w:szCs w:val="24"/>
          <w:lang w:eastAsia="zh-CN"/>
        </w:rPr>
        <w:t>于</w:t>
      </w:r>
      <w:r>
        <w:rPr>
          <w:rFonts w:hint="default" w:ascii="Times New Roman" w:hAnsi="Times New Roman" w:cs="Times New Roman"/>
          <w:color w:val="0000FF"/>
          <w:sz w:val="24"/>
          <w:szCs w:val="24"/>
          <w:lang w:val="en-US" w:eastAsia="zh-CN"/>
        </w:rPr>
        <w:t>2023年6月17日取得</w:t>
      </w:r>
      <w:r>
        <w:rPr>
          <w:rFonts w:hint="eastAsia" w:ascii="Times New Roman" w:hAnsi="Times New Roman" w:cs="Times New Roman"/>
          <w:color w:val="0000FF"/>
          <w:sz w:val="24"/>
          <w:szCs w:val="24"/>
          <w:lang w:val="en-US" w:eastAsia="zh-CN"/>
        </w:rPr>
        <w:t>“</w:t>
      </w:r>
      <w:r>
        <w:rPr>
          <w:rFonts w:hint="default" w:ascii="Times New Roman" w:hAnsi="Times New Roman" w:cs="Times New Roman"/>
          <w:color w:val="0000FF"/>
          <w:sz w:val="24"/>
          <w:szCs w:val="24"/>
          <w:lang w:val="en-US" w:eastAsia="zh-CN"/>
        </w:rPr>
        <w:t>元谋县水务局关于《元谋县姜驿中型灌区续建配套与节水改造项目实施方案》的批复（元水复</w:t>
      </w:r>
      <w:r>
        <w:rPr>
          <w:rFonts w:hint="default" w:ascii="Times New Roman" w:hAnsi="Times New Roman" w:cs="Times New Roman"/>
          <w:color w:val="0000FF"/>
          <w:sz w:val="24"/>
          <w:szCs w:val="24"/>
          <w:highlight w:val="none"/>
          <w:lang w:val="en-US" w:eastAsia="zh-CN"/>
        </w:rPr>
        <w:t>〔2023〕20号）</w:t>
      </w:r>
      <w:r>
        <w:rPr>
          <w:rFonts w:hint="eastAsia" w:ascii="Times New Roman" w:hAnsi="Times New Roman" w:cs="Times New Roman"/>
          <w:color w:val="0000FF"/>
          <w:sz w:val="24"/>
          <w:szCs w:val="24"/>
          <w:highlight w:val="none"/>
          <w:lang w:val="en-US" w:eastAsia="zh-CN"/>
        </w:rPr>
        <w:t>，</w:t>
      </w:r>
      <w:r>
        <w:rPr>
          <w:rFonts w:hint="eastAsia" w:ascii="Times New Roman" w:hAnsi="Times New Roman" w:cs="Times New Roman"/>
          <w:b w:val="0"/>
          <w:bCs w:val="0"/>
          <w:color w:val="0000FF"/>
          <w:sz w:val="24"/>
          <w:szCs w:val="24"/>
          <w:highlight w:val="none"/>
          <w:lang w:val="en-US" w:eastAsia="zh-CN"/>
        </w:rPr>
        <w:t>该实施方案已达到初步设计的深度，项目不再单独进行初步设计</w:t>
      </w:r>
      <w:r>
        <w:rPr>
          <w:rFonts w:hint="eastAsia" w:cs="Times New Roman"/>
          <w:b w:val="0"/>
          <w:bCs w:val="0"/>
          <w:color w:val="0000FF"/>
          <w:sz w:val="24"/>
          <w:szCs w:val="24"/>
          <w:highlight w:val="none"/>
          <w:lang w:val="en-US" w:eastAsia="zh-CN"/>
        </w:rPr>
        <w:t>，本次按照实施方案内容进行编制。（以实施方案代初设的情况说明见附件2）。</w:t>
      </w:r>
    </w:p>
    <w:p>
      <w:pPr>
        <w:keepNext w:val="0"/>
        <w:keepLines w:val="0"/>
        <w:pageBreakBefore w:val="0"/>
        <w:widowControl w:val="0"/>
        <w:kinsoku/>
        <w:wordWrap w:val="0"/>
        <w:overflowPunct/>
        <w:topLinePunct w:val="0"/>
        <w:autoSpaceDE/>
        <w:autoSpaceDN/>
        <w:bidi w:val="0"/>
        <w:adjustRightInd/>
        <w:snapToGrid w:val="0"/>
        <w:ind w:firstLine="480" w:firstLineChars="200"/>
        <w:textAlignment w:val="auto"/>
        <w:rPr>
          <w:rFonts w:hint="default"/>
          <w:color w:val="auto"/>
        </w:rPr>
      </w:pPr>
      <w:r>
        <w:rPr>
          <w:rFonts w:hint="default" w:ascii="Times New Roman" w:hAnsi="Times New Roman" w:cs="Times New Roman"/>
          <w:color w:val="0000FF"/>
        </w:rPr>
        <w:t>根据本项目</w:t>
      </w:r>
      <w:r>
        <w:rPr>
          <w:rFonts w:hint="default" w:ascii="Times New Roman" w:hAnsi="Times New Roman" w:cs="Times New Roman"/>
          <w:color w:val="0000FF"/>
          <w:lang w:eastAsia="zh-CN"/>
        </w:rPr>
        <w:t>实施方案</w:t>
      </w:r>
      <w:r>
        <w:rPr>
          <w:rFonts w:hint="default" w:ascii="Times New Roman" w:hAnsi="Times New Roman" w:cs="Times New Roman"/>
          <w:color w:val="0000FF"/>
        </w:rPr>
        <w:t>批复</w:t>
      </w:r>
      <w:r>
        <w:rPr>
          <w:rFonts w:hint="default"/>
          <w:color w:val="0000FF"/>
        </w:rPr>
        <w:t>，本工程采用管道输水，能满足自流的灌区耕地采用自流输水，不能满足的则采用泵站提水</w:t>
      </w:r>
      <w:r>
        <w:rPr>
          <w:rFonts w:hint="eastAsia"/>
          <w:color w:val="0000FF"/>
          <w:lang w:eastAsia="zh-CN"/>
        </w:rPr>
        <w:t>。</w:t>
      </w:r>
      <w:r>
        <w:rPr>
          <w:rFonts w:hint="eastAsia"/>
          <w:color w:val="auto"/>
          <w:lang w:val="en-US" w:eastAsia="zh-CN"/>
        </w:rPr>
        <w:t>本工程水源为《</w:t>
      </w:r>
      <w:r>
        <w:rPr>
          <w:rFonts w:hint="default"/>
          <w:color w:val="auto"/>
        </w:rPr>
        <w:t>金沙江乌东德水电站水资源综合利用—元谋县姜驿乡提水工程</w:t>
      </w:r>
      <w:r>
        <w:rPr>
          <w:rFonts w:hint="eastAsia"/>
          <w:color w:val="auto"/>
          <w:lang w:val="en-US" w:eastAsia="zh-CN"/>
        </w:rPr>
        <w:t>》在建的2040m³高位水池。</w:t>
      </w:r>
      <w:r>
        <w:rPr>
          <w:rFonts w:hint="default"/>
          <w:color w:val="auto"/>
        </w:rPr>
        <w:t>主要建设内容</w:t>
      </w:r>
      <w:r>
        <w:rPr>
          <w:rFonts w:hint="eastAsia"/>
          <w:color w:val="auto"/>
          <w:lang w:val="en-US" w:eastAsia="zh-CN"/>
        </w:rPr>
        <w:t>包括</w:t>
      </w:r>
      <w:r>
        <w:rPr>
          <w:rFonts w:hint="default"/>
          <w:color w:val="auto"/>
        </w:rPr>
        <w:t>：管首3.9万m³高位调节水池1座、</w:t>
      </w:r>
      <w:r>
        <w:rPr>
          <w:rFonts w:hint="eastAsia"/>
          <w:color w:val="0000FF"/>
          <w:lang w:val="en-US" w:eastAsia="zh-CN"/>
        </w:rPr>
        <w:t>引水管道42m、</w:t>
      </w:r>
      <w:r>
        <w:rPr>
          <w:rFonts w:hint="default"/>
          <w:color w:val="auto"/>
        </w:rPr>
        <w:t>输水干管2条分（北干管、金马分干管），支管4条（金马1#、2#、3#、4#支管），新建提水泵站2座（平坦提水泵站、白秧树提水泵站）并配套3条提水管道，（平坦泵站提水管道、白秧树1#泵站提水管道、白秧树2#泵站提水管道）。新建1座建筑面积464.58m²管理房及灌区信息化系统。</w:t>
      </w:r>
    </w:p>
    <w:p>
      <w:pPr>
        <w:bidi w:val="0"/>
        <w:ind w:firstLine="480" w:firstLineChars="200"/>
        <w:rPr>
          <w:rFonts w:hint="eastAsia"/>
          <w:color w:val="auto"/>
          <w:highlight w:val="none"/>
          <w:lang w:eastAsia="zh-CN"/>
        </w:rPr>
      </w:pPr>
      <w:r>
        <w:rPr>
          <w:rFonts w:hint="default"/>
          <w:color w:val="auto"/>
          <w:highlight w:val="none"/>
        </w:rPr>
        <w:t>项目实施完成后，项目区内水利工程总供水量为885.2万m³，保证灌溉面积3.49万亩，</w:t>
      </w:r>
      <w:r>
        <w:rPr>
          <w:rFonts w:hint="eastAsia"/>
          <w:color w:val="auto"/>
          <w:highlight w:val="none"/>
          <w:lang w:eastAsia="zh-CN"/>
        </w:rPr>
        <w:t>改善</w:t>
      </w:r>
      <w:r>
        <w:rPr>
          <w:rFonts w:hint="default"/>
          <w:color w:val="auto"/>
          <w:highlight w:val="none"/>
        </w:rPr>
        <w:t>姜驿乡水平石、半箐、姜驿、</w:t>
      </w:r>
      <w:r>
        <w:rPr>
          <w:rFonts w:hint="default"/>
          <w:color w:val="auto"/>
          <w:highlight w:val="none"/>
          <w:lang w:val="en-US" w:eastAsia="zh-CN"/>
        </w:rPr>
        <w:t>糯拉</w:t>
      </w:r>
      <w:r>
        <w:rPr>
          <w:rFonts w:hint="eastAsia"/>
          <w:color w:val="auto"/>
          <w:highlight w:val="none"/>
          <w:lang w:val="en-US" w:eastAsia="zh-CN"/>
        </w:rPr>
        <w:t>鲊</w:t>
      </w:r>
      <w:r>
        <w:rPr>
          <w:rFonts w:hint="default"/>
          <w:color w:val="auto"/>
          <w:highlight w:val="none"/>
        </w:rPr>
        <w:t>4个村委会32个自然村和江边乡盐水井村委会3个自然村</w:t>
      </w:r>
      <w:r>
        <w:rPr>
          <w:rFonts w:hint="eastAsia"/>
          <w:color w:val="auto"/>
          <w:highlight w:val="none"/>
          <w:lang w:eastAsia="zh-CN"/>
        </w:rPr>
        <w:t>灌溉缺水现状。</w:t>
      </w:r>
    </w:p>
    <w:p>
      <w:pPr>
        <w:keepNext w:val="0"/>
        <w:keepLines w:val="0"/>
        <w:pageBreakBefore w:val="0"/>
        <w:widowControl w:val="0"/>
        <w:kinsoku/>
        <w:wordWrap/>
        <w:overflowPunct/>
        <w:topLinePunct w:val="0"/>
        <w:autoSpaceDE/>
        <w:autoSpaceDN/>
        <w:bidi w:val="0"/>
        <w:adjustRightInd/>
        <w:snapToGrid w:val="0"/>
        <w:ind w:firstLine="482" w:firstLineChars="200"/>
        <w:textAlignment w:val="auto"/>
        <w:rPr>
          <w:rFonts w:hint="default"/>
          <w:b/>
          <w:bCs/>
          <w:color w:val="auto"/>
          <w:highlight w:val="none"/>
          <w:lang w:val="en-US" w:eastAsia="zh-CN"/>
        </w:rPr>
      </w:pPr>
      <w:r>
        <w:rPr>
          <w:rFonts w:hint="eastAsia"/>
          <w:b/>
          <w:bCs/>
          <w:color w:val="auto"/>
          <w:highlight w:val="none"/>
          <w:lang w:val="en-US" w:eastAsia="zh-CN"/>
        </w:rPr>
        <w:t>2、项目特点</w:t>
      </w:r>
    </w:p>
    <w:bookmarkEnd w:id="22"/>
    <w:bookmarkEnd w:id="23"/>
    <w:bookmarkEnd w:id="24"/>
    <w:bookmarkEnd w:id="25"/>
    <w:bookmarkEnd w:id="26"/>
    <w:p>
      <w:pPr>
        <w:keepNext w:val="0"/>
        <w:keepLines w:val="0"/>
        <w:pageBreakBefore w:val="0"/>
        <w:widowControl w:val="0"/>
        <w:numPr>
          <w:ilvl w:val="0"/>
          <w:numId w:val="0"/>
        </w:numPr>
        <w:kinsoku/>
        <w:wordWrap/>
        <w:overflowPunct/>
        <w:topLinePunct w:val="0"/>
        <w:autoSpaceDE/>
        <w:autoSpaceDN/>
        <w:bidi w:val="0"/>
        <w:adjustRightInd/>
        <w:snapToGrid w:val="0"/>
        <w:ind w:left="0" w:leftChars="0" w:firstLine="480" w:firstLineChars="200"/>
        <w:textAlignment w:val="auto"/>
        <w:rPr>
          <w:rFonts w:hint="eastAsia" w:cs="Times New Roman"/>
          <w:b w:val="0"/>
          <w:bCs w:val="0"/>
          <w:color w:val="auto"/>
          <w:kern w:val="2"/>
          <w:sz w:val="24"/>
          <w:szCs w:val="21"/>
          <w:highlight w:val="none"/>
          <w:lang w:val="en-US" w:eastAsia="zh-CN" w:bidi="ar-SA"/>
        </w:rPr>
      </w:pPr>
      <w:bookmarkStart w:id="27" w:name="_Toc12799"/>
      <w:bookmarkStart w:id="28" w:name="_Toc1466"/>
      <w:bookmarkStart w:id="29" w:name="_Toc2220"/>
      <w:bookmarkStart w:id="30" w:name="_Toc25525"/>
      <w:bookmarkStart w:id="31" w:name="_Toc6787"/>
      <w:r>
        <w:rPr>
          <w:rFonts w:hint="eastAsia" w:cs="Times New Roman"/>
          <w:b w:val="0"/>
          <w:bCs w:val="0"/>
          <w:color w:val="auto"/>
          <w:kern w:val="2"/>
          <w:sz w:val="24"/>
          <w:szCs w:val="21"/>
          <w:highlight w:val="none"/>
          <w:lang w:val="en-US" w:eastAsia="zh-CN" w:bidi="ar-SA"/>
        </w:rPr>
        <w:t>（1）本项目主要建设灌区工程，属于生态影响型项目，主要影响在施工期，主要表现为对涉及水体水文情势、水资源利用、生态环境的影响。</w:t>
      </w:r>
    </w:p>
    <w:p>
      <w:pPr>
        <w:keepNext w:val="0"/>
        <w:keepLines w:val="0"/>
        <w:pageBreakBefore w:val="0"/>
        <w:widowControl w:val="0"/>
        <w:numPr>
          <w:ilvl w:val="0"/>
          <w:numId w:val="0"/>
        </w:numPr>
        <w:kinsoku/>
        <w:wordWrap/>
        <w:overflowPunct/>
        <w:topLinePunct w:val="0"/>
        <w:autoSpaceDE/>
        <w:autoSpaceDN/>
        <w:bidi w:val="0"/>
        <w:adjustRightInd/>
        <w:snapToGrid w:val="0"/>
        <w:ind w:left="0" w:leftChars="0" w:firstLine="480" w:firstLineChars="200"/>
        <w:textAlignment w:val="auto"/>
        <w:rPr>
          <w:rFonts w:hint="eastAsia" w:cs="Times New Roman"/>
          <w:b w:val="0"/>
          <w:bCs w:val="0"/>
          <w:color w:val="auto"/>
          <w:kern w:val="2"/>
          <w:sz w:val="24"/>
          <w:szCs w:val="21"/>
          <w:highlight w:val="none"/>
          <w:lang w:val="en-US" w:eastAsia="zh-CN" w:bidi="ar-SA"/>
        </w:rPr>
      </w:pPr>
      <w:r>
        <w:rPr>
          <w:rFonts w:hint="eastAsia" w:cs="Times New Roman"/>
          <w:b w:val="0"/>
          <w:bCs w:val="0"/>
          <w:color w:val="auto"/>
          <w:kern w:val="2"/>
          <w:sz w:val="24"/>
          <w:szCs w:val="21"/>
          <w:highlight w:val="none"/>
          <w:lang w:val="en-US" w:eastAsia="zh-CN" w:bidi="ar-SA"/>
        </w:rPr>
        <w:t>（2）本项目建设目的主要为解决姜驿乡农业灌溉缺水的问题，产生的环境正效益大于负效益。</w:t>
      </w:r>
    </w:p>
    <w:p>
      <w:pPr>
        <w:keepNext w:val="0"/>
        <w:keepLines w:val="0"/>
        <w:pageBreakBefore w:val="0"/>
        <w:widowControl w:val="0"/>
        <w:numPr>
          <w:ilvl w:val="0"/>
          <w:numId w:val="0"/>
        </w:numPr>
        <w:kinsoku/>
        <w:wordWrap/>
        <w:overflowPunct/>
        <w:topLinePunct w:val="0"/>
        <w:autoSpaceDE/>
        <w:autoSpaceDN/>
        <w:bidi w:val="0"/>
        <w:adjustRightInd/>
        <w:snapToGrid w:val="0"/>
        <w:ind w:left="0" w:leftChars="0" w:firstLine="482" w:firstLineChars="200"/>
        <w:textAlignment w:val="auto"/>
        <w:rPr>
          <w:rFonts w:hint="eastAsia" w:eastAsia="宋体"/>
          <w:b/>
          <w:bCs/>
          <w:color w:val="auto"/>
          <w:highlight w:val="none"/>
          <w:lang w:val="en-US" w:eastAsia="zh-CN"/>
        </w:rPr>
      </w:pPr>
      <w:r>
        <w:rPr>
          <w:rFonts w:hint="eastAsia" w:cs="Times New Roman"/>
          <w:b/>
          <w:bCs/>
          <w:color w:val="auto"/>
          <w:kern w:val="2"/>
          <w:sz w:val="24"/>
          <w:szCs w:val="21"/>
          <w:highlight w:val="none"/>
          <w:lang w:val="en-US" w:eastAsia="zh-CN" w:bidi="ar-SA"/>
        </w:rPr>
        <w:t>3</w:t>
      </w:r>
      <w:r>
        <w:rPr>
          <w:rFonts w:hint="default" w:ascii="Times New Roman" w:hAnsi="Times New Roman" w:eastAsia="宋体" w:cs="Times New Roman"/>
          <w:b/>
          <w:bCs/>
          <w:color w:val="auto"/>
          <w:kern w:val="2"/>
          <w:sz w:val="24"/>
          <w:szCs w:val="21"/>
          <w:highlight w:val="none"/>
          <w:lang w:val="en-US" w:eastAsia="zh-CN" w:bidi="ar-SA"/>
        </w:rPr>
        <w:t>、</w:t>
      </w:r>
      <w:r>
        <w:rPr>
          <w:rFonts w:hint="default"/>
          <w:b/>
          <w:bCs/>
          <w:color w:val="auto"/>
          <w:highlight w:val="none"/>
        </w:rPr>
        <w:t>环境影响评价工作过程</w:t>
      </w:r>
      <w:bookmarkEnd w:id="27"/>
      <w:bookmarkEnd w:id="28"/>
      <w:bookmarkEnd w:id="29"/>
      <w:bookmarkEnd w:id="30"/>
      <w:bookmarkEnd w:id="31"/>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default"/>
          <w:color w:val="auto"/>
          <w:highlight w:val="none"/>
          <w:lang w:val="en-US" w:eastAsia="zh-CN"/>
        </w:rPr>
      </w:pPr>
      <w:r>
        <w:rPr>
          <w:rFonts w:hint="eastAsia"/>
          <w:color w:val="auto"/>
          <w:highlight w:val="none"/>
          <w:lang w:val="en-US" w:eastAsia="zh-CN"/>
        </w:rPr>
        <w:t>本项目属于灌区工程，</w:t>
      </w:r>
      <w:r>
        <w:rPr>
          <w:rFonts w:hint="default"/>
          <w:color w:val="auto"/>
          <w:highlight w:val="none"/>
          <w:lang w:val="en-US" w:eastAsia="zh-CN"/>
        </w:rPr>
        <w:t>根据《建设项目环境影响评价分类管理名录》（2021年版），本项目属于名录中</w:t>
      </w:r>
      <w:r>
        <w:rPr>
          <w:rFonts w:hint="eastAsia"/>
          <w:color w:val="auto"/>
          <w:highlight w:val="none"/>
          <w:lang w:val="en-US" w:eastAsia="zh-CN"/>
        </w:rPr>
        <w:t>“</w:t>
      </w:r>
      <w:r>
        <w:rPr>
          <w:rFonts w:hint="default"/>
          <w:color w:val="auto"/>
          <w:highlight w:val="none"/>
          <w:lang w:val="en-US" w:eastAsia="zh-CN"/>
        </w:rPr>
        <w:t>第五十一水利</w:t>
      </w:r>
      <w:r>
        <w:rPr>
          <w:rFonts w:hint="eastAsia"/>
          <w:color w:val="auto"/>
          <w:highlight w:val="none"/>
          <w:lang w:val="en-US" w:eastAsia="zh-CN"/>
        </w:rPr>
        <w:t>”的</w:t>
      </w:r>
      <w:r>
        <w:rPr>
          <w:rFonts w:hint="eastAsia" w:ascii="宋体" w:hAnsi="宋体" w:eastAsia="宋体" w:cs="宋体"/>
          <w:color w:val="auto"/>
          <w:highlight w:val="none"/>
          <w:lang w:val="en-US" w:eastAsia="zh-CN"/>
        </w:rPr>
        <w:t>“</w:t>
      </w:r>
      <w:r>
        <w:rPr>
          <w:rFonts w:hint="default" w:ascii="Times New Roman" w:hAnsi="Times New Roman" w:eastAsia="宋体" w:cs="Times New Roman"/>
          <w:color w:val="auto"/>
          <w:highlight w:val="none"/>
          <w:lang w:val="en-US" w:eastAsia="zh-CN"/>
        </w:rPr>
        <w:t>125</w:t>
      </w:r>
      <w:r>
        <w:rPr>
          <w:rFonts w:hint="eastAsia" w:ascii="宋体" w:hAnsi="宋体" w:eastAsia="宋体" w:cs="宋体"/>
          <w:color w:val="auto"/>
          <w:highlight w:val="none"/>
          <w:lang w:val="en-US" w:eastAsia="zh-CN"/>
        </w:rPr>
        <w:t>灌区工程（不含水源工程的）”</w:t>
      </w:r>
      <w:r>
        <w:rPr>
          <w:rFonts w:hint="default"/>
          <w:color w:val="auto"/>
          <w:highlight w:val="none"/>
          <w:lang w:val="en-US" w:eastAsia="zh-CN"/>
        </w:rPr>
        <w:t>；</w:t>
      </w:r>
      <w:r>
        <w:rPr>
          <w:rFonts w:hint="default"/>
          <w:color w:val="0000FF"/>
          <w:highlight w:val="none"/>
          <w:lang w:val="en-US" w:eastAsia="zh-CN"/>
        </w:rPr>
        <w:t>涉及环境敏感区</w:t>
      </w:r>
      <w:r>
        <w:rPr>
          <w:rFonts w:hint="default"/>
          <w:color w:val="auto"/>
          <w:highlight w:val="none"/>
          <w:lang w:val="en-US" w:eastAsia="zh-CN"/>
        </w:rPr>
        <w:t>（元谋风景名胜区</w:t>
      </w:r>
      <w:r>
        <w:rPr>
          <w:rFonts w:hint="eastAsia"/>
          <w:color w:val="auto"/>
          <w:highlight w:val="none"/>
          <w:lang w:val="en-US" w:eastAsia="zh-CN"/>
        </w:rPr>
        <w:t>金沙江景区、</w:t>
      </w:r>
      <w:r>
        <w:rPr>
          <w:rFonts w:hint="eastAsia"/>
          <w:color w:val="0000FF"/>
          <w:highlight w:val="none"/>
          <w:lang w:val="en-US" w:eastAsia="zh-CN"/>
        </w:rPr>
        <w:t>生态保护红线及基本农田</w:t>
      </w:r>
      <w:r>
        <w:rPr>
          <w:rFonts w:hint="default"/>
          <w:color w:val="0000FF"/>
          <w:highlight w:val="none"/>
          <w:lang w:val="en-US" w:eastAsia="zh-CN"/>
        </w:rPr>
        <w:t>）</w:t>
      </w:r>
      <w:r>
        <w:rPr>
          <w:rFonts w:hint="default"/>
          <w:color w:val="auto"/>
          <w:highlight w:val="none"/>
          <w:lang w:val="en-US" w:eastAsia="zh-CN"/>
        </w:rPr>
        <w:t>需编制环境影响报告书</w:t>
      </w:r>
      <w:r>
        <w:rPr>
          <w:rFonts w:hint="eastAsia"/>
          <w:color w:val="auto"/>
          <w:highlight w:val="none"/>
          <w:lang w:val="en-US" w:eastAsia="zh-CN"/>
        </w:rPr>
        <w:t>；</w:t>
      </w:r>
      <w:r>
        <w:rPr>
          <w:rFonts w:hint="eastAsia"/>
          <w:color w:val="0000FF"/>
          <w:highlight w:val="none"/>
          <w:lang w:val="en-US" w:eastAsia="zh-CN"/>
        </w:rPr>
        <w:t>由于本项目从</w:t>
      </w:r>
      <w:r>
        <w:rPr>
          <w:rFonts w:hint="default"/>
          <w:color w:val="0000FF"/>
        </w:rPr>
        <w:t>金沙江乌东德水电站水资源综合利用—元谋县姜驿乡提水工程</w:t>
      </w:r>
      <w:r>
        <w:rPr>
          <w:rFonts w:hint="default"/>
          <w:color w:val="0000FF"/>
          <w:lang w:val="en-US" w:eastAsia="zh-CN"/>
        </w:rPr>
        <w:t>2040m³</w:t>
      </w:r>
      <w:r>
        <w:rPr>
          <w:rFonts w:hint="eastAsia"/>
          <w:color w:val="0000FF"/>
          <w:lang w:val="en-US" w:eastAsia="zh-CN"/>
        </w:rPr>
        <w:t>高位水池引水作为</w:t>
      </w:r>
      <w:r>
        <w:rPr>
          <w:rFonts w:hint="eastAsia"/>
          <w:color w:val="0000FF"/>
          <w:highlight w:val="none"/>
          <w:lang w:val="en-US" w:eastAsia="zh-CN"/>
        </w:rPr>
        <w:t>水源、从本项目管首调节池引水至四个受水区水库，同时判定为引水工程。对照</w:t>
      </w:r>
      <w:r>
        <w:rPr>
          <w:rFonts w:hint="default"/>
          <w:color w:val="0000FF"/>
          <w:highlight w:val="none"/>
          <w:lang w:val="en-US" w:eastAsia="zh-CN"/>
        </w:rPr>
        <w:t>《建设项目环境影响评价分类管理名录》（2021年版）</w:t>
      </w:r>
      <w:r>
        <w:rPr>
          <w:rFonts w:hint="eastAsia"/>
          <w:color w:val="0000FF"/>
          <w:highlight w:val="none"/>
          <w:lang w:val="en-US" w:eastAsia="zh-CN"/>
        </w:rPr>
        <w:t>中“</w:t>
      </w:r>
      <w:r>
        <w:rPr>
          <w:rFonts w:hint="default"/>
          <w:color w:val="0000FF"/>
          <w:highlight w:val="none"/>
          <w:lang w:val="en-US" w:eastAsia="zh-CN"/>
        </w:rPr>
        <w:t>第五十一水利</w:t>
      </w:r>
      <w:r>
        <w:rPr>
          <w:rFonts w:hint="eastAsia"/>
          <w:color w:val="0000FF"/>
          <w:highlight w:val="none"/>
          <w:lang w:val="en-US" w:eastAsia="zh-CN"/>
        </w:rPr>
        <w:t>”的</w:t>
      </w:r>
      <w:r>
        <w:rPr>
          <w:rFonts w:hint="eastAsia" w:ascii="宋体" w:hAnsi="宋体" w:eastAsia="宋体" w:cs="宋体"/>
          <w:color w:val="0000FF"/>
          <w:highlight w:val="none"/>
          <w:lang w:val="en-US" w:eastAsia="zh-CN"/>
        </w:rPr>
        <w:t>“</w:t>
      </w:r>
      <w:r>
        <w:rPr>
          <w:rFonts w:hint="default" w:ascii="Times New Roman" w:hAnsi="Times New Roman" w:eastAsia="宋体" w:cs="Times New Roman"/>
          <w:color w:val="0000FF"/>
          <w:highlight w:val="none"/>
          <w:lang w:val="en-US" w:eastAsia="zh-CN"/>
        </w:rPr>
        <w:t>12</w:t>
      </w:r>
      <w:r>
        <w:rPr>
          <w:rFonts w:hint="eastAsia" w:cs="Times New Roman"/>
          <w:color w:val="0000FF"/>
          <w:highlight w:val="none"/>
          <w:lang w:val="en-US" w:eastAsia="zh-CN"/>
        </w:rPr>
        <w:t>引水工程</w:t>
      </w:r>
      <w:r>
        <w:rPr>
          <w:rFonts w:hint="eastAsia" w:ascii="宋体" w:hAnsi="宋体" w:eastAsia="宋体" w:cs="宋体"/>
          <w:color w:val="0000FF"/>
          <w:highlight w:val="none"/>
          <w:lang w:val="en-US" w:eastAsia="zh-CN"/>
        </w:rPr>
        <w:t>”</w:t>
      </w:r>
      <w:r>
        <w:rPr>
          <w:rFonts w:hint="default"/>
          <w:color w:val="0000FF"/>
          <w:highlight w:val="none"/>
          <w:lang w:val="en-US" w:eastAsia="zh-CN"/>
        </w:rPr>
        <w:t>；涉及环境敏感区（元谋风景名胜区</w:t>
      </w:r>
      <w:r>
        <w:rPr>
          <w:rFonts w:hint="eastAsia"/>
          <w:color w:val="0000FF"/>
          <w:highlight w:val="none"/>
          <w:lang w:val="en-US" w:eastAsia="zh-CN"/>
        </w:rPr>
        <w:t>金沙江景区、生态保护红线及基本农田</w:t>
      </w:r>
      <w:r>
        <w:rPr>
          <w:rFonts w:hint="default"/>
          <w:color w:val="0000FF"/>
          <w:highlight w:val="none"/>
          <w:lang w:val="en-US" w:eastAsia="zh-CN"/>
        </w:rPr>
        <w:t>）需编制环境影响报告书</w:t>
      </w:r>
      <w:r>
        <w:rPr>
          <w:rFonts w:hint="eastAsia"/>
          <w:color w:val="0000FF"/>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具体工作过程如下：</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default"/>
          <w:color w:val="0000FF"/>
          <w:highlight w:val="none"/>
          <w:lang w:val="en-US" w:eastAsia="zh-CN"/>
        </w:rPr>
      </w:pPr>
      <w:r>
        <w:rPr>
          <w:rFonts w:hint="eastAsia"/>
          <w:color w:val="auto"/>
          <w:highlight w:val="none"/>
          <w:lang w:val="en-US" w:eastAsia="zh-CN"/>
        </w:rPr>
        <w:t>（1）</w:t>
      </w:r>
      <w:r>
        <w:rPr>
          <w:rFonts w:hint="eastAsia"/>
          <w:color w:val="0000FF"/>
          <w:highlight w:val="none"/>
          <w:lang w:val="en-US" w:eastAsia="zh-CN"/>
        </w:rPr>
        <w:t>2023年7月30日，元谋县灌区管理局委托我单位（云南水工源工程设计有限公司）承担《元谋县姜驿中型灌区续建配套与节水改造项目环境影响报告书》编制工作；接受委托后，由于工程高位水池及北干管管首段涉及元谋风景名胜区金沙江景区的一般景区，需编制《项目涉及元谋风景名胜区方案选址唯一性和不可避让性论证报告》、《项目涉及元谋风景名胜区方案选址影响评价报告》，因此环评编制工作暂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color w:val="auto"/>
          <w:highlight w:val="none"/>
          <w:lang w:val="en-US" w:eastAsia="zh-CN"/>
        </w:rPr>
      </w:pPr>
      <w:r>
        <w:rPr>
          <w:rFonts w:hint="eastAsia"/>
          <w:color w:val="auto"/>
          <w:highlight w:val="none"/>
          <w:lang w:val="en-US" w:eastAsia="zh-CN"/>
        </w:rPr>
        <w:t>（3）</w:t>
      </w:r>
      <w:r>
        <w:rPr>
          <w:rFonts w:hint="default"/>
          <w:color w:val="auto"/>
          <w:highlight w:val="none"/>
          <w:lang w:val="en-US" w:eastAsia="zh-CN"/>
        </w:rPr>
        <w:t>202</w:t>
      </w:r>
      <w:r>
        <w:rPr>
          <w:rFonts w:hint="eastAsia"/>
          <w:color w:val="auto"/>
          <w:highlight w:val="none"/>
          <w:lang w:val="en-US" w:eastAsia="zh-CN"/>
        </w:rPr>
        <w:t>3</w:t>
      </w:r>
      <w:r>
        <w:rPr>
          <w:rFonts w:hint="default"/>
          <w:color w:val="auto"/>
          <w:highlight w:val="none"/>
          <w:lang w:val="en-US" w:eastAsia="zh-CN"/>
        </w:rPr>
        <w:t>年</w:t>
      </w:r>
      <w:r>
        <w:rPr>
          <w:rFonts w:hint="eastAsia"/>
          <w:color w:val="auto"/>
          <w:highlight w:val="none"/>
          <w:lang w:val="en-US" w:eastAsia="zh-CN"/>
        </w:rPr>
        <w:t>12月14日</w:t>
      </w:r>
      <w:r>
        <w:rPr>
          <w:rFonts w:hint="default"/>
          <w:color w:val="auto"/>
          <w:highlight w:val="none"/>
          <w:lang w:val="en-US" w:eastAsia="zh-CN"/>
        </w:rPr>
        <w:t>，建设单位</w:t>
      </w:r>
      <w:r>
        <w:rPr>
          <w:rFonts w:hint="eastAsia"/>
          <w:color w:val="auto"/>
          <w:highlight w:val="none"/>
          <w:lang w:val="en-US" w:eastAsia="zh-CN"/>
        </w:rPr>
        <w:t>根据</w:t>
      </w:r>
      <w:r>
        <w:rPr>
          <w:rFonts w:hint="eastAsia"/>
          <w:color w:val="0000FF"/>
          <w:highlight w:val="none"/>
          <w:lang w:val="en-US" w:eastAsia="zh-CN"/>
        </w:rPr>
        <w:t>项目涉及元谋风景名胜区方案选址唯一性和不可避让性论证报告》、《项目涉及元谋风景名胜区方案选址影响评价报告》工作进度，委托我公司正式开展环评工作，同时</w:t>
      </w:r>
      <w:r>
        <w:rPr>
          <w:rFonts w:hint="default"/>
          <w:color w:val="auto"/>
          <w:highlight w:val="none"/>
          <w:lang w:val="en-US" w:eastAsia="zh-CN"/>
        </w:rPr>
        <w:t>在元谋县人民政府进行了第一次环评公示（网址：</w:t>
      </w:r>
      <w:r>
        <w:rPr>
          <w:rFonts w:hint="eastAsia"/>
          <w:color w:val="auto"/>
          <w:highlight w:val="none"/>
          <w:lang w:val="en-US" w:eastAsia="zh-CN"/>
        </w:rPr>
        <w:fldChar w:fldCharType="begin"/>
      </w:r>
      <w:r>
        <w:rPr>
          <w:rFonts w:hint="eastAsia"/>
          <w:color w:val="auto"/>
          <w:highlight w:val="none"/>
          <w:lang w:val="en-US" w:eastAsia="zh-CN"/>
        </w:rPr>
        <w:instrText xml:space="preserve"> HYPERLINK "http://www.yncxym.gov.cn/info/2222/53407.htm）。" </w:instrText>
      </w:r>
      <w:r>
        <w:rPr>
          <w:rFonts w:hint="eastAsia"/>
          <w:color w:val="auto"/>
          <w:highlight w:val="none"/>
          <w:lang w:val="en-US" w:eastAsia="zh-CN"/>
        </w:rPr>
        <w:fldChar w:fldCharType="separate"/>
      </w:r>
      <w:r>
        <w:rPr>
          <w:rStyle w:val="33"/>
          <w:rFonts w:hint="eastAsia"/>
          <w:color w:val="auto"/>
          <w:highlight w:val="none"/>
          <w:lang w:val="en-US" w:eastAsia="zh-CN"/>
        </w:rPr>
        <w:t>http://www.yncxym.gov.cn/info/2222/53407.htm</w:t>
      </w:r>
      <w:r>
        <w:rPr>
          <w:rStyle w:val="33"/>
          <w:rFonts w:hint="default"/>
          <w:color w:val="auto"/>
          <w:highlight w:val="none"/>
          <w:lang w:val="en-US" w:eastAsia="zh-CN"/>
        </w:rPr>
        <w:t>）。</w:t>
      </w:r>
      <w:r>
        <w:rPr>
          <w:rFonts w:hint="eastAsia"/>
          <w:color w:val="auto"/>
          <w:highlight w:val="none"/>
          <w:lang w:val="en-US" w:eastAsia="zh-CN"/>
        </w:rPr>
        <w:fldChar w:fldCharType="end"/>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color w:val="auto"/>
          <w:highlight w:val="none"/>
          <w:lang w:val="en-US" w:eastAsia="zh-CN"/>
        </w:rPr>
      </w:pPr>
      <w:r>
        <w:rPr>
          <w:rFonts w:hint="eastAsia"/>
          <w:color w:val="auto"/>
          <w:highlight w:val="none"/>
          <w:lang w:val="en-US" w:eastAsia="zh-CN"/>
        </w:rPr>
        <w:t>（2）</w:t>
      </w:r>
      <w:r>
        <w:rPr>
          <w:rFonts w:hint="default"/>
          <w:color w:val="auto"/>
          <w:highlight w:val="none"/>
          <w:lang w:val="en-US" w:eastAsia="zh-CN"/>
        </w:rPr>
        <w:t>202</w:t>
      </w:r>
      <w:r>
        <w:rPr>
          <w:rFonts w:hint="eastAsia"/>
          <w:color w:val="auto"/>
          <w:highlight w:val="none"/>
          <w:lang w:val="en-US" w:eastAsia="zh-CN"/>
        </w:rPr>
        <w:t>3</w:t>
      </w:r>
      <w:r>
        <w:rPr>
          <w:rFonts w:hint="default"/>
          <w:color w:val="auto"/>
          <w:highlight w:val="none"/>
          <w:lang w:val="en-US" w:eastAsia="zh-CN"/>
        </w:rPr>
        <w:t>年</w:t>
      </w:r>
      <w:r>
        <w:rPr>
          <w:rFonts w:hint="eastAsia"/>
          <w:color w:val="auto"/>
          <w:highlight w:val="none"/>
          <w:lang w:val="en-US" w:eastAsia="zh-CN"/>
        </w:rPr>
        <w:t>12</w:t>
      </w:r>
      <w:r>
        <w:rPr>
          <w:rFonts w:hint="default"/>
          <w:color w:val="auto"/>
          <w:highlight w:val="none"/>
          <w:lang w:val="en-US" w:eastAsia="zh-CN"/>
        </w:rPr>
        <w:t>月</w:t>
      </w:r>
      <w:r>
        <w:rPr>
          <w:rFonts w:hint="eastAsia"/>
          <w:color w:val="auto"/>
          <w:highlight w:val="none"/>
          <w:lang w:val="en-US" w:eastAsia="zh-CN"/>
        </w:rPr>
        <w:t>11</w:t>
      </w:r>
      <w:r>
        <w:rPr>
          <w:rFonts w:hint="default"/>
          <w:color w:val="auto"/>
          <w:highlight w:val="none"/>
          <w:lang w:val="en-US" w:eastAsia="zh-CN"/>
        </w:rPr>
        <w:t>日~</w:t>
      </w:r>
      <w:r>
        <w:rPr>
          <w:rFonts w:hint="eastAsia"/>
          <w:color w:val="auto"/>
          <w:highlight w:val="none"/>
          <w:lang w:val="en-US" w:eastAsia="zh-CN"/>
        </w:rPr>
        <w:t>1</w:t>
      </w:r>
      <w:r>
        <w:rPr>
          <w:rFonts w:hint="default"/>
          <w:color w:val="auto"/>
          <w:highlight w:val="none"/>
          <w:lang w:val="en-US" w:eastAsia="zh-CN"/>
        </w:rPr>
        <w:t>7日，我单位组织项目组专业技术人员进行了项目相关资料的收集，以及生态环境现状调查。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color w:val="auto"/>
          <w:highlight w:val="none"/>
          <w:lang w:val="en-US" w:eastAsia="zh-CN"/>
        </w:rPr>
      </w:pPr>
      <w:r>
        <w:rPr>
          <w:rFonts w:hint="eastAsia"/>
          <w:color w:val="auto"/>
          <w:highlight w:val="none"/>
          <w:lang w:val="en-US" w:eastAsia="zh-CN"/>
        </w:rPr>
        <w:t>（4）2023年12月25日建设单位委托云南天倪检测有限公司进行了环境质量现状监测；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我单位通过结合现场调查、资料收集及现状监测结果，根据相关的法律、法规、部门规章、技术导则等要求于202</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lang w:val="en-US" w:eastAsia="zh-CN"/>
        </w:rPr>
        <w:t>年1月</w:t>
      </w:r>
      <w:r>
        <w:rPr>
          <w:rFonts w:hint="eastAsia" w:ascii="Times New Roman" w:hAnsi="Times New Roman" w:cs="Times New Roman"/>
          <w:color w:val="auto"/>
          <w:highlight w:val="none"/>
          <w:lang w:val="en-US" w:eastAsia="zh-CN"/>
        </w:rPr>
        <w:t>15</w:t>
      </w:r>
      <w:r>
        <w:rPr>
          <w:rFonts w:hint="default" w:ascii="Times New Roman" w:hAnsi="Times New Roman" w:cs="Times New Roman"/>
          <w:color w:val="auto"/>
          <w:highlight w:val="none"/>
          <w:lang w:val="en-US" w:eastAsia="zh-CN"/>
        </w:rPr>
        <w:t>日编制完成了</w:t>
      </w:r>
      <w:r>
        <w:rPr>
          <w:rFonts w:hint="default"/>
          <w:color w:val="auto"/>
          <w:highlight w:val="none"/>
          <w:lang w:val="en-US" w:eastAsia="zh-CN"/>
        </w:rPr>
        <w:t>《</w:t>
      </w:r>
      <w:r>
        <w:rPr>
          <w:rFonts w:hint="eastAsia"/>
          <w:color w:val="auto"/>
          <w:highlight w:val="none"/>
          <w:lang w:val="en-US" w:eastAsia="zh-CN"/>
        </w:rPr>
        <w:t>元谋县姜驿中型灌区续建配套与节水改造项目环境影响报告书</w:t>
      </w:r>
      <w:r>
        <w:rPr>
          <w:rFonts w:hint="default"/>
          <w:color w:val="auto"/>
          <w:highlight w:val="none"/>
          <w:lang w:val="en-US" w:eastAsia="zh-CN"/>
        </w:rPr>
        <w:t>（征求意见稿）》</w:t>
      </w:r>
      <w:r>
        <w:rPr>
          <w:rFonts w:hint="default" w:ascii="Times New Roman" w:hAnsi="Times New Roman" w:cs="Times New Roman"/>
          <w:color w:val="auto"/>
          <w:highlight w:val="none"/>
          <w:lang w:val="en-US" w:eastAsia="zh-CN"/>
        </w:rPr>
        <w:t>，交于建设单位。</w:t>
      </w:r>
      <w:r>
        <w:rPr>
          <w:rFonts w:hint="eastAsia" w:cs="Times New Roman"/>
          <w:color w:val="auto"/>
          <w:highlight w:val="none"/>
          <w:lang w:val="en-US" w:eastAsia="zh-CN"/>
        </w:rPr>
        <w:t xml:space="preserve"> </w:t>
      </w:r>
    </w:p>
    <w:p>
      <w:pPr>
        <w:keepNext w:val="0"/>
        <w:keepLines w:val="0"/>
        <w:pageBreakBefore w:val="0"/>
        <w:widowControl w:val="0"/>
        <w:numPr>
          <w:ilvl w:val="0"/>
          <w:numId w:val="0"/>
        </w:numPr>
        <w:kinsoku/>
        <w:wordWrap w:val="0"/>
        <w:overflowPunct/>
        <w:topLinePunct w:val="0"/>
        <w:autoSpaceDE/>
        <w:autoSpaceDN/>
        <w:bidi w:val="0"/>
        <w:adjustRightInd/>
        <w:snapToGrid w:val="0"/>
        <w:ind w:firstLine="480" w:firstLineChars="200"/>
        <w:textAlignment w:val="auto"/>
        <w:rPr>
          <w:rFonts w:hint="default" w:ascii="Times New Roman" w:hAnsi="Times New Roman" w:cs="Times New Roman"/>
          <w:color w:val="auto"/>
          <w:highlight w:val="none"/>
        </w:rPr>
      </w:pPr>
      <w:r>
        <w:rPr>
          <w:rFonts w:hint="eastAsia"/>
          <w:color w:val="auto"/>
          <w:highlight w:val="none"/>
          <w:lang w:val="en-US" w:eastAsia="zh-CN"/>
        </w:rPr>
        <w:t>（6）征求意见完成后，建设单位建设单位采用三种方式进行第二次公示：</w:t>
      </w:r>
      <w:r>
        <w:rPr>
          <w:rFonts w:hint="default" w:ascii="Times New Roman" w:hAnsi="Times New Roman" w:cs="Times New Roman"/>
          <w:color w:val="auto"/>
          <w:highlight w:val="none"/>
          <w:lang w:val="en-US" w:eastAsia="zh-CN"/>
        </w:rPr>
        <w:t>①</w:t>
      </w:r>
      <w:r>
        <w:rPr>
          <w:rFonts w:hint="default"/>
          <w:color w:val="auto"/>
          <w:highlight w:val="none"/>
          <w:lang w:val="en-US" w:eastAsia="zh-CN"/>
        </w:rPr>
        <w:t>202</w:t>
      </w:r>
      <w:r>
        <w:rPr>
          <w:rFonts w:hint="eastAsia"/>
          <w:color w:val="auto"/>
          <w:highlight w:val="none"/>
          <w:lang w:val="en-US" w:eastAsia="zh-CN"/>
        </w:rPr>
        <w:t>4</w:t>
      </w:r>
      <w:r>
        <w:rPr>
          <w:rFonts w:hint="default"/>
          <w:color w:val="auto"/>
          <w:highlight w:val="none"/>
          <w:lang w:val="en-US" w:eastAsia="zh-CN"/>
        </w:rPr>
        <w:t>年</w:t>
      </w:r>
      <w:r>
        <w:rPr>
          <w:rFonts w:hint="eastAsia"/>
          <w:color w:val="auto"/>
          <w:highlight w:val="none"/>
          <w:lang w:val="en-US" w:eastAsia="zh-CN"/>
        </w:rPr>
        <w:t>1</w:t>
      </w:r>
      <w:r>
        <w:rPr>
          <w:rFonts w:hint="default"/>
          <w:color w:val="auto"/>
          <w:highlight w:val="none"/>
          <w:lang w:val="en-US" w:eastAsia="zh-CN"/>
        </w:rPr>
        <w:t>月</w:t>
      </w:r>
      <w:r>
        <w:rPr>
          <w:rFonts w:hint="eastAsia"/>
          <w:color w:val="auto"/>
          <w:highlight w:val="none"/>
          <w:lang w:val="en-US" w:eastAsia="zh-CN"/>
        </w:rPr>
        <w:t>17</w:t>
      </w:r>
      <w:r>
        <w:rPr>
          <w:rFonts w:hint="default"/>
          <w:color w:val="auto"/>
          <w:highlight w:val="none"/>
          <w:lang w:val="en-US" w:eastAsia="zh-CN"/>
        </w:rPr>
        <w:t>日~</w:t>
      </w:r>
      <w:r>
        <w:rPr>
          <w:rFonts w:hint="eastAsia"/>
          <w:color w:val="auto"/>
          <w:highlight w:val="none"/>
          <w:lang w:val="en-US" w:eastAsia="zh-CN"/>
        </w:rPr>
        <w:t>1</w:t>
      </w:r>
      <w:r>
        <w:rPr>
          <w:rFonts w:hint="default"/>
          <w:color w:val="auto"/>
          <w:highlight w:val="none"/>
          <w:lang w:val="en-US" w:eastAsia="zh-CN"/>
        </w:rPr>
        <w:t>月</w:t>
      </w:r>
      <w:r>
        <w:rPr>
          <w:rFonts w:hint="eastAsia"/>
          <w:color w:val="auto"/>
          <w:highlight w:val="none"/>
          <w:lang w:val="en-US" w:eastAsia="zh-CN"/>
        </w:rPr>
        <w:t>31</w:t>
      </w:r>
      <w:r>
        <w:rPr>
          <w:rFonts w:hint="default"/>
          <w:color w:val="auto"/>
          <w:highlight w:val="none"/>
          <w:lang w:val="en-US" w:eastAsia="zh-CN"/>
        </w:rPr>
        <w:t>日</w:t>
      </w:r>
      <w:r>
        <w:rPr>
          <w:rFonts w:hint="default" w:ascii="Times New Roman" w:hAnsi="Times New Roman" w:cs="Times New Roman"/>
          <w:color w:val="auto"/>
          <w:highlight w:val="none"/>
        </w:rPr>
        <w:t>在</w:t>
      </w:r>
      <w:r>
        <w:rPr>
          <w:rFonts w:hint="default"/>
          <w:color w:val="auto"/>
          <w:highlight w:val="none"/>
          <w:lang w:val="en-US" w:eastAsia="zh-CN"/>
        </w:rPr>
        <w:t>元谋县人民政府</w:t>
      </w:r>
      <w:r>
        <w:rPr>
          <w:rFonts w:hint="eastAsia"/>
          <w:color w:val="auto"/>
          <w:highlight w:val="none"/>
          <w:lang w:val="en-US" w:eastAsia="zh-CN"/>
        </w:rPr>
        <w:t>网</w:t>
      </w:r>
      <w:r>
        <w:rPr>
          <w:rFonts w:hint="default" w:ascii="Times New Roman" w:hAnsi="Times New Roman" w:cs="Times New Roman"/>
          <w:color w:val="auto"/>
          <w:highlight w:val="none"/>
        </w:rPr>
        <w:t>（</w:t>
      </w:r>
      <w:r>
        <w:rPr>
          <w:rFonts w:hint="eastAsia"/>
          <w:color w:val="auto"/>
          <w:highlight w:val="none"/>
          <w:lang w:val="en-US" w:eastAsia="zh-CN"/>
        </w:rPr>
        <w:t>http://yncxym.gov.cn/info/1041/53938.htm</w:t>
      </w:r>
      <w:r>
        <w:rPr>
          <w:rFonts w:hint="default" w:ascii="Times New Roman" w:hAnsi="Times New Roman" w:cs="Times New Roman"/>
          <w:color w:val="auto"/>
          <w:highlight w:val="none"/>
        </w:rPr>
        <w:t>）进行网络第二次公示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②</w:t>
      </w:r>
      <w:r>
        <w:rPr>
          <w:rFonts w:hint="default" w:ascii="Times New Roman" w:hAnsi="Times New Roman" w:cs="Times New Roman"/>
          <w:color w:val="auto"/>
          <w:highlight w:val="none"/>
        </w:rPr>
        <w:t>在元谋县姜驿乡人民政府公示栏进行了征求意见稿环评公示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公示内容为：征求意见稿全文网络链接及纸质报告查阅方式、征求公众意见的范围、公众意见表的网络链接、公众提出意见的方式和途径、公众提出意见的起止时间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shd w:val="clear"/>
          <w:lang w:eastAsia="zh-CN"/>
        </w:rPr>
        <w:t>；</w:t>
      </w:r>
      <w:r>
        <w:rPr>
          <w:rFonts w:hint="default" w:ascii="Times New Roman" w:hAnsi="Times New Roman" w:cs="Times New Roman"/>
          <w:color w:val="auto"/>
          <w:highlight w:val="none"/>
          <w:shd w:val="clear"/>
          <w:lang w:val="en-US" w:eastAsia="zh-CN"/>
        </w:rPr>
        <w:t>③分别于</w:t>
      </w:r>
      <w:r>
        <w:rPr>
          <w:rFonts w:hint="default" w:ascii="Times New Roman" w:hAnsi="Times New Roman" w:cs="Times New Roman"/>
          <w:color w:val="auto"/>
          <w:highlight w:val="none"/>
          <w:shd w:val="clear"/>
        </w:rPr>
        <w:t>202</w:t>
      </w:r>
      <w:r>
        <w:rPr>
          <w:rFonts w:hint="eastAsia" w:ascii="Times New Roman" w:hAnsi="Times New Roman" w:cs="Times New Roman"/>
          <w:color w:val="auto"/>
          <w:highlight w:val="none"/>
          <w:shd w:val="clear"/>
          <w:lang w:val="en-US" w:eastAsia="zh-CN"/>
        </w:rPr>
        <w:t>4</w:t>
      </w:r>
      <w:r>
        <w:rPr>
          <w:rFonts w:hint="default" w:ascii="Times New Roman" w:hAnsi="Times New Roman" w:cs="Times New Roman"/>
          <w:color w:val="auto"/>
          <w:highlight w:val="none"/>
          <w:shd w:val="clear"/>
        </w:rPr>
        <w:t>年</w:t>
      </w:r>
      <w:r>
        <w:rPr>
          <w:rFonts w:hint="eastAsia" w:ascii="Times New Roman" w:hAnsi="Times New Roman" w:cs="Times New Roman"/>
          <w:color w:val="auto"/>
          <w:highlight w:val="none"/>
          <w:shd w:val="clear"/>
          <w:lang w:val="en-US" w:eastAsia="zh-CN"/>
        </w:rPr>
        <w:t>1</w:t>
      </w:r>
      <w:r>
        <w:rPr>
          <w:rFonts w:hint="default" w:ascii="Times New Roman" w:hAnsi="Times New Roman" w:cs="Times New Roman"/>
          <w:color w:val="auto"/>
          <w:highlight w:val="none"/>
          <w:shd w:val="clear"/>
        </w:rPr>
        <w:t>月</w:t>
      </w:r>
      <w:r>
        <w:rPr>
          <w:rFonts w:hint="eastAsia" w:ascii="Times New Roman" w:hAnsi="Times New Roman" w:cs="Times New Roman"/>
          <w:color w:val="auto"/>
          <w:highlight w:val="none"/>
          <w:shd w:val="clear"/>
          <w:lang w:val="en-US" w:eastAsia="zh-CN"/>
        </w:rPr>
        <w:t>22</w:t>
      </w:r>
      <w:r>
        <w:rPr>
          <w:rFonts w:hint="default" w:ascii="Times New Roman" w:hAnsi="Times New Roman" w:cs="Times New Roman"/>
          <w:color w:val="auto"/>
          <w:highlight w:val="none"/>
          <w:shd w:val="clear"/>
        </w:rPr>
        <w:t>日</w:t>
      </w:r>
      <w:r>
        <w:rPr>
          <w:rFonts w:hint="default" w:ascii="Times New Roman" w:hAnsi="Times New Roman" w:cs="Times New Roman"/>
          <w:color w:val="auto"/>
          <w:highlight w:val="none"/>
          <w:shd w:val="clear"/>
          <w:lang w:val="en-US" w:eastAsia="zh-CN"/>
        </w:rPr>
        <w:t>、</w:t>
      </w:r>
      <w:r>
        <w:rPr>
          <w:rFonts w:hint="default" w:ascii="Times New Roman" w:hAnsi="Times New Roman" w:cs="Times New Roman"/>
          <w:color w:val="auto"/>
          <w:highlight w:val="none"/>
          <w:shd w:val="clear"/>
        </w:rPr>
        <w:t>202</w:t>
      </w:r>
      <w:r>
        <w:rPr>
          <w:rFonts w:hint="eastAsia" w:ascii="Times New Roman" w:hAnsi="Times New Roman" w:cs="Times New Roman"/>
          <w:color w:val="auto"/>
          <w:highlight w:val="none"/>
          <w:shd w:val="clear"/>
          <w:lang w:val="en-US" w:eastAsia="zh-CN"/>
        </w:rPr>
        <w:t>4</w:t>
      </w:r>
      <w:r>
        <w:rPr>
          <w:rFonts w:hint="default" w:ascii="Times New Roman" w:hAnsi="Times New Roman" w:cs="Times New Roman"/>
          <w:color w:val="auto"/>
          <w:highlight w:val="none"/>
          <w:shd w:val="clear"/>
        </w:rPr>
        <w:t>年</w:t>
      </w:r>
      <w:r>
        <w:rPr>
          <w:rFonts w:hint="eastAsia" w:ascii="Times New Roman" w:hAnsi="Times New Roman" w:cs="Times New Roman"/>
          <w:color w:val="auto"/>
          <w:highlight w:val="none"/>
          <w:shd w:val="clear"/>
          <w:lang w:val="en-US" w:eastAsia="zh-CN"/>
        </w:rPr>
        <w:t>1</w:t>
      </w:r>
      <w:r>
        <w:rPr>
          <w:rFonts w:hint="default" w:ascii="Times New Roman" w:hAnsi="Times New Roman" w:cs="Times New Roman"/>
          <w:color w:val="auto"/>
          <w:highlight w:val="none"/>
          <w:shd w:val="clear"/>
        </w:rPr>
        <w:t>月</w:t>
      </w:r>
      <w:r>
        <w:rPr>
          <w:rFonts w:hint="eastAsia" w:ascii="Times New Roman" w:hAnsi="Times New Roman" w:cs="Times New Roman"/>
          <w:color w:val="auto"/>
          <w:highlight w:val="none"/>
          <w:shd w:val="clear"/>
          <w:lang w:val="en-US" w:eastAsia="zh-CN"/>
        </w:rPr>
        <w:t>23</w:t>
      </w:r>
      <w:r>
        <w:rPr>
          <w:rFonts w:hint="default" w:ascii="Times New Roman" w:hAnsi="Times New Roman" w:cs="Times New Roman"/>
          <w:color w:val="auto"/>
          <w:highlight w:val="none"/>
          <w:shd w:val="clear"/>
        </w:rPr>
        <w:t>日</w:t>
      </w:r>
      <w:r>
        <w:rPr>
          <w:rFonts w:hint="default" w:ascii="Times New Roman" w:hAnsi="Times New Roman" w:cs="Times New Roman"/>
          <w:color w:val="auto"/>
          <w:highlight w:val="none"/>
          <w:shd w:val="clear"/>
          <w:lang w:val="en-US" w:eastAsia="zh-CN"/>
        </w:rPr>
        <w:t>在《环球时报》进行了征求意见稿公示</w:t>
      </w:r>
      <w:r>
        <w:rPr>
          <w:rFonts w:hint="default" w:ascii="Times New Roman" w:hAnsi="Times New Roman" w:cs="Times New Roman"/>
          <w:color w:val="auto"/>
          <w:highlight w:val="none"/>
          <w:shd w:val="clear"/>
        </w:rPr>
        <w:t>。</w:t>
      </w:r>
      <w:r>
        <w:rPr>
          <w:rFonts w:hint="default" w:ascii="Times New Roman" w:hAnsi="Times New Roman" w:cs="Times New Roman"/>
          <w:color w:val="auto"/>
          <w:highlight w:val="none"/>
          <w:lang w:val="en-US" w:eastAsia="zh-CN"/>
        </w:rPr>
        <w:t>公示期间</w:t>
      </w:r>
      <w:r>
        <w:rPr>
          <w:rFonts w:hint="default" w:ascii="Times New Roman" w:hAnsi="Times New Roman" w:cs="Times New Roman"/>
          <w:color w:val="auto"/>
          <w:highlight w:val="none"/>
        </w:rPr>
        <w:t>未收到公众反馈意见。</w:t>
      </w:r>
    </w:p>
    <w:p>
      <w:pPr>
        <w:outlineLvl w:val="9"/>
        <w:rPr>
          <w:rFonts w:hint="default"/>
          <w:color w:val="auto"/>
          <w:lang w:val="en-US" w:eastAsia="zh-CN"/>
        </w:rPr>
      </w:pPr>
      <w:r>
        <w:rPr>
          <w:rFonts w:hint="default"/>
          <w:color w:val="auto"/>
          <w:highlight w:val="none"/>
          <w:lang w:val="en-US" w:eastAsia="zh-CN"/>
        </w:rPr>
        <w:t>通过以上现场调查、资料收集、现状监测，以及公众意见征求的基础上，项目组根据相关的法律、法规、部门规章、技术导则等要求，编制完成了《元谋县姜驿中型灌区续建配套与节水改造项目环境影响报告书（送审稿）》，供</w:t>
      </w:r>
      <w:r>
        <w:rPr>
          <w:rFonts w:hint="default"/>
          <w:color w:val="auto"/>
          <w:lang w:val="en-US" w:eastAsia="zh-CN"/>
        </w:rPr>
        <w:t>建设单位上报审查。</w:t>
      </w:r>
    </w:p>
    <w:p>
      <w:pPr>
        <w:keepNext w:val="0"/>
        <w:keepLines w:val="0"/>
        <w:pageBreakBefore w:val="0"/>
        <w:widowControl w:val="0"/>
        <w:numPr>
          <w:ilvl w:val="0"/>
          <w:numId w:val="0"/>
        </w:numPr>
        <w:kinsoku/>
        <w:overflowPunct/>
        <w:topLinePunct w:val="0"/>
        <w:autoSpaceDE/>
        <w:autoSpaceDN/>
        <w:bidi w:val="0"/>
        <w:adjustRightInd/>
        <w:ind w:left="0" w:leftChars="0" w:firstLine="482" w:firstLineChars="200"/>
        <w:textAlignment w:val="auto"/>
        <w:rPr>
          <w:rFonts w:hint="default"/>
          <w:b/>
          <w:bCs/>
          <w:color w:val="auto"/>
          <w:highlight w:val="none"/>
        </w:rPr>
      </w:pPr>
      <w:bookmarkStart w:id="32" w:name="_Toc11958"/>
      <w:bookmarkStart w:id="33" w:name="_Toc15130"/>
      <w:bookmarkStart w:id="34" w:name="_Toc8355"/>
      <w:bookmarkStart w:id="35" w:name="_Toc24848"/>
      <w:bookmarkStart w:id="36" w:name="_Toc25536"/>
      <w:r>
        <w:rPr>
          <w:rFonts w:hint="eastAsia" w:cs="Times New Roman"/>
          <w:b/>
          <w:bCs/>
          <w:color w:val="auto"/>
          <w:kern w:val="2"/>
          <w:sz w:val="24"/>
          <w:szCs w:val="21"/>
          <w:highlight w:val="none"/>
          <w:lang w:val="en-US" w:eastAsia="zh-CN" w:bidi="ar-SA"/>
        </w:rPr>
        <w:t>4</w:t>
      </w:r>
      <w:r>
        <w:rPr>
          <w:rFonts w:hint="default" w:ascii="Times New Roman" w:hAnsi="Times New Roman" w:eastAsia="宋体" w:cs="Times New Roman"/>
          <w:b/>
          <w:bCs/>
          <w:color w:val="auto"/>
          <w:kern w:val="2"/>
          <w:sz w:val="24"/>
          <w:szCs w:val="21"/>
          <w:highlight w:val="none"/>
          <w:lang w:val="en-US" w:eastAsia="zh-CN" w:bidi="ar-SA"/>
        </w:rPr>
        <w:t>、</w:t>
      </w:r>
      <w:r>
        <w:rPr>
          <w:rFonts w:hint="default"/>
          <w:b/>
          <w:bCs/>
          <w:color w:val="auto"/>
          <w:highlight w:val="none"/>
        </w:rPr>
        <w:t>分析判定相关情况</w:t>
      </w:r>
      <w:bookmarkEnd w:id="32"/>
      <w:bookmarkEnd w:id="33"/>
      <w:bookmarkEnd w:id="34"/>
      <w:bookmarkEnd w:id="35"/>
      <w:bookmarkEnd w:id="36"/>
    </w:p>
    <w:p>
      <w:pPr>
        <w:keepNext w:val="0"/>
        <w:keepLines w:val="0"/>
        <w:pageBreakBefore w:val="0"/>
        <w:widowControl w:val="0"/>
        <w:numPr>
          <w:ilvl w:val="0"/>
          <w:numId w:val="0"/>
        </w:numPr>
        <w:kinsoku/>
        <w:overflowPunct/>
        <w:topLinePunct w:val="0"/>
        <w:autoSpaceDE/>
        <w:autoSpaceDN/>
        <w:bidi w:val="0"/>
        <w:adjustRightInd/>
        <w:ind w:leftChars="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属于</w:t>
      </w:r>
      <w:r>
        <w:rPr>
          <w:rFonts w:hint="default" w:ascii="Times New Roman" w:hAnsi="Times New Roman" w:cs="Times New Roman"/>
          <w:color w:val="auto"/>
          <w:highlight w:val="none"/>
        </w:rPr>
        <w:t>新建</w:t>
      </w:r>
      <w:r>
        <w:rPr>
          <w:rFonts w:hint="default" w:ascii="Times New Roman" w:hAnsi="Times New Roman" w:cs="Times New Roman"/>
          <w:color w:val="auto"/>
          <w:highlight w:val="none"/>
          <w:lang w:val="en-US" w:eastAsia="zh-CN"/>
        </w:rPr>
        <w:t>灌区工程</w:t>
      </w:r>
      <w:r>
        <w:rPr>
          <w:rFonts w:hint="default" w:ascii="Times New Roman" w:hAnsi="Times New Roman" w:cs="Times New Roman"/>
          <w:color w:val="auto"/>
          <w:highlight w:val="none"/>
        </w:rPr>
        <w:t>，对照《产业结构调整指导目录（2024年本）》，项目属于鼓励类</w:t>
      </w:r>
      <w:r>
        <w:rPr>
          <w:rFonts w:hint="eastAsia" w:ascii="Times New Roman" w:hAnsi="Times New Roman" w:eastAsia="宋体" w:cs="Times New Roman"/>
          <w:color w:val="auto"/>
          <w:highlight w:val="none"/>
          <w:lang w:eastAsia="zh-CN"/>
        </w:rPr>
        <w:t>“</w:t>
      </w:r>
      <w:r>
        <w:rPr>
          <w:rFonts w:hint="default" w:ascii="Times New Roman" w:hAnsi="Times New Roman" w:cs="Times New Roman"/>
          <w:color w:val="auto"/>
          <w:highlight w:val="none"/>
          <w:lang w:val="en-US" w:eastAsia="zh-CN"/>
        </w:rPr>
        <w:t>二、水利</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中</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t>2、节水供水工程</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t>中的</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t>灌区及配套设施建设、改造</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rPr>
        <w:t>符合国家产业政策。</w:t>
      </w:r>
    </w:p>
    <w:p>
      <w:pPr>
        <w:keepNext w:val="0"/>
        <w:keepLines w:val="0"/>
        <w:pageBreakBefore w:val="0"/>
        <w:widowControl w:val="0"/>
        <w:numPr>
          <w:ilvl w:val="0"/>
          <w:numId w:val="0"/>
        </w:numPr>
        <w:kinsoku/>
        <w:overflowPunct/>
        <w:topLinePunct w:val="0"/>
        <w:autoSpaceDE/>
        <w:autoSpaceDN/>
        <w:bidi w:val="0"/>
        <w:adjustRightInd/>
        <w:ind w:leftChars="0" w:firstLine="480" w:firstLineChars="200"/>
        <w:textAlignment w:val="auto"/>
        <w:rPr>
          <w:rFonts w:hint="default"/>
          <w:color w:val="auto"/>
          <w:highlight w:val="none"/>
        </w:rPr>
      </w:pPr>
      <w:r>
        <w:rPr>
          <w:rFonts w:hint="default"/>
          <w:color w:val="auto"/>
          <w:highlight w:val="none"/>
        </w:rPr>
        <w:t>项目位于元谋县姜驿乡，地处农村地区，距离元谋县城较远，不在城市规划范围区内；</w:t>
      </w:r>
      <w:r>
        <w:rPr>
          <w:rFonts w:hint="default"/>
          <w:color w:val="0000FF"/>
          <w:highlight w:val="none"/>
        </w:rPr>
        <w:t>项目</w:t>
      </w:r>
      <w:r>
        <w:rPr>
          <w:rFonts w:hint="eastAsia"/>
          <w:color w:val="0000FF"/>
          <w:highlight w:val="none"/>
          <w:lang w:val="en-US" w:eastAsia="zh-CN"/>
        </w:rPr>
        <w:t>未开展过规划环评；</w:t>
      </w:r>
      <w:r>
        <w:rPr>
          <w:rFonts w:hint="default"/>
          <w:color w:val="auto"/>
          <w:highlight w:val="none"/>
        </w:rPr>
        <w:t>符合《云南省主体功能区划》和《云南省生态功能区划》、《云南省楚雄州元谋县饮用水水源地环境保护规划》、《元谋县水利十三五重点专项规划中期评估报告》、《楚雄州</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十四五</w:t>
      </w:r>
      <w:r>
        <w:rPr>
          <w:rFonts w:hint="eastAsia" w:ascii="宋体" w:hAnsi="宋体" w:eastAsia="宋体" w:cs="宋体"/>
          <w:color w:val="auto"/>
          <w:highlight w:val="none"/>
          <w:lang w:eastAsia="zh-CN"/>
        </w:rPr>
        <w:t>”</w:t>
      </w:r>
      <w:r>
        <w:rPr>
          <w:rFonts w:hint="default"/>
          <w:color w:val="auto"/>
          <w:highlight w:val="none"/>
        </w:rPr>
        <w:t>水安全保障规划的通知》的有关要求。本项目符合《中国生物多样性保护战略与行动计划（2011-2030年）》、《云南省生物多样性保护战略与行动计划（2012-2030年）》、《云南省生物多样性保护条例》、《风景名胜区条例》、《云南省风景名胜区条例（2021年修正）》、《元谋风景名胜区总体规划（2015-2030）》、《楚雄州人民政府关于印发楚雄州</w:t>
      </w:r>
      <w:r>
        <w:rPr>
          <w:rFonts w:hint="eastAsia"/>
          <w:color w:val="auto"/>
          <w:highlight w:val="none"/>
          <w:lang w:eastAsia="zh-CN"/>
        </w:rPr>
        <w:t>“</w:t>
      </w:r>
      <w:r>
        <w:rPr>
          <w:rFonts w:hint="default"/>
          <w:color w:val="auto"/>
          <w:highlight w:val="none"/>
        </w:rPr>
        <w:t>三线一单</w:t>
      </w:r>
      <w:r>
        <w:rPr>
          <w:rFonts w:hint="eastAsia"/>
          <w:color w:val="auto"/>
          <w:highlight w:val="none"/>
          <w:lang w:eastAsia="zh-CN"/>
        </w:rPr>
        <w:t>”</w:t>
      </w:r>
      <w:r>
        <w:rPr>
          <w:rFonts w:hint="default"/>
          <w:color w:val="auto"/>
          <w:highlight w:val="none"/>
        </w:rPr>
        <w:t>生态环境分区管控实施方案》、《关于在国土空间规划中统筹划定落实三条控制线的指导意见》相关要求。</w:t>
      </w:r>
    </w:p>
    <w:p>
      <w:pPr>
        <w:keepNext w:val="0"/>
        <w:keepLines w:val="0"/>
        <w:pageBreakBefore w:val="0"/>
        <w:widowControl w:val="0"/>
        <w:numPr>
          <w:ilvl w:val="0"/>
          <w:numId w:val="0"/>
        </w:numPr>
        <w:kinsoku/>
        <w:overflowPunct/>
        <w:topLinePunct w:val="0"/>
        <w:autoSpaceDE/>
        <w:autoSpaceDN/>
        <w:bidi w:val="0"/>
        <w:adjustRightInd/>
        <w:ind w:left="0" w:leftChars="0" w:firstLine="482" w:firstLineChars="200"/>
        <w:textAlignment w:val="auto"/>
        <w:rPr>
          <w:rFonts w:hint="default"/>
          <w:b/>
          <w:bCs/>
          <w:color w:val="auto"/>
          <w:highlight w:val="none"/>
        </w:rPr>
      </w:pPr>
      <w:bookmarkStart w:id="37" w:name="_Toc30572"/>
      <w:bookmarkStart w:id="38" w:name="_Toc21246"/>
      <w:bookmarkStart w:id="39" w:name="_Toc15755"/>
      <w:bookmarkStart w:id="40" w:name="_Toc12090"/>
      <w:bookmarkStart w:id="41" w:name="_Toc1696"/>
      <w:r>
        <w:rPr>
          <w:rFonts w:hint="eastAsia" w:cs="Times New Roman"/>
          <w:b/>
          <w:bCs/>
          <w:color w:val="auto"/>
          <w:kern w:val="2"/>
          <w:sz w:val="24"/>
          <w:szCs w:val="21"/>
          <w:highlight w:val="none"/>
          <w:lang w:val="en-US" w:eastAsia="zh-CN" w:bidi="ar-SA"/>
        </w:rPr>
        <w:t>5</w:t>
      </w:r>
      <w:r>
        <w:rPr>
          <w:rFonts w:hint="default" w:ascii="Times New Roman" w:hAnsi="Times New Roman" w:eastAsia="宋体" w:cs="Times New Roman"/>
          <w:b/>
          <w:bCs/>
          <w:color w:val="auto"/>
          <w:kern w:val="2"/>
          <w:sz w:val="24"/>
          <w:szCs w:val="21"/>
          <w:highlight w:val="none"/>
          <w:lang w:val="en-US" w:eastAsia="zh-CN" w:bidi="ar-SA"/>
        </w:rPr>
        <w:t>、</w:t>
      </w:r>
      <w:r>
        <w:rPr>
          <w:rFonts w:hint="default"/>
          <w:b/>
          <w:bCs/>
          <w:color w:val="auto"/>
          <w:highlight w:val="none"/>
        </w:rPr>
        <w:t>主要环境问题及环境影响</w:t>
      </w:r>
      <w:bookmarkEnd w:id="37"/>
      <w:bookmarkEnd w:id="38"/>
      <w:bookmarkEnd w:id="39"/>
      <w:bookmarkEnd w:id="40"/>
      <w:bookmarkEnd w:id="41"/>
    </w:p>
    <w:p>
      <w:pPr>
        <w:keepNext w:val="0"/>
        <w:keepLines w:val="0"/>
        <w:pageBreakBefore w:val="0"/>
        <w:widowControl w:val="0"/>
        <w:numPr>
          <w:ilvl w:val="0"/>
          <w:numId w:val="0"/>
        </w:numPr>
        <w:kinsoku/>
        <w:overflowPunct/>
        <w:topLinePunct w:val="0"/>
        <w:autoSpaceDE/>
        <w:autoSpaceDN/>
        <w:bidi w:val="0"/>
        <w:adjustRightInd/>
        <w:ind w:leftChars="0" w:firstLine="480" w:firstLineChars="200"/>
        <w:textAlignment w:val="auto"/>
        <w:rPr>
          <w:rFonts w:hint="default"/>
          <w:color w:val="0000FF"/>
          <w:highlight w:val="none"/>
        </w:rPr>
      </w:pPr>
      <w:r>
        <w:rPr>
          <w:rFonts w:hint="default"/>
          <w:color w:val="0000FF"/>
          <w:highlight w:val="none"/>
        </w:rPr>
        <w:t>（</w:t>
      </w:r>
      <w:r>
        <w:rPr>
          <w:rFonts w:hint="eastAsia"/>
          <w:color w:val="0000FF"/>
          <w:highlight w:val="none"/>
          <w:lang w:val="en-US" w:eastAsia="zh-CN"/>
        </w:rPr>
        <w:t>1</w:t>
      </w:r>
      <w:r>
        <w:rPr>
          <w:rFonts w:hint="default"/>
          <w:color w:val="0000FF"/>
          <w:highlight w:val="none"/>
        </w:rPr>
        <w:t>）项目</w:t>
      </w:r>
      <w:r>
        <w:rPr>
          <w:rFonts w:hint="eastAsia"/>
          <w:color w:val="0000FF"/>
          <w:highlight w:val="none"/>
          <w:lang w:val="en-US" w:eastAsia="zh-CN"/>
        </w:rPr>
        <w:t>涉及基本农田、生态保护红线、元谋风景名胜区金沙江景区、公益林</w:t>
      </w:r>
      <w:r>
        <w:rPr>
          <w:rFonts w:hint="default"/>
          <w:color w:val="0000FF"/>
          <w:highlight w:val="none"/>
        </w:rPr>
        <w:t>的选址可行性、合理性及影响；</w:t>
      </w:r>
    </w:p>
    <w:p>
      <w:pPr>
        <w:keepNext w:val="0"/>
        <w:keepLines w:val="0"/>
        <w:pageBreakBefore w:val="0"/>
        <w:widowControl w:val="0"/>
        <w:numPr>
          <w:ilvl w:val="0"/>
          <w:numId w:val="0"/>
        </w:numPr>
        <w:kinsoku/>
        <w:overflowPunct/>
        <w:topLinePunct w:val="0"/>
        <w:autoSpaceDE/>
        <w:autoSpaceDN/>
        <w:bidi w:val="0"/>
        <w:adjustRightInd/>
        <w:ind w:leftChars="0" w:firstLine="480" w:firstLineChars="200"/>
        <w:textAlignment w:val="auto"/>
        <w:rPr>
          <w:rFonts w:hint="default"/>
          <w:color w:val="auto"/>
          <w:highlight w:val="none"/>
        </w:rPr>
      </w:pPr>
      <w:r>
        <w:rPr>
          <w:rFonts w:hint="default"/>
          <w:color w:val="auto"/>
          <w:highlight w:val="none"/>
        </w:rPr>
        <w:t>（</w:t>
      </w:r>
      <w:r>
        <w:rPr>
          <w:rFonts w:hint="eastAsia"/>
          <w:color w:val="auto"/>
          <w:highlight w:val="none"/>
          <w:lang w:val="en-US" w:eastAsia="zh-CN"/>
        </w:rPr>
        <w:t>2</w:t>
      </w:r>
      <w:r>
        <w:rPr>
          <w:rFonts w:hint="default"/>
          <w:color w:val="auto"/>
          <w:highlight w:val="none"/>
        </w:rPr>
        <w:t>）灌区供水对受水水库水文情势、水质的影响；农业退水对地表水的影响；</w:t>
      </w:r>
    </w:p>
    <w:p>
      <w:pPr>
        <w:keepNext w:val="0"/>
        <w:keepLines w:val="0"/>
        <w:pageBreakBefore w:val="0"/>
        <w:widowControl w:val="0"/>
        <w:numPr>
          <w:ilvl w:val="0"/>
          <w:numId w:val="0"/>
        </w:numPr>
        <w:kinsoku/>
        <w:overflowPunct/>
        <w:topLinePunct w:val="0"/>
        <w:autoSpaceDE/>
        <w:autoSpaceDN/>
        <w:bidi w:val="0"/>
        <w:adjustRightInd/>
        <w:ind w:leftChars="0" w:firstLine="480" w:firstLineChars="200"/>
        <w:textAlignment w:val="auto"/>
        <w:rPr>
          <w:rFonts w:hint="eastAsia" w:eastAsia="宋体"/>
          <w:color w:val="auto"/>
          <w:highlight w:val="none"/>
          <w:lang w:val="en-US" w:eastAsia="zh-CN"/>
        </w:rPr>
      </w:pPr>
      <w:r>
        <w:rPr>
          <w:rFonts w:hint="default"/>
          <w:color w:val="auto"/>
          <w:highlight w:val="none"/>
        </w:rPr>
        <w:t>（</w:t>
      </w:r>
      <w:r>
        <w:rPr>
          <w:rFonts w:hint="eastAsia"/>
          <w:color w:val="auto"/>
          <w:highlight w:val="none"/>
          <w:lang w:val="en-US" w:eastAsia="zh-CN"/>
        </w:rPr>
        <w:t>3</w:t>
      </w:r>
      <w:r>
        <w:rPr>
          <w:rFonts w:hint="default"/>
          <w:color w:val="auto"/>
          <w:highlight w:val="none"/>
        </w:rPr>
        <w:t>）项目施工期主体工程、渣场、施工生产生活区、临时道路等建设对生态环境的影响</w:t>
      </w:r>
      <w:r>
        <w:rPr>
          <w:rFonts w:hint="eastAsia"/>
          <w:color w:val="auto"/>
          <w:highlight w:val="none"/>
          <w:lang w:eastAsia="zh-CN"/>
        </w:rPr>
        <w:t>。</w:t>
      </w:r>
    </w:p>
    <w:p>
      <w:pPr>
        <w:keepNext w:val="0"/>
        <w:keepLines w:val="0"/>
        <w:pageBreakBefore w:val="0"/>
        <w:widowControl w:val="0"/>
        <w:kinsoku/>
        <w:overflowPunct/>
        <w:topLinePunct w:val="0"/>
        <w:autoSpaceDE/>
        <w:autoSpaceDN/>
        <w:bidi w:val="0"/>
        <w:adjustRightInd/>
        <w:ind w:firstLine="482" w:firstLineChars="200"/>
        <w:textAlignment w:val="auto"/>
        <w:rPr>
          <w:rFonts w:hint="default"/>
          <w:b/>
          <w:bCs/>
          <w:color w:val="auto"/>
          <w:highlight w:val="none"/>
        </w:rPr>
      </w:pPr>
      <w:bookmarkStart w:id="42" w:name="_Toc29372"/>
      <w:bookmarkStart w:id="43" w:name="_Toc24302"/>
      <w:bookmarkStart w:id="44" w:name="_Toc5965"/>
      <w:bookmarkStart w:id="45" w:name="_Toc2125"/>
      <w:bookmarkStart w:id="46" w:name="_Toc27472"/>
      <w:r>
        <w:rPr>
          <w:rFonts w:hint="eastAsia"/>
          <w:b/>
          <w:bCs/>
          <w:color w:val="auto"/>
          <w:highlight w:val="none"/>
          <w:lang w:val="en-US" w:eastAsia="zh-CN"/>
        </w:rPr>
        <w:t>6、</w:t>
      </w:r>
      <w:r>
        <w:rPr>
          <w:rFonts w:hint="default"/>
          <w:b/>
          <w:bCs/>
          <w:color w:val="auto"/>
          <w:highlight w:val="none"/>
        </w:rPr>
        <w:t>环境影响评价的主要结论</w:t>
      </w:r>
      <w:bookmarkEnd w:id="42"/>
      <w:bookmarkEnd w:id="43"/>
      <w:bookmarkEnd w:id="44"/>
      <w:bookmarkEnd w:id="45"/>
      <w:bookmarkEnd w:id="46"/>
    </w:p>
    <w:p>
      <w:pPr>
        <w:keepNext w:val="0"/>
        <w:keepLines w:val="0"/>
        <w:pageBreakBefore w:val="0"/>
        <w:widowControl w:val="0"/>
        <w:tabs>
          <w:tab w:val="left" w:pos="0"/>
        </w:tabs>
        <w:kinsoku/>
        <w:wordWrap/>
        <w:overflowPunct/>
        <w:topLinePunct w:val="0"/>
        <w:autoSpaceDE/>
        <w:autoSpaceDN/>
        <w:bidi w:val="0"/>
        <w:adjustRightInd/>
        <w:snapToGrid w:val="0"/>
        <w:ind w:left="0" w:leftChars="0" w:firstLine="480" w:firstLineChars="200"/>
        <w:textAlignment w:val="auto"/>
        <w:outlineLvl w:val="9"/>
        <w:rPr>
          <w:rFonts w:hint="default"/>
          <w:color w:val="auto"/>
          <w:lang w:val="zh-CN"/>
        </w:rPr>
        <w:sectPr>
          <w:footerReference r:id="rId7" w:type="default"/>
          <w:pgSz w:w="11906" w:h="16838"/>
          <w:pgMar w:top="1440" w:right="1803" w:bottom="1440" w:left="1803" w:header="851" w:footer="992" w:gutter="0"/>
          <w:pgBorders>
            <w:top w:val="none" w:sz="0" w:space="0"/>
            <w:left w:val="none" w:sz="0" w:space="0"/>
            <w:bottom w:val="none" w:sz="0" w:space="0"/>
            <w:right w:val="none" w:sz="0" w:space="0"/>
          </w:pgBorders>
          <w:pgNumType w:fmt="upperRoman" w:start="1"/>
          <w:cols w:space="720" w:num="1"/>
          <w:rtlGutter w:val="0"/>
          <w:docGrid w:type="lines" w:linePitch="312" w:charSpace="0"/>
        </w:sectPr>
      </w:pPr>
      <w:r>
        <w:rPr>
          <w:rFonts w:hint="default"/>
          <w:color w:val="auto"/>
          <w:lang w:val="zh-CN"/>
        </w:rPr>
        <w:t>工程符合国家产业政策及相关水资源及生态规划要求</w:t>
      </w:r>
      <w:r>
        <w:rPr>
          <w:rFonts w:hint="eastAsia"/>
          <w:color w:val="auto"/>
          <w:lang w:val="en-US" w:eastAsia="zh-CN"/>
        </w:rPr>
        <w:t>。</w:t>
      </w:r>
      <w:r>
        <w:rPr>
          <w:rFonts w:hint="default"/>
          <w:color w:val="auto"/>
          <w:lang w:val="zh-CN"/>
        </w:rPr>
        <w:t>项目</w:t>
      </w:r>
      <w:r>
        <w:rPr>
          <w:rFonts w:hint="eastAsia"/>
          <w:color w:val="auto"/>
          <w:lang w:val="en-US" w:eastAsia="zh-CN"/>
        </w:rPr>
        <w:t>高位水池、北干管</w:t>
      </w:r>
      <w:r>
        <w:rPr>
          <w:rFonts w:hint="default"/>
          <w:color w:val="auto"/>
          <w:lang w:val="zh-CN"/>
        </w:rPr>
        <w:t>涉及元谋县风景名胜区</w:t>
      </w:r>
      <w:r>
        <w:rPr>
          <w:rFonts w:hint="eastAsia"/>
          <w:color w:val="auto"/>
          <w:lang w:val="zh-CN"/>
        </w:rPr>
        <w:t>；</w:t>
      </w:r>
      <w:r>
        <w:rPr>
          <w:rFonts w:hint="eastAsia"/>
          <w:color w:val="auto"/>
          <w:lang w:val="en-US" w:eastAsia="zh-CN"/>
        </w:rPr>
        <w:t>输水管道涉及云南省生态保护红线</w:t>
      </w:r>
      <w:r>
        <w:rPr>
          <w:rFonts w:hint="eastAsia"/>
          <w:color w:val="auto"/>
          <w:highlight w:val="none"/>
          <w:lang w:val="en-US" w:eastAsia="zh-CN"/>
        </w:rPr>
        <w:t>、公益林</w:t>
      </w:r>
      <w:r>
        <w:rPr>
          <w:rFonts w:hint="eastAsia"/>
          <w:color w:val="auto"/>
          <w:highlight w:val="none"/>
          <w:lang w:val="zh-CN"/>
        </w:rPr>
        <w:t>；</w:t>
      </w:r>
      <w:r>
        <w:rPr>
          <w:rFonts w:hint="eastAsia"/>
          <w:color w:val="0000FF"/>
          <w:highlight w:val="none"/>
          <w:lang w:val="zh-CN"/>
        </w:rPr>
        <w:t>输水管道、临时施工便道</w:t>
      </w:r>
      <w:r>
        <w:rPr>
          <w:rFonts w:hint="eastAsia"/>
          <w:color w:val="0000FF"/>
          <w:highlight w:val="none"/>
          <w:lang w:val="en-US" w:eastAsia="zh-CN"/>
        </w:rPr>
        <w:t>临时</w:t>
      </w:r>
      <w:r>
        <w:rPr>
          <w:rFonts w:hint="eastAsia"/>
          <w:color w:val="0000FF"/>
          <w:highlight w:val="none"/>
          <w:lang w:val="zh-CN"/>
        </w:rPr>
        <w:t>占用基本农田。</w:t>
      </w:r>
      <w:r>
        <w:rPr>
          <w:rFonts w:hint="default"/>
          <w:color w:val="auto"/>
          <w:lang w:val="zh-CN"/>
        </w:rPr>
        <w:t>经论证无法避让，项目已</w:t>
      </w:r>
      <w:r>
        <w:rPr>
          <w:rFonts w:hint="eastAsia" w:ascii="Times New Roman" w:hAnsi="Times New Roman" w:cs="Times New Roman"/>
          <w:color w:val="auto"/>
          <w:sz w:val="24"/>
          <w:szCs w:val="24"/>
          <w:lang w:val="en-US" w:eastAsia="zh-CN"/>
        </w:rPr>
        <w:t>于2024年2月26日取得了《楚雄州林业和草原局关于元</w:t>
      </w:r>
      <w:r>
        <w:rPr>
          <w:rFonts w:hint="eastAsia" w:ascii="Times New Roman" w:hAnsi="Times New Roman" w:cs="Times New Roman"/>
          <w:color w:val="auto"/>
          <w:sz w:val="24"/>
          <w:szCs w:val="24"/>
          <w:highlight w:val="none"/>
          <w:shd w:val="clear"/>
          <w:lang w:val="en-US" w:eastAsia="zh-CN"/>
        </w:rPr>
        <w:t>谋县姜驿中型灌区续建配套与节水改造项目涉及元谋风景名胜区方案选址的意见》（附件</w:t>
      </w:r>
      <w:r>
        <w:rPr>
          <w:rFonts w:hint="eastAsia" w:cs="Times New Roman"/>
          <w:color w:val="auto"/>
          <w:sz w:val="24"/>
          <w:szCs w:val="24"/>
          <w:highlight w:val="none"/>
          <w:shd w:val="clear"/>
          <w:lang w:val="en-US" w:eastAsia="zh-CN"/>
        </w:rPr>
        <w:t>6</w:t>
      </w:r>
      <w:r>
        <w:rPr>
          <w:rFonts w:hint="eastAsia" w:ascii="Times New Roman" w:hAnsi="Times New Roman" w:cs="Times New Roman"/>
          <w:color w:val="auto"/>
          <w:sz w:val="24"/>
          <w:szCs w:val="24"/>
          <w:highlight w:val="none"/>
          <w:shd w:val="clear"/>
          <w:lang w:val="en-US" w:eastAsia="zh-CN"/>
        </w:rPr>
        <w:t>）</w:t>
      </w:r>
      <w:r>
        <w:rPr>
          <w:rFonts w:hint="eastAsia" w:cs="Times New Roman"/>
          <w:color w:val="auto"/>
          <w:sz w:val="24"/>
          <w:szCs w:val="24"/>
          <w:highlight w:val="none"/>
          <w:shd w:val="clear"/>
          <w:lang w:val="en-US" w:eastAsia="zh-CN"/>
        </w:rPr>
        <w:t>、</w:t>
      </w:r>
      <w:r>
        <w:rPr>
          <w:rFonts w:hint="eastAsia"/>
          <w:color w:val="auto"/>
          <w:highlight w:val="none"/>
          <w:shd w:val="clear"/>
          <w:vertAlign w:val="baseline"/>
          <w:lang w:val="en-US" w:eastAsia="zh-CN"/>
        </w:rPr>
        <w:t>于2024年3月8日取得了元谋县人民政府出具的关于项目为有限人为活动的认定（附件5）。</w:t>
      </w:r>
      <w:r>
        <w:rPr>
          <w:rFonts w:hint="eastAsia"/>
          <w:color w:val="0000FF"/>
          <w:highlight w:val="none"/>
          <w:shd w:val="clear"/>
          <w:vertAlign w:val="baseline"/>
          <w:lang w:val="en-US" w:eastAsia="zh-CN"/>
        </w:rPr>
        <w:t>委托云南木嵘林业勘察设计有限公司编制林勘报告；</w:t>
      </w:r>
      <w:r>
        <w:rPr>
          <w:rFonts w:hint="eastAsia"/>
          <w:color w:val="0000FF"/>
          <w:highlight w:val="yellow"/>
          <w:shd w:val="clear"/>
          <w:vertAlign w:val="baseline"/>
          <w:lang w:val="en-US" w:eastAsia="zh-CN"/>
        </w:rPr>
        <w:t>元谋县自然资源局已出具占用基本农田的函。</w:t>
      </w:r>
      <w:r>
        <w:rPr>
          <w:rFonts w:hint="eastAsia"/>
          <w:color w:val="0000FF"/>
          <w:highlight w:val="none"/>
          <w:shd w:val="clear"/>
          <w:vertAlign w:val="baseline"/>
          <w:lang w:val="en-US" w:eastAsia="zh-CN"/>
        </w:rPr>
        <w:t>项目无重大环境制约因素，</w:t>
      </w:r>
      <w:r>
        <w:rPr>
          <w:rFonts w:hint="eastAsia"/>
          <w:color w:val="auto"/>
          <w:highlight w:val="none"/>
          <w:shd w:val="clear"/>
          <w:lang w:val="en-US" w:eastAsia="zh-CN"/>
        </w:rPr>
        <w:t>在</w:t>
      </w:r>
      <w:r>
        <w:rPr>
          <w:rFonts w:hint="default"/>
          <w:color w:val="auto"/>
          <w:highlight w:val="none"/>
          <w:shd w:val="clear"/>
          <w:lang w:val="zh-CN"/>
        </w:rPr>
        <w:t>采取本环评所提环保措施及建议，</w:t>
      </w:r>
      <w:r>
        <w:rPr>
          <w:rFonts w:hint="default"/>
          <w:color w:val="0000FF"/>
          <w:highlight w:val="none"/>
          <w:shd w:val="clear"/>
          <w:lang w:val="zh-CN"/>
        </w:rPr>
        <w:t>对风景名胜区</w:t>
      </w:r>
      <w:r>
        <w:rPr>
          <w:rFonts w:hint="eastAsia"/>
          <w:color w:val="0000FF"/>
          <w:highlight w:val="none"/>
          <w:shd w:val="clear"/>
          <w:lang w:val="zh-CN"/>
        </w:rPr>
        <w:t>、</w:t>
      </w:r>
      <w:r>
        <w:rPr>
          <w:rFonts w:hint="eastAsia"/>
          <w:color w:val="0000FF"/>
          <w:highlight w:val="none"/>
          <w:shd w:val="clear"/>
          <w:lang w:val="en-US" w:eastAsia="zh-CN"/>
        </w:rPr>
        <w:t>生态保护红线</w:t>
      </w:r>
      <w:r>
        <w:rPr>
          <w:rFonts w:hint="default"/>
          <w:color w:val="0000FF"/>
          <w:highlight w:val="none"/>
          <w:shd w:val="clear"/>
          <w:lang w:val="zh-CN"/>
        </w:rPr>
        <w:t>的生态环境</w:t>
      </w:r>
      <w:r>
        <w:rPr>
          <w:rFonts w:hint="eastAsia"/>
          <w:color w:val="0000FF"/>
          <w:highlight w:val="none"/>
          <w:shd w:val="clear"/>
          <w:lang w:val="en-US" w:eastAsia="zh-CN"/>
        </w:rPr>
        <w:t>及</w:t>
      </w:r>
      <w:r>
        <w:rPr>
          <w:rFonts w:hint="default"/>
          <w:color w:val="0000FF"/>
          <w:highlight w:val="none"/>
          <w:shd w:val="clear"/>
          <w:lang w:val="zh-CN"/>
        </w:rPr>
        <w:t>景观环境影响有限</w:t>
      </w:r>
      <w:r>
        <w:rPr>
          <w:rFonts w:hint="eastAsia"/>
          <w:color w:val="0000FF"/>
          <w:highlight w:val="none"/>
          <w:shd w:val="clear"/>
          <w:lang w:val="zh-CN"/>
        </w:rPr>
        <w:t>；</w:t>
      </w:r>
      <w:r>
        <w:rPr>
          <w:rFonts w:hint="eastAsia"/>
          <w:color w:val="0000FF"/>
          <w:highlight w:val="none"/>
          <w:shd w:val="clear"/>
          <w:lang w:val="en-US" w:eastAsia="zh-CN"/>
        </w:rPr>
        <w:t>不影响基本农田的耕种；</w:t>
      </w:r>
      <w:r>
        <w:rPr>
          <w:rFonts w:hint="default"/>
          <w:color w:val="auto"/>
          <w:highlight w:val="none"/>
          <w:shd w:val="clear"/>
          <w:lang w:val="zh-CN"/>
        </w:rPr>
        <w:t>污染物均可达标排放或得以合理处置，总体不会改变区域环境功能，公众</w:t>
      </w:r>
      <w:r>
        <w:rPr>
          <w:rFonts w:hint="default"/>
          <w:color w:val="auto"/>
          <w:lang w:val="zh-CN"/>
        </w:rPr>
        <w:t>参与未提出反对意见。因此，认真贯彻执行国家的环保法律、法规，认真落实本环评提出的污染防治对策，从环保的角度看，元谋县姜驿中型灌区续建配套与节水改造项目是可行的。</w:t>
      </w:r>
    </w:p>
    <w:bookmarkEnd w:id="4"/>
    <w:bookmarkEnd w:id="5"/>
    <w:p>
      <w:pPr>
        <w:pStyle w:val="2"/>
        <w:bidi w:val="0"/>
        <w:rPr>
          <w:rFonts w:hint="default"/>
          <w:color w:val="auto"/>
        </w:rPr>
      </w:pPr>
      <w:bookmarkStart w:id="47" w:name="_Toc27619"/>
      <w:bookmarkStart w:id="48" w:name="_Toc26551"/>
      <w:bookmarkStart w:id="49" w:name="_Toc4395"/>
      <w:bookmarkStart w:id="50" w:name="_Toc32689"/>
      <w:bookmarkStart w:id="51" w:name="_Toc32073"/>
      <w:bookmarkStart w:id="52" w:name="_Toc28059"/>
      <w:bookmarkStart w:id="53" w:name="_Toc20475"/>
      <w:bookmarkStart w:id="54" w:name="_Toc18150"/>
      <w:bookmarkStart w:id="55" w:name="_Toc23935"/>
      <w:bookmarkStart w:id="56" w:name="_Toc10348"/>
      <w:bookmarkStart w:id="57" w:name="_Toc20081"/>
      <w:bookmarkStart w:id="58" w:name="_Toc18576"/>
      <w:bookmarkStart w:id="59" w:name="_Toc7597"/>
      <w:r>
        <w:rPr>
          <w:rFonts w:hint="default"/>
          <w:color w:val="auto"/>
        </w:rPr>
        <w:t>总则</w:t>
      </w:r>
      <w:bookmarkEnd w:id="47"/>
      <w:bookmarkEnd w:id="48"/>
      <w:bookmarkEnd w:id="49"/>
      <w:bookmarkEnd w:id="50"/>
      <w:bookmarkEnd w:id="51"/>
      <w:bookmarkEnd w:id="52"/>
      <w:bookmarkEnd w:id="53"/>
      <w:bookmarkEnd w:id="54"/>
      <w:bookmarkEnd w:id="55"/>
      <w:bookmarkEnd w:id="56"/>
      <w:bookmarkEnd w:id="57"/>
      <w:bookmarkEnd w:id="58"/>
      <w:bookmarkEnd w:id="59"/>
    </w:p>
    <w:p>
      <w:pPr>
        <w:pStyle w:val="3"/>
        <w:bidi w:val="0"/>
        <w:rPr>
          <w:rFonts w:hint="default"/>
          <w:color w:val="auto"/>
          <w:highlight w:val="none"/>
        </w:rPr>
      </w:pPr>
      <w:bookmarkStart w:id="60" w:name="_Toc16512"/>
      <w:bookmarkStart w:id="61" w:name="_Toc19886"/>
      <w:bookmarkStart w:id="62" w:name="_Toc10993"/>
      <w:bookmarkStart w:id="63" w:name="_Toc9556"/>
      <w:bookmarkStart w:id="64" w:name="_Toc6836"/>
      <w:bookmarkStart w:id="65" w:name="_Toc27379"/>
      <w:bookmarkStart w:id="66" w:name="_Toc29322"/>
      <w:bookmarkStart w:id="67" w:name="_Toc9977"/>
      <w:bookmarkStart w:id="68" w:name="_Toc13232"/>
      <w:r>
        <w:rPr>
          <w:rFonts w:hint="default"/>
          <w:color w:val="auto"/>
          <w:highlight w:val="none"/>
        </w:rPr>
        <w:t>评价目的与评价原则</w:t>
      </w:r>
      <w:bookmarkEnd w:id="60"/>
      <w:bookmarkEnd w:id="61"/>
      <w:bookmarkEnd w:id="62"/>
      <w:bookmarkEnd w:id="63"/>
      <w:bookmarkEnd w:id="64"/>
      <w:bookmarkEnd w:id="65"/>
      <w:bookmarkEnd w:id="66"/>
      <w:bookmarkEnd w:id="67"/>
      <w:bookmarkEnd w:id="68"/>
    </w:p>
    <w:p>
      <w:pPr>
        <w:pStyle w:val="4"/>
        <w:bidi w:val="0"/>
        <w:rPr>
          <w:rFonts w:hint="default"/>
          <w:color w:val="auto"/>
          <w:highlight w:val="none"/>
        </w:rPr>
      </w:pPr>
      <w:bookmarkStart w:id="69" w:name="_Toc32106"/>
      <w:bookmarkStart w:id="70" w:name="_Toc29791"/>
      <w:bookmarkStart w:id="71" w:name="_Toc1666"/>
      <w:bookmarkStart w:id="72" w:name="_Toc19811"/>
      <w:bookmarkStart w:id="73" w:name="_Toc24276"/>
      <w:bookmarkStart w:id="74" w:name="_Toc12864"/>
      <w:bookmarkStart w:id="75" w:name="_Toc11592"/>
      <w:bookmarkStart w:id="76" w:name="_Toc15713"/>
      <w:r>
        <w:rPr>
          <w:rFonts w:hint="default"/>
          <w:color w:val="auto"/>
          <w:highlight w:val="none"/>
        </w:rPr>
        <w:t>评价目的</w:t>
      </w:r>
      <w:bookmarkEnd w:id="69"/>
      <w:bookmarkEnd w:id="70"/>
      <w:bookmarkEnd w:id="71"/>
      <w:bookmarkEnd w:id="72"/>
      <w:bookmarkEnd w:id="73"/>
      <w:bookmarkEnd w:id="74"/>
      <w:bookmarkEnd w:id="75"/>
      <w:bookmarkEnd w:id="76"/>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通过对工程评价范围内的自然、生态、社会环境质量现状进行调查、监测及分析评价，对项目建设带来的各种影响</w:t>
      </w:r>
      <w:r>
        <w:rPr>
          <w:rFonts w:hint="eastAsia" w:cs="Times New Roman"/>
          <w:color w:val="auto"/>
          <w:highlight w:val="none"/>
          <w:lang w:val="en-US" w:eastAsia="zh-CN"/>
        </w:rPr>
        <w:t>做</w:t>
      </w:r>
      <w:r>
        <w:rPr>
          <w:rFonts w:hint="default" w:ascii="Times New Roman" w:hAnsi="Times New Roman" w:cs="Times New Roman"/>
          <w:color w:val="auto"/>
          <w:highlight w:val="none"/>
        </w:rPr>
        <w:t>定性或定量的影响分析，以期达到如下目的：</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完善本项目的决策，确保本项目在环境方面的合理性和可行性；</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对工程在施工期和运营期对周围环境的影响进行分析和评价，针对工程建设对环境的影响程度提出优化环境和切实可行的环保措施和环保对策，以减少由于工程建设而产生的环境负面影响，达到工程建设与环境保护协调发展。</w:t>
      </w:r>
    </w:p>
    <w:p>
      <w:pPr>
        <w:pStyle w:val="4"/>
        <w:bidi w:val="0"/>
        <w:rPr>
          <w:rFonts w:hint="default"/>
          <w:color w:val="auto"/>
          <w:highlight w:val="none"/>
        </w:rPr>
      </w:pPr>
      <w:bookmarkStart w:id="77" w:name="_Toc26698"/>
      <w:bookmarkStart w:id="78" w:name="_Toc10980"/>
      <w:bookmarkStart w:id="79" w:name="_Toc32021"/>
      <w:bookmarkStart w:id="80" w:name="_Toc13930"/>
      <w:bookmarkStart w:id="81" w:name="_Toc30777"/>
      <w:bookmarkStart w:id="82" w:name="_Toc12342"/>
      <w:bookmarkStart w:id="83" w:name="_Toc4404"/>
      <w:bookmarkStart w:id="84" w:name="_Toc17656"/>
      <w:r>
        <w:rPr>
          <w:rFonts w:hint="default"/>
          <w:color w:val="auto"/>
          <w:highlight w:val="none"/>
        </w:rPr>
        <w:t>评价原则</w:t>
      </w:r>
      <w:bookmarkEnd w:id="77"/>
      <w:bookmarkEnd w:id="78"/>
      <w:bookmarkEnd w:id="79"/>
      <w:bookmarkEnd w:id="80"/>
      <w:bookmarkEnd w:id="81"/>
      <w:bookmarkEnd w:id="82"/>
      <w:bookmarkEnd w:id="83"/>
      <w:bookmarkEnd w:id="84"/>
    </w:p>
    <w:p>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突出环境影响评价的源头预防作用，坚持保护和改善环境质量。</w:t>
      </w:r>
    </w:p>
    <w:p>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（1）依法评价</w:t>
      </w:r>
    </w:p>
    <w:p>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贯彻执行我国环境保护相关法律法规、标准、政策和规划等，优化项目建设，服务环境管理。</w:t>
      </w:r>
    </w:p>
    <w:p>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（2）科学评价</w:t>
      </w:r>
    </w:p>
    <w:p>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规范环境影响评价方法，科学分析项目建设对环境质量的影响。</w:t>
      </w:r>
    </w:p>
    <w:p>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（3）突出重点</w:t>
      </w:r>
    </w:p>
    <w:p>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根据建设项目的工程内容及其特点，明确与环境要素间的作用效应关系，根据规划环境影响评价结论和审查意见，充分利用符合时效的数据资料及成果，对建设项目主要环境问题予以重点分析和评价。</w:t>
      </w:r>
    </w:p>
    <w:p>
      <w:pPr>
        <w:pStyle w:val="3"/>
        <w:bidi w:val="0"/>
        <w:rPr>
          <w:rFonts w:hint="default"/>
          <w:color w:val="auto"/>
          <w:highlight w:val="none"/>
        </w:rPr>
      </w:pPr>
      <w:bookmarkStart w:id="85" w:name="_Toc18555"/>
      <w:bookmarkStart w:id="86" w:name="_Toc24298"/>
      <w:bookmarkStart w:id="87" w:name="_Toc3811"/>
      <w:bookmarkStart w:id="88" w:name="_Toc4957"/>
      <w:bookmarkStart w:id="89" w:name="_Toc12716"/>
      <w:bookmarkStart w:id="90" w:name="_Toc8448"/>
      <w:bookmarkStart w:id="91" w:name="_Toc10774"/>
      <w:bookmarkStart w:id="92" w:name="_Toc30049"/>
      <w:bookmarkStart w:id="93" w:name="_Toc10169"/>
      <w:bookmarkStart w:id="94" w:name="_Toc19507"/>
      <w:bookmarkStart w:id="95" w:name="_Toc26585"/>
      <w:bookmarkStart w:id="96" w:name="_Toc5499"/>
      <w:bookmarkStart w:id="97" w:name="_Toc12218"/>
      <w:bookmarkStart w:id="98" w:name="_Toc18911"/>
      <w:r>
        <w:rPr>
          <w:rFonts w:hint="default"/>
          <w:color w:val="auto"/>
          <w:highlight w:val="none"/>
        </w:rPr>
        <w:t>编制依据</w:t>
      </w:r>
      <w:bookmarkEnd w:id="85"/>
      <w:bookmarkEnd w:id="86"/>
      <w:bookmarkEnd w:id="87"/>
      <w:bookmarkEnd w:id="88"/>
      <w:bookmarkEnd w:id="89"/>
      <w:bookmarkEnd w:id="90"/>
      <w:bookmarkEnd w:id="91"/>
      <w:bookmarkEnd w:id="92"/>
      <w:bookmarkEnd w:id="93"/>
      <w:bookmarkEnd w:id="94"/>
      <w:bookmarkEnd w:id="95"/>
      <w:bookmarkEnd w:id="96"/>
      <w:bookmarkEnd w:id="97"/>
      <w:bookmarkEnd w:id="98"/>
    </w:p>
    <w:p>
      <w:pPr>
        <w:pStyle w:val="4"/>
        <w:bidi w:val="0"/>
        <w:rPr>
          <w:rFonts w:hint="default"/>
          <w:color w:val="auto"/>
        </w:rPr>
      </w:pPr>
      <w:bookmarkStart w:id="99" w:name="_Toc16026"/>
      <w:bookmarkStart w:id="100" w:name="_Toc23556"/>
      <w:bookmarkStart w:id="101" w:name="_Toc2372"/>
      <w:bookmarkStart w:id="102" w:name="_Toc25296"/>
      <w:bookmarkStart w:id="103" w:name="_Toc806"/>
      <w:bookmarkStart w:id="104" w:name="_Toc17635"/>
      <w:bookmarkStart w:id="105" w:name="_Toc17223"/>
      <w:bookmarkStart w:id="106" w:name="_Toc24291"/>
      <w:bookmarkStart w:id="107" w:name="_Toc27231"/>
      <w:bookmarkStart w:id="108" w:name="_Toc6791"/>
      <w:bookmarkStart w:id="109" w:name="_Toc10177"/>
      <w:r>
        <w:rPr>
          <w:rFonts w:hint="default"/>
          <w:color w:val="auto"/>
        </w:rPr>
        <w:t>国家相关法律、法规和政策</w:t>
      </w:r>
      <w:bookmarkEnd w:id="99"/>
      <w:bookmarkEnd w:id="100"/>
      <w:bookmarkEnd w:id="101"/>
      <w:bookmarkEnd w:id="102"/>
      <w:bookmarkEnd w:id="103"/>
      <w:bookmarkEnd w:id="104"/>
      <w:bookmarkEnd w:id="105"/>
      <w:bookmarkEnd w:id="106"/>
      <w:bookmarkEnd w:id="107"/>
      <w:bookmarkEnd w:id="108"/>
      <w:bookmarkEnd w:id="109"/>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《中华人民共和国环境保护法》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2014年4月24日修订，2015年1月1日施行；</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《中华人民共和国环境影响评价法》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2018年12月29日通过，2018年12月29日起施行；</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《中华人民共和国水法》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2016年7月2日修订；</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《中华人民共和国水污染防治法》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2017年6月27日修订，2018年1月1日施行；</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《中华人民共和国大气污染防治法》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2018年10月26日修订；</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《中华人民共和国环境噪声污染防治法》</w:t>
      </w:r>
      <w:r>
        <w:rPr>
          <w:rFonts w:hint="default"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2021年12月24日发布，2022</w:t>
      </w:r>
      <w:r>
        <w:rPr>
          <w:rFonts w:hint="default" w:ascii="Times New Roman" w:hAnsi="Times New Roman" w:cs="Times New Roman"/>
          <w:color w:val="auto"/>
          <w:highlight w:val="none"/>
        </w:rPr>
        <w:t>年</w:t>
      </w:r>
      <w:r>
        <w:rPr>
          <w:rFonts w:hint="eastAsia" w:ascii="Times New Roman" w:hAnsi="Times New Roman" w:cs="Times New Roman"/>
          <w:color w:val="auto"/>
          <w:highlight w:val="none"/>
          <w:lang w:val="en-US" w:eastAsia="zh-CN"/>
        </w:rPr>
        <w:t>6</w:t>
      </w:r>
      <w:r>
        <w:rPr>
          <w:rFonts w:hint="default" w:ascii="Times New Roman" w:hAnsi="Times New Roman" w:cs="Times New Roman"/>
          <w:color w:val="auto"/>
          <w:highlight w:val="none"/>
        </w:rPr>
        <w:t>月</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rPr>
        <w:t>日施行；</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《中华人民共和国固体废物污染环境防治法》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2020年4月29日修订，2020年9月1日施行；</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《中华人民共和国土壤污染防治法》，2018年8月31日公布，2019年1月1日施行；</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《中华人民共和国土地管理法》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2019年8月26日颁布，2020年1月1日起施行；</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《中华人民共和国城乡规划法》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2019年4月23日修订；</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《产业结构调整目录》（20</w:t>
      </w:r>
      <w:r>
        <w:rPr>
          <w:rFonts w:hint="eastAsia" w:cs="Times New Roman"/>
          <w:color w:val="auto"/>
          <w:highlight w:val="none"/>
          <w:lang w:val="en-US" w:eastAsia="zh-CN"/>
        </w:rPr>
        <w:t>24</w:t>
      </w:r>
      <w:r>
        <w:rPr>
          <w:rFonts w:hint="default" w:ascii="Times New Roman" w:hAnsi="Times New Roman" w:cs="Times New Roman"/>
          <w:color w:val="auto"/>
          <w:highlight w:val="none"/>
        </w:rPr>
        <w:t>年本），202</w:t>
      </w:r>
      <w:r>
        <w:rPr>
          <w:rFonts w:hint="eastAsia" w:cs="Times New Roman"/>
          <w:color w:val="auto"/>
          <w:highlight w:val="none"/>
          <w:lang w:val="en-US" w:eastAsia="zh-CN"/>
        </w:rPr>
        <w:t>4</w:t>
      </w:r>
      <w:r>
        <w:rPr>
          <w:rFonts w:hint="default" w:ascii="Times New Roman" w:hAnsi="Times New Roman" w:cs="Times New Roman"/>
          <w:color w:val="auto"/>
          <w:highlight w:val="none"/>
        </w:rPr>
        <w:t>年</w:t>
      </w:r>
      <w:r>
        <w:rPr>
          <w:rFonts w:hint="eastAsia" w:cs="Times New Roman"/>
          <w:color w:val="auto"/>
          <w:highlight w:val="none"/>
          <w:lang w:val="en-US" w:eastAsia="zh-CN"/>
        </w:rPr>
        <w:t>2</w:t>
      </w:r>
      <w:r>
        <w:rPr>
          <w:rFonts w:hint="default" w:ascii="Times New Roman" w:hAnsi="Times New Roman" w:cs="Times New Roman"/>
          <w:color w:val="auto"/>
          <w:highlight w:val="none"/>
        </w:rPr>
        <w:t>月1日施行；</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中华人民共和国国务院令第682号《建设项目环境保护管理条例》2017年10月；</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《环境影响评价公众参与办法》（生态环境部令第4号），2019年1月1日起实施；</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《建设项目环境影响评价分类管理名录》（2021年版），2021年1月1日起施行；</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《关于进一步加强环境影响评价管理防范环境风险的通知》（环发</w:t>
      </w:r>
      <w:r>
        <w:rPr>
          <w:rFonts w:hint="eastAsia" w:cs="Times New Roman"/>
          <w:color w:val="0000FF"/>
          <w:highlight w:val="none"/>
          <w:lang w:val="en-US" w:eastAsia="zh-CN"/>
        </w:rPr>
        <w:t>[</w:t>
      </w:r>
      <w:r>
        <w:rPr>
          <w:rFonts w:hint="default" w:ascii="Times New Roman" w:hAnsi="Times New Roman" w:cs="Times New Roman"/>
          <w:color w:val="0000FF"/>
          <w:highlight w:val="none"/>
        </w:rPr>
        <w:t>2012]</w:t>
      </w:r>
      <w:r>
        <w:rPr>
          <w:rFonts w:hint="default" w:ascii="Times New Roman" w:hAnsi="Times New Roman" w:cs="Times New Roman"/>
          <w:color w:val="auto"/>
          <w:highlight w:val="none"/>
        </w:rPr>
        <w:t>77号）；</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《中华人民共和国野生植物保护条例》</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2017年</w:t>
      </w:r>
      <w:r>
        <w:rPr>
          <w:rFonts w:hint="default" w:ascii="Times New Roman" w:hAnsi="Times New Roman" w:cs="Times New Roman"/>
          <w:color w:val="auto"/>
          <w:highlight w:val="none"/>
          <w:lang w:val="en-US" w:eastAsia="zh-CN"/>
        </w:rPr>
        <w:t>10月7日修订</w:t>
      </w:r>
      <w:r>
        <w:rPr>
          <w:rFonts w:hint="default" w:ascii="Times New Roman" w:hAnsi="Times New Roman" w:cs="Times New Roman"/>
          <w:color w:val="auto"/>
          <w:highlight w:val="none"/>
        </w:rPr>
        <w:t>；</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《中华人民共和国陆生野生动物保护实施条例》</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2016年2月</w:t>
      </w:r>
      <w:r>
        <w:rPr>
          <w:rFonts w:hint="default" w:ascii="Times New Roman" w:hAnsi="Times New Roman" w:cs="Times New Roman"/>
          <w:color w:val="auto"/>
          <w:highlight w:val="none"/>
          <w:lang w:val="en-US" w:eastAsia="zh-CN"/>
        </w:rPr>
        <w:t>6日</w:t>
      </w:r>
      <w:r>
        <w:rPr>
          <w:rFonts w:hint="default" w:ascii="Times New Roman" w:hAnsi="Times New Roman" w:cs="Times New Roman"/>
          <w:color w:val="auto"/>
          <w:highlight w:val="none"/>
        </w:rPr>
        <w:t>修订；</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《国家重点保护野生植物名录》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2021</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月；</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《国家重点保护野生动物名录》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2021</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月；</w:t>
      </w:r>
    </w:p>
    <w:p>
      <w:pPr>
        <w:numPr>
          <w:ilvl w:val="0"/>
          <w:numId w:val="4"/>
        </w:numPr>
        <w:ind w:lef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中共中央办公厅、国务院办公厅印发《关于划定并严守生态保护红线的若干意见》，2017年2月；</w:t>
      </w:r>
    </w:p>
    <w:p>
      <w:pPr>
        <w:numPr>
          <w:ilvl w:val="0"/>
          <w:numId w:val="4"/>
        </w:numPr>
        <w:ind w:left="0" w:firstLine="480" w:firstLineChars="200"/>
        <w:rPr>
          <w:rFonts w:hint="default" w:cs="Times New Roman"/>
          <w:color w:val="0000FF"/>
          <w:highlight w:val="none"/>
          <w:lang w:val="en-US" w:eastAsia="zh-CN"/>
        </w:rPr>
      </w:pPr>
      <w:r>
        <w:rPr>
          <w:rFonts w:hint="eastAsia" w:cs="Times New Roman"/>
          <w:color w:val="0000FF"/>
          <w:highlight w:val="none"/>
          <w:lang w:val="en-US" w:eastAsia="zh-CN"/>
        </w:rPr>
        <w:t>基本农田保护条例（2011年修订）</w:t>
      </w:r>
    </w:p>
    <w:p>
      <w:pPr>
        <w:numPr>
          <w:ilvl w:val="0"/>
          <w:numId w:val="4"/>
        </w:numPr>
        <w:ind w:left="0" w:firstLine="480" w:firstLineChars="200"/>
        <w:rPr>
          <w:rFonts w:hint="default" w:cs="Times New Roman"/>
          <w:color w:val="0000FF"/>
          <w:highlight w:val="none"/>
          <w:lang w:val="en-US" w:eastAsia="zh-CN"/>
        </w:rPr>
      </w:pPr>
      <w:r>
        <w:rPr>
          <w:rFonts w:hint="default" w:cs="Times New Roman"/>
          <w:color w:val="0000FF"/>
          <w:highlight w:val="none"/>
          <w:lang w:val="en-US" w:eastAsia="zh-CN"/>
        </w:rPr>
        <w:t>《中华人民共和国长江保护法》（2021年3月1日起施行）</w:t>
      </w:r>
    </w:p>
    <w:p>
      <w:pPr>
        <w:numPr>
          <w:ilvl w:val="0"/>
          <w:numId w:val="4"/>
        </w:numPr>
        <w:ind w:left="0" w:firstLine="480" w:firstLineChars="200"/>
        <w:rPr>
          <w:rFonts w:hint="default" w:cs="Times New Roman"/>
          <w:color w:val="0000FF"/>
          <w:highlight w:val="none"/>
          <w:lang w:val="en-US" w:eastAsia="zh-CN"/>
        </w:rPr>
      </w:pPr>
      <w:r>
        <w:rPr>
          <w:rFonts w:hint="default" w:cs="Times New Roman"/>
          <w:color w:val="0000FF"/>
          <w:highlight w:val="none"/>
          <w:lang w:val="en-US" w:eastAsia="zh-CN"/>
        </w:rPr>
        <w:t>《重点管理外来入侵物种名录》</w:t>
      </w:r>
      <w:r>
        <w:rPr>
          <w:rFonts w:hint="eastAsia" w:cs="Times New Roman"/>
          <w:color w:val="0000FF"/>
          <w:highlight w:val="none"/>
          <w:lang w:val="en-US" w:eastAsia="zh-CN"/>
        </w:rPr>
        <w:t>（</w:t>
      </w:r>
      <w:r>
        <w:rPr>
          <w:rFonts w:hint="default" w:cs="Times New Roman"/>
          <w:color w:val="0000FF"/>
          <w:highlight w:val="none"/>
          <w:lang w:val="en-US" w:eastAsia="zh-CN"/>
        </w:rPr>
        <w:t>2023年1月1日起施行</w:t>
      </w:r>
      <w:r>
        <w:rPr>
          <w:rFonts w:hint="eastAsia" w:cs="Times New Roman"/>
          <w:color w:val="0000FF"/>
          <w:highlight w:val="none"/>
          <w:lang w:val="en-US" w:eastAsia="zh-CN"/>
        </w:rPr>
        <w:t>）</w:t>
      </w:r>
    </w:p>
    <w:p>
      <w:pPr>
        <w:pStyle w:val="4"/>
        <w:bidi w:val="0"/>
        <w:rPr>
          <w:rFonts w:hint="default"/>
          <w:color w:val="auto"/>
          <w:highlight w:val="none"/>
        </w:rPr>
      </w:pPr>
      <w:bookmarkStart w:id="110" w:name="_Toc11403"/>
      <w:bookmarkStart w:id="111" w:name="_Toc6656"/>
      <w:bookmarkStart w:id="112" w:name="_Toc780"/>
      <w:bookmarkStart w:id="113" w:name="_Toc19084"/>
      <w:bookmarkStart w:id="114" w:name="_Toc4788"/>
      <w:bookmarkStart w:id="115" w:name="_Toc31074"/>
      <w:bookmarkStart w:id="116" w:name="_Toc26523"/>
      <w:bookmarkStart w:id="117" w:name="_Toc32221"/>
      <w:bookmarkStart w:id="118" w:name="_Toc23326"/>
      <w:bookmarkStart w:id="119" w:name="_Toc25892"/>
      <w:bookmarkStart w:id="120" w:name="_Toc17562"/>
      <w:r>
        <w:rPr>
          <w:rFonts w:hint="default"/>
          <w:color w:val="auto"/>
          <w:highlight w:val="none"/>
        </w:rPr>
        <w:t>地方法规、规章</w:t>
      </w:r>
      <w:bookmarkEnd w:id="110"/>
      <w:bookmarkEnd w:id="111"/>
      <w:bookmarkEnd w:id="112"/>
      <w:bookmarkEnd w:id="113"/>
      <w:bookmarkEnd w:id="114"/>
      <w:bookmarkEnd w:id="115"/>
      <w:bookmarkEnd w:id="116"/>
      <w:bookmarkEnd w:id="117"/>
      <w:bookmarkEnd w:id="118"/>
      <w:bookmarkEnd w:id="119"/>
      <w:bookmarkEnd w:id="120"/>
    </w:p>
    <w:p>
      <w:pPr>
        <w:keepNext w:val="0"/>
        <w:keepLines w:val="0"/>
        <w:pageBreakBefore w:val="0"/>
        <w:widowControl w:val="0"/>
        <w:numPr>
          <w:ilvl w:val="0"/>
          <w:numId w:val="0"/>
        </w:numPr>
        <w:shd w:val="clea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bookmarkStart w:id="121" w:name="_Toc10934"/>
      <w:bookmarkStart w:id="122" w:name="_Toc7316"/>
      <w:bookmarkStart w:id="123" w:name="_Toc22838"/>
      <w:bookmarkStart w:id="124" w:name="_Toc17585"/>
      <w:bookmarkStart w:id="125" w:name="_Toc28697"/>
      <w:bookmarkStart w:id="126" w:name="_Toc21446"/>
      <w:bookmarkStart w:id="127" w:name="_Toc734"/>
      <w:bookmarkStart w:id="128" w:name="_Toc6897"/>
      <w:r>
        <w:rPr>
          <w:rFonts w:hint="default" w:ascii="Times New Roman" w:hAnsi="Times New Roman" w:eastAsia="宋体" w:cs="Times New Roman"/>
          <w:color w:val="auto"/>
          <w:kern w:val="2"/>
          <w:sz w:val="24"/>
          <w:szCs w:val="21"/>
          <w:highlight w:val="none"/>
          <w:lang w:val="en-US" w:eastAsia="zh-CN" w:bidi="ar-SA"/>
        </w:rPr>
        <w:t>（1）</w:t>
      </w:r>
      <w:r>
        <w:rPr>
          <w:rFonts w:hint="default" w:ascii="Times New Roman" w:hAnsi="Times New Roman" w:cs="Times New Roman"/>
          <w:color w:val="auto"/>
          <w:highlight w:val="none"/>
        </w:rPr>
        <w:t>《</w:t>
      </w:r>
      <w:r>
        <w:rPr>
          <w:rFonts w:hint="eastAsia" w:cs="Times New Roman"/>
          <w:color w:val="auto"/>
          <w:highlight w:val="none"/>
          <w:lang w:val="en-US" w:eastAsia="zh-CN"/>
        </w:rPr>
        <w:t>云南省</w:t>
      </w:r>
      <w:r>
        <w:rPr>
          <w:rFonts w:hint="default" w:ascii="Times New Roman" w:hAnsi="Times New Roman" w:cs="Times New Roman"/>
          <w:color w:val="auto"/>
          <w:highlight w:val="none"/>
        </w:rPr>
        <w:t>重点保护</w:t>
      </w:r>
      <w:r>
        <w:rPr>
          <w:rFonts w:hint="eastAsia" w:cs="Times New Roman"/>
          <w:color w:val="auto"/>
          <w:highlight w:val="none"/>
          <w:lang w:val="en-US" w:eastAsia="zh-CN"/>
        </w:rPr>
        <w:t>陆生</w:t>
      </w:r>
      <w:r>
        <w:rPr>
          <w:rFonts w:hint="default" w:ascii="Times New Roman" w:hAnsi="Times New Roman" w:cs="Times New Roman"/>
          <w:color w:val="auto"/>
          <w:highlight w:val="none"/>
        </w:rPr>
        <w:t>野生动物名录</w:t>
      </w:r>
      <w:r>
        <w:rPr>
          <w:rFonts w:hint="eastAsia" w:cs="Times New Roman"/>
          <w:color w:val="auto"/>
          <w:highlight w:val="none"/>
          <w:lang w:eastAsia="zh-CN"/>
        </w:rPr>
        <w:t>（</w:t>
      </w:r>
      <w:r>
        <w:rPr>
          <w:rFonts w:hint="eastAsia" w:cs="Times New Roman"/>
          <w:color w:val="auto"/>
          <w:highlight w:val="none"/>
          <w:lang w:val="en-US" w:eastAsia="zh-CN"/>
        </w:rPr>
        <w:t>征求意见稿</w:t>
      </w:r>
      <w:r>
        <w:rPr>
          <w:rFonts w:hint="eastAsia" w:cs="Times New Roman"/>
          <w:color w:val="auto"/>
          <w:highlight w:val="none"/>
          <w:lang w:eastAsia="zh-CN"/>
        </w:rPr>
        <w:t>）</w:t>
      </w:r>
      <w:r>
        <w:rPr>
          <w:rFonts w:hint="default" w:ascii="Times New Roman" w:hAnsi="Times New Roman" w:cs="Times New Roman"/>
          <w:color w:val="auto"/>
          <w:highlight w:val="none"/>
        </w:rPr>
        <w:t>》</w:t>
      </w:r>
      <w:r>
        <w:rPr>
          <w:rFonts w:hint="eastAsia" w:cs="Times New Roman"/>
          <w:color w:val="auto"/>
          <w:highlight w:val="none"/>
          <w:lang w:eastAsia="zh-CN"/>
        </w:rPr>
        <w:t>；</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（2）《关于印发云南省古树名木名录的通知》云林保护字[1996]第65号；</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FF"/>
          <w:highlight w:val="none"/>
        </w:rPr>
      </w:pPr>
      <w:r>
        <w:rPr>
          <w:rFonts w:hint="default" w:ascii="Times New Roman" w:hAnsi="Times New Roman" w:cs="Times New Roman"/>
          <w:color w:val="0000FF"/>
          <w:highlight w:val="none"/>
        </w:rPr>
        <w:t>（</w:t>
      </w:r>
      <w:r>
        <w:rPr>
          <w:rFonts w:hint="eastAsia" w:cs="Times New Roman"/>
          <w:color w:val="0000FF"/>
          <w:highlight w:val="none"/>
          <w:lang w:val="en-US" w:eastAsia="zh-CN"/>
        </w:rPr>
        <w:t>3</w:t>
      </w:r>
      <w:r>
        <w:rPr>
          <w:rFonts w:hint="default" w:ascii="Times New Roman" w:hAnsi="Times New Roman" w:cs="Times New Roman"/>
          <w:color w:val="0000FF"/>
          <w:highlight w:val="none"/>
        </w:rPr>
        <w:t>）《云南省风景名胜区条例》（2021年9月29日</w:t>
      </w:r>
      <w:r>
        <w:rPr>
          <w:rFonts w:hint="eastAsia" w:cs="Times New Roman"/>
          <w:color w:val="0000FF"/>
          <w:highlight w:val="none"/>
          <w:lang w:val="en-US" w:eastAsia="zh-CN"/>
        </w:rPr>
        <w:t>实施</w:t>
      </w:r>
      <w:r>
        <w:rPr>
          <w:rFonts w:hint="default" w:ascii="Times New Roman" w:hAnsi="Times New Roman" w:cs="Times New Roman"/>
          <w:color w:val="0000FF"/>
          <w:highlight w:val="none"/>
        </w:rPr>
        <w:t>）；</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4</w:t>
      </w:r>
      <w:r>
        <w:rPr>
          <w:rFonts w:hint="default" w:ascii="Times New Roman" w:hAnsi="Times New Roman" w:cs="Times New Roman"/>
          <w:color w:val="auto"/>
          <w:highlight w:val="none"/>
        </w:rPr>
        <w:t>）《云南省建设项目环境保护管理规定》云南省人民政府令第105号；</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5</w:t>
      </w:r>
      <w:r>
        <w:rPr>
          <w:rFonts w:hint="default" w:ascii="Times New Roman" w:hAnsi="Times New Roman" w:cs="Times New Roman"/>
          <w:color w:val="auto"/>
          <w:highlight w:val="none"/>
        </w:rPr>
        <w:t>）《云南省林地管理条例》（2010年10月1日实施）；</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6</w:t>
      </w:r>
      <w:r>
        <w:rPr>
          <w:rFonts w:hint="default" w:ascii="Times New Roman" w:hAnsi="Times New Roman" w:cs="Times New Roman"/>
          <w:color w:val="auto"/>
          <w:highlight w:val="none"/>
        </w:rPr>
        <w:t>）《云南省自然保护区管理条例》（2018年11月29日起实行）；</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7</w:t>
      </w:r>
      <w:r>
        <w:rPr>
          <w:rFonts w:hint="default" w:ascii="Times New Roman" w:hAnsi="Times New Roman" w:cs="Times New Roman"/>
          <w:color w:val="auto"/>
          <w:highlight w:val="none"/>
        </w:rPr>
        <w:t>）《云南省水功能区划（2014修订）》（云南省水利厅，2014年5月）；</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8</w:t>
      </w:r>
      <w:r>
        <w:rPr>
          <w:rFonts w:hint="default" w:ascii="Times New Roman" w:hAnsi="Times New Roman" w:cs="Times New Roman"/>
          <w:color w:val="auto"/>
          <w:highlight w:val="none"/>
        </w:rPr>
        <w:t>）《云南省生态功能区划》（2009年9月7日施行）；</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9</w:t>
      </w:r>
      <w:r>
        <w:rPr>
          <w:rFonts w:hint="default" w:ascii="Times New Roman" w:hAnsi="Times New Roman" w:cs="Times New Roman"/>
          <w:color w:val="auto"/>
          <w:highlight w:val="none"/>
        </w:rPr>
        <w:t>）《云南省主体功能区规划》(2014年1月6日起施行)；</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10</w:t>
      </w:r>
      <w:r>
        <w:rPr>
          <w:rFonts w:hint="default" w:ascii="Times New Roman" w:hAnsi="Times New Roman" w:cs="Times New Roman"/>
          <w:color w:val="auto"/>
          <w:highlight w:val="none"/>
        </w:rPr>
        <w:t>）《全国主体功能区划》（2010年12月21日）；</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11</w:t>
      </w:r>
      <w:r>
        <w:rPr>
          <w:rFonts w:hint="default" w:ascii="Times New Roman" w:hAnsi="Times New Roman" w:cs="Times New Roman"/>
          <w:color w:val="auto"/>
          <w:highlight w:val="none"/>
        </w:rPr>
        <w:t>）《云南省农业环境保护条例》（1997年6月5日施行）；</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12</w:t>
      </w:r>
      <w:r>
        <w:rPr>
          <w:rFonts w:hint="default" w:ascii="Times New Roman" w:hAnsi="Times New Roman" w:cs="Times New Roman"/>
          <w:color w:val="auto"/>
          <w:highlight w:val="none"/>
        </w:rPr>
        <w:t>）《云南省地质环境保护条例》（2002年1月1日）；</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13</w:t>
      </w:r>
      <w:r>
        <w:rPr>
          <w:rFonts w:hint="default" w:ascii="Times New Roman" w:hAnsi="Times New Roman" w:cs="Times New Roman"/>
          <w:color w:val="auto"/>
          <w:highlight w:val="none"/>
        </w:rPr>
        <w:t>）《云南省土地管理条例》（1999年9月24日施行）；</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14</w:t>
      </w:r>
      <w:r>
        <w:rPr>
          <w:rFonts w:hint="default" w:ascii="Times New Roman" w:hAnsi="Times New Roman" w:cs="Times New Roman"/>
          <w:color w:val="auto"/>
          <w:highlight w:val="none"/>
        </w:rPr>
        <w:t>）《云南省人民政府关于发布云南省生态保护红线的通知》（云政发</w:t>
      </w:r>
      <w:r>
        <w:rPr>
          <w:rFonts w:hint="eastAsia" w:cs="Times New Roman"/>
          <w:color w:val="auto"/>
          <w:highlight w:val="none"/>
          <w:lang w:eastAsia="zh-CN"/>
        </w:rPr>
        <w:t>〔</w:t>
      </w:r>
      <w:r>
        <w:rPr>
          <w:rFonts w:hint="default" w:ascii="Times New Roman" w:hAnsi="Times New Roman" w:cs="Times New Roman"/>
          <w:color w:val="auto"/>
          <w:highlight w:val="none"/>
        </w:rPr>
        <w:t>2018]32号），2018年6月29日；</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15</w:t>
      </w:r>
      <w:r>
        <w:rPr>
          <w:rFonts w:hint="default" w:ascii="Times New Roman" w:hAnsi="Times New Roman" w:cs="Times New Roman"/>
          <w:color w:val="auto"/>
          <w:highlight w:val="none"/>
        </w:rPr>
        <w:t>）《云南省生物多样性保护条例》（2019年1月1日施行）；</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16</w:t>
      </w:r>
      <w:r>
        <w:rPr>
          <w:rFonts w:hint="default" w:ascii="Times New Roman" w:hAnsi="Times New Roman" w:cs="Times New Roman"/>
          <w:color w:val="auto"/>
          <w:highlight w:val="none"/>
        </w:rPr>
        <w:t>）《云南省林草局等8部门《关于线性工程以生态环境无害化方式穿(跨)越省级及以下自然保护地的通知》（云林联发</w:t>
      </w:r>
      <w:r>
        <w:rPr>
          <w:rFonts w:hint="eastAsia" w:cs="Times New Roman"/>
          <w:color w:val="auto"/>
          <w:highlight w:val="none"/>
          <w:lang w:eastAsia="zh-CN"/>
        </w:rPr>
        <w:t>〔</w:t>
      </w:r>
      <w:r>
        <w:rPr>
          <w:rFonts w:hint="default" w:ascii="Times New Roman" w:hAnsi="Times New Roman" w:cs="Times New Roman"/>
          <w:color w:val="auto"/>
          <w:highlight w:val="none"/>
        </w:rPr>
        <w:t>2021]18号）；</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17</w:t>
      </w:r>
      <w:r>
        <w:rPr>
          <w:rFonts w:hint="default" w:ascii="Times New Roman" w:hAnsi="Times New Roman" w:cs="Times New Roman"/>
          <w:color w:val="auto"/>
          <w:highlight w:val="none"/>
        </w:rPr>
        <w:t>）《楚雄州人民政府关于印发楚雄</w:t>
      </w:r>
      <w:r>
        <w:rPr>
          <w:rFonts w:hint="eastAsia" w:ascii="宋体" w:hAnsi="宋体" w:eastAsia="宋体" w:cs="宋体"/>
          <w:color w:val="auto"/>
          <w:highlight w:val="none"/>
        </w:rPr>
        <w:t>州</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三线一单</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生态环</w:t>
      </w:r>
      <w:r>
        <w:rPr>
          <w:rFonts w:hint="default" w:ascii="Times New Roman" w:hAnsi="Times New Roman" w:cs="Times New Roman"/>
          <w:color w:val="auto"/>
          <w:highlight w:val="none"/>
        </w:rPr>
        <w:t>境分区管控实施方案的通知》（楚政通[2021]22号），2021年8月11日；</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18</w:t>
      </w:r>
      <w:r>
        <w:rPr>
          <w:rFonts w:hint="default" w:ascii="Times New Roman" w:hAnsi="Times New Roman" w:cs="Times New Roman"/>
          <w:color w:val="auto"/>
          <w:highlight w:val="none"/>
        </w:rPr>
        <w:t>）《楚雄州人民政府关于印发楚雄州</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十四五</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水</w:t>
      </w:r>
      <w:r>
        <w:rPr>
          <w:rFonts w:hint="default" w:ascii="Times New Roman" w:hAnsi="Times New Roman" w:cs="Times New Roman"/>
          <w:color w:val="auto"/>
          <w:highlight w:val="none"/>
        </w:rPr>
        <w:t>安全保障规划的通知》（楚政通</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rPr>
        <w:t>2022</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rPr>
        <w:t>39号，2022年7月12日）；</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19</w:t>
      </w:r>
      <w:r>
        <w:rPr>
          <w:rFonts w:hint="default" w:ascii="Times New Roman" w:hAnsi="Times New Roman" w:cs="Times New Roman"/>
          <w:color w:val="auto"/>
          <w:highlight w:val="none"/>
        </w:rPr>
        <w:t>）《长江经济带生态环境保护规划》（环规财</w:t>
      </w:r>
      <w:r>
        <w:rPr>
          <w:rFonts w:hint="eastAsia" w:cs="Times New Roman"/>
          <w:color w:val="auto"/>
          <w:highlight w:val="none"/>
          <w:lang w:eastAsia="zh-CN"/>
        </w:rPr>
        <w:t>〔</w:t>
      </w:r>
      <w:r>
        <w:rPr>
          <w:rFonts w:hint="default" w:ascii="Times New Roman" w:hAnsi="Times New Roman" w:cs="Times New Roman"/>
          <w:color w:val="auto"/>
          <w:highlight w:val="none"/>
        </w:rPr>
        <w:t>2017]88号，2017年7月13日）；</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FF"/>
          <w:highlight w:val="none"/>
        </w:rPr>
      </w:pPr>
      <w:r>
        <w:rPr>
          <w:rFonts w:hint="eastAsia" w:cs="Times New Roman"/>
          <w:color w:val="auto"/>
          <w:highlight w:val="none"/>
          <w:lang w:eastAsia="zh-CN"/>
        </w:rPr>
        <w:t>（</w:t>
      </w:r>
      <w:r>
        <w:rPr>
          <w:rFonts w:hint="eastAsia" w:cs="Times New Roman"/>
          <w:color w:val="auto"/>
          <w:highlight w:val="none"/>
          <w:lang w:val="en-US" w:eastAsia="zh-CN"/>
        </w:rPr>
        <w:t>20</w:t>
      </w:r>
      <w:r>
        <w:rPr>
          <w:rFonts w:hint="eastAsia" w:cs="Times New Roman"/>
          <w:color w:val="auto"/>
          <w:highlight w:val="none"/>
          <w:lang w:eastAsia="zh-CN"/>
        </w:rPr>
        <w:t>）</w:t>
      </w:r>
      <w:r>
        <w:rPr>
          <w:rFonts w:hint="default" w:ascii="Times New Roman" w:hAnsi="Times New Roman" w:cs="Times New Roman"/>
          <w:color w:val="0000FF"/>
          <w:highlight w:val="none"/>
        </w:rPr>
        <w:t>《长江经济带发展负面清单指南(试行，2022年版)》（长江办[2022]7号，2022年1月19日）；</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21</w:t>
      </w:r>
      <w:r>
        <w:rPr>
          <w:rFonts w:hint="default" w:ascii="Times New Roman" w:hAnsi="Times New Roman" w:cs="Times New Roman"/>
          <w:color w:val="auto"/>
          <w:highlight w:val="none"/>
        </w:rPr>
        <w:t>）《云南省</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十四五</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兴</w:t>
      </w:r>
      <w:r>
        <w:rPr>
          <w:rFonts w:hint="default" w:ascii="Times New Roman" w:hAnsi="Times New Roman" w:cs="Times New Roman"/>
          <w:color w:val="auto"/>
          <w:highlight w:val="none"/>
        </w:rPr>
        <w:t>水润滇工程规划》（云政发</w:t>
      </w:r>
      <w:r>
        <w:rPr>
          <w:rFonts w:hint="eastAsia" w:cs="Times New Roman"/>
          <w:color w:val="auto"/>
          <w:highlight w:val="none"/>
          <w:lang w:eastAsia="zh-CN"/>
        </w:rPr>
        <w:t>〔</w:t>
      </w:r>
      <w:r>
        <w:rPr>
          <w:rFonts w:hint="default" w:ascii="Times New Roman" w:hAnsi="Times New Roman" w:cs="Times New Roman"/>
          <w:color w:val="auto"/>
          <w:highlight w:val="none"/>
        </w:rPr>
        <w:t>2021]23号，2021年5月）；</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0000FF"/>
          <w:highlight w:val="none"/>
        </w:rPr>
      </w:pPr>
      <w:r>
        <w:rPr>
          <w:rFonts w:hint="eastAsia" w:cs="Times New Roman"/>
          <w:color w:val="0000FF"/>
          <w:highlight w:val="none"/>
          <w:lang w:eastAsia="zh-CN"/>
        </w:rPr>
        <w:t>（</w:t>
      </w:r>
      <w:r>
        <w:rPr>
          <w:rFonts w:hint="eastAsia" w:cs="Times New Roman"/>
          <w:color w:val="0000FF"/>
          <w:highlight w:val="none"/>
          <w:lang w:val="en-US" w:eastAsia="zh-CN"/>
        </w:rPr>
        <w:t>22</w:t>
      </w:r>
      <w:r>
        <w:rPr>
          <w:rFonts w:hint="eastAsia" w:cs="Times New Roman"/>
          <w:color w:val="0000FF"/>
          <w:highlight w:val="none"/>
          <w:lang w:eastAsia="zh-CN"/>
        </w:rPr>
        <w:t>）</w:t>
      </w:r>
      <w:r>
        <w:rPr>
          <w:rFonts w:hint="default" w:ascii="Times New Roman" w:hAnsi="Times New Roman" w:cs="Times New Roman"/>
          <w:color w:val="0000FF"/>
          <w:highlight w:val="none"/>
        </w:rPr>
        <w:t>《云南省外来入侵物种名录(2019版)》</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23</w:t>
      </w:r>
      <w:r>
        <w:rPr>
          <w:rFonts w:hint="default" w:ascii="Times New Roman" w:hAnsi="Times New Roman" w:cs="Times New Roman"/>
          <w:color w:val="auto"/>
          <w:highlight w:val="none"/>
        </w:rPr>
        <w:t>）《金沙江干流综合规划报告（2010年9月）》；</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24</w:t>
      </w:r>
      <w:r>
        <w:rPr>
          <w:rFonts w:hint="default" w:ascii="Times New Roman" w:hAnsi="Times New Roman" w:cs="Times New Roman"/>
          <w:color w:val="auto"/>
          <w:highlight w:val="none"/>
        </w:rPr>
        <w:t>）《云南省生物多样性保护战略与行动计划（2012-2030年）》；</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w:t>
      </w:r>
      <w:r>
        <w:rPr>
          <w:rFonts w:hint="eastAsia" w:cs="Times New Roman"/>
          <w:color w:val="auto"/>
          <w:highlight w:val="none"/>
          <w:lang w:val="en-US" w:eastAsia="zh-CN"/>
        </w:rPr>
        <w:t>25</w:t>
      </w:r>
      <w:r>
        <w:rPr>
          <w:rFonts w:hint="default" w:ascii="Times New Roman" w:hAnsi="Times New Roman" w:cs="Times New Roman"/>
          <w:color w:val="auto"/>
          <w:highlight w:val="none"/>
        </w:rPr>
        <w:t>）《楚雄彝族自治州</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十四五</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生态环境保护规划》（楚雄彝族自治州人民政府，2022年6月）</w:t>
      </w:r>
      <w:r>
        <w:rPr>
          <w:rFonts w:hint="eastAsia" w:cs="Times New Roman"/>
          <w:color w:val="auto"/>
          <w:highlight w:val="none"/>
          <w:lang w:eastAsia="zh-CN"/>
        </w:rPr>
        <w:t>；</w:t>
      </w:r>
    </w:p>
    <w:p>
      <w:pPr>
        <w:keepNext w:val="0"/>
        <w:keepLines w:val="0"/>
        <w:pageBreakBefore w:val="0"/>
        <w:widowControl w:val="0"/>
        <w:numPr>
          <w:ilvl w:val="0"/>
          <w:numId w:val="0"/>
        </w:numPr>
        <w:tabs>
          <w:tab w:val="left" w:pos="420"/>
        </w:tabs>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26</w:t>
      </w:r>
      <w:r>
        <w:rPr>
          <w:rFonts w:hint="default" w:ascii="Times New Roman" w:hAnsi="Times New Roman" w:cs="Times New Roman"/>
          <w:color w:val="auto"/>
          <w:highlight w:val="none"/>
        </w:rPr>
        <w:t>）《元谋县</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十四五</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生</w:t>
      </w:r>
      <w:r>
        <w:rPr>
          <w:rFonts w:hint="default" w:ascii="Times New Roman" w:hAnsi="Times New Roman" w:cs="Times New Roman"/>
          <w:color w:val="auto"/>
          <w:highlight w:val="none"/>
        </w:rPr>
        <w:t>态环境保护规划》（2021-2025年）（元谋县人民政府，2022年10月）。</w:t>
      </w:r>
    </w:p>
    <w:p>
      <w:pPr>
        <w:pStyle w:val="4"/>
        <w:bidi w:val="0"/>
        <w:rPr>
          <w:rFonts w:hint="default"/>
          <w:color w:val="auto"/>
        </w:rPr>
      </w:pPr>
      <w:bookmarkStart w:id="129" w:name="_Toc18961"/>
      <w:bookmarkStart w:id="130" w:name="_Toc27282"/>
      <w:bookmarkStart w:id="131" w:name="_Toc26943"/>
      <w:r>
        <w:rPr>
          <w:rFonts w:hint="default"/>
          <w:color w:val="auto"/>
        </w:rPr>
        <w:t>相关技术导则与规范</w:t>
      </w:r>
      <w:bookmarkEnd w:id="121"/>
      <w:bookmarkEnd w:id="122"/>
      <w:bookmarkEnd w:id="123"/>
      <w:bookmarkEnd w:id="124"/>
      <w:bookmarkEnd w:id="125"/>
      <w:bookmarkEnd w:id="126"/>
      <w:bookmarkEnd w:id="127"/>
      <w:bookmarkEnd w:id="128"/>
      <w:bookmarkEnd w:id="129"/>
      <w:bookmarkEnd w:id="130"/>
      <w:bookmarkEnd w:id="131"/>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1</w:t>
      </w:r>
      <w:r>
        <w:rPr>
          <w:rFonts w:hint="eastAsia" w:cs="Times New Roman"/>
          <w:color w:val="auto"/>
          <w:highlight w:val="none"/>
          <w:lang w:eastAsia="zh-CN"/>
        </w:rPr>
        <w:t>）</w:t>
      </w:r>
      <w:r>
        <w:rPr>
          <w:rFonts w:hint="default" w:ascii="Times New Roman" w:hAnsi="Times New Roman" w:cs="Times New Roman"/>
          <w:color w:val="auto"/>
          <w:highlight w:val="none"/>
        </w:rPr>
        <w:t>《建设项目环境影响评价技术导则</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总纲》（HJ2.1-2016），2017年01月01日实施；</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2</w:t>
      </w:r>
      <w:r>
        <w:rPr>
          <w:rFonts w:hint="eastAsia" w:cs="Times New Roman"/>
          <w:color w:val="auto"/>
          <w:highlight w:val="none"/>
          <w:lang w:eastAsia="zh-CN"/>
        </w:rPr>
        <w:t>）</w:t>
      </w:r>
      <w:r>
        <w:rPr>
          <w:rFonts w:hint="default" w:ascii="Times New Roman" w:hAnsi="Times New Roman" w:cs="Times New Roman"/>
          <w:color w:val="auto"/>
          <w:highlight w:val="none"/>
        </w:rPr>
        <w:t>《环境影响评价技术导则</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大气环境》（HJ2.2-2018），2018年12月1日实施；</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3</w:t>
      </w:r>
      <w:r>
        <w:rPr>
          <w:rFonts w:hint="eastAsia" w:cs="Times New Roman"/>
          <w:color w:val="auto"/>
          <w:highlight w:val="none"/>
          <w:lang w:eastAsia="zh-CN"/>
        </w:rPr>
        <w:t>）</w:t>
      </w:r>
      <w:r>
        <w:rPr>
          <w:rFonts w:hint="default" w:ascii="Times New Roman" w:hAnsi="Times New Roman" w:cs="Times New Roman"/>
          <w:color w:val="auto"/>
          <w:highlight w:val="none"/>
        </w:rPr>
        <w:t>《环境影响评价技术导则</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地表水环境》（HJ 2.3-2018），2019年3月1日起实施；</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4</w:t>
      </w:r>
      <w:r>
        <w:rPr>
          <w:rFonts w:hint="eastAsia" w:cs="Times New Roman"/>
          <w:color w:val="auto"/>
          <w:highlight w:val="none"/>
          <w:lang w:eastAsia="zh-CN"/>
        </w:rPr>
        <w:t>）</w:t>
      </w:r>
      <w:r>
        <w:rPr>
          <w:rFonts w:hint="default" w:ascii="Times New Roman" w:hAnsi="Times New Roman" w:cs="Times New Roman"/>
          <w:color w:val="auto"/>
          <w:highlight w:val="none"/>
        </w:rPr>
        <w:t>《环境影响评价技术导则</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地下水环境》（HJ 610-2016），2016年1月7日实施；</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5</w:t>
      </w:r>
      <w:r>
        <w:rPr>
          <w:rFonts w:hint="eastAsia" w:cs="Times New Roman"/>
          <w:color w:val="auto"/>
          <w:highlight w:val="none"/>
          <w:lang w:eastAsia="zh-CN"/>
        </w:rPr>
        <w:t>）</w:t>
      </w:r>
      <w:r>
        <w:rPr>
          <w:rFonts w:hint="default" w:ascii="Times New Roman" w:hAnsi="Times New Roman" w:cs="Times New Roman"/>
          <w:color w:val="auto"/>
          <w:highlight w:val="none"/>
        </w:rPr>
        <w:t>《环境影响评价技术导则</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声环境》（HJ2.4-</w:t>
      </w:r>
      <w:r>
        <w:rPr>
          <w:rFonts w:hint="default" w:ascii="Times New Roman" w:hAnsi="Times New Roman" w:cs="Times New Roman"/>
          <w:color w:val="auto"/>
          <w:highlight w:val="none"/>
          <w:lang w:val="en-US" w:eastAsia="zh-CN"/>
        </w:rPr>
        <w:t>2021</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2022</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月1日实施；</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6</w:t>
      </w:r>
      <w:r>
        <w:rPr>
          <w:rFonts w:hint="eastAsia" w:cs="Times New Roman"/>
          <w:color w:val="auto"/>
          <w:highlight w:val="none"/>
          <w:lang w:eastAsia="zh-CN"/>
        </w:rPr>
        <w:t>）</w:t>
      </w:r>
      <w:r>
        <w:rPr>
          <w:rFonts w:hint="default" w:ascii="Times New Roman" w:hAnsi="Times New Roman" w:cs="Times New Roman"/>
          <w:color w:val="auto"/>
          <w:highlight w:val="none"/>
        </w:rPr>
        <w:t>《环境影响评价技术导则</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生态影响》（HJ19-20</w:t>
      </w:r>
      <w:r>
        <w:rPr>
          <w:rFonts w:hint="default" w:ascii="Times New Roman" w:hAnsi="Times New Roman" w:cs="Times New Roman"/>
          <w:color w:val="auto"/>
          <w:highlight w:val="none"/>
          <w:lang w:val="en-US" w:eastAsia="zh-CN"/>
        </w:rPr>
        <w:t>22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w:t>
      </w:r>
      <w:r>
        <w:rPr>
          <w:rFonts w:hint="default" w:ascii="Times New Roman" w:hAnsi="Times New Roman" w:cs="Times New Roman"/>
          <w:color w:val="0000FF"/>
          <w:highlight w:val="none"/>
        </w:rPr>
        <w:t>20</w:t>
      </w:r>
      <w:r>
        <w:rPr>
          <w:rFonts w:hint="eastAsia" w:cs="Times New Roman"/>
          <w:color w:val="0000FF"/>
          <w:highlight w:val="none"/>
          <w:lang w:val="en-US" w:eastAsia="zh-CN"/>
        </w:rPr>
        <w:t>22</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月1日实施；</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7</w:t>
      </w:r>
      <w:r>
        <w:rPr>
          <w:rFonts w:hint="eastAsia" w:cs="Times New Roman"/>
          <w:color w:val="auto"/>
          <w:highlight w:val="none"/>
          <w:lang w:eastAsia="zh-CN"/>
        </w:rPr>
        <w:t>）</w:t>
      </w:r>
      <w:r>
        <w:rPr>
          <w:rFonts w:hint="default" w:ascii="Times New Roman" w:hAnsi="Times New Roman" w:cs="Times New Roman"/>
          <w:color w:val="auto"/>
          <w:highlight w:val="none"/>
        </w:rPr>
        <w:t>《环境影响评价技术导则</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土壤环境（试行）》（HJ964-2018），2019年7月1日实施；</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8</w:t>
      </w:r>
      <w:r>
        <w:rPr>
          <w:rFonts w:hint="eastAsia" w:cs="Times New Roman"/>
          <w:color w:val="auto"/>
          <w:highlight w:val="none"/>
          <w:lang w:eastAsia="zh-CN"/>
        </w:rPr>
        <w:t>）</w:t>
      </w:r>
      <w:r>
        <w:rPr>
          <w:rFonts w:hint="default" w:ascii="Times New Roman" w:hAnsi="Times New Roman" w:cs="Times New Roman"/>
          <w:color w:val="auto"/>
          <w:highlight w:val="none"/>
        </w:rPr>
        <w:t>《建设项目环境风险评价技术导则》（HJ/T169-2018），2019年3月1日实施。</w:t>
      </w:r>
    </w:p>
    <w:p>
      <w:pPr>
        <w:pStyle w:val="4"/>
        <w:bidi w:val="0"/>
        <w:rPr>
          <w:rFonts w:hint="default"/>
          <w:color w:val="auto"/>
          <w:highlight w:val="none"/>
        </w:rPr>
      </w:pPr>
      <w:bookmarkStart w:id="132" w:name="_Toc15966"/>
      <w:bookmarkStart w:id="133" w:name="_Toc25912"/>
      <w:bookmarkStart w:id="134" w:name="_Toc3029"/>
      <w:bookmarkStart w:id="135" w:name="_Toc7879"/>
      <w:bookmarkStart w:id="136" w:name="_Toc4442"/>
      <w:bookmarkStart w:id="137" w:name="_Toc9924"/>
      <w:bookmarkStart w:id="138" w:name="_Toc25631"/>
      <w:bookmarkStart w:id="139" w:name="_Toc12672"/>
      <w:bookmarkStart w:id="140" w:name="_Toc12328"/>
      <w:bookmarkStart w:id="141" w:name="_Toc26470"/>
      <w:bookmarkStart w:id="142" w:name="_Toc28721"/>
      <w:r>
        <w:rPr>
          <w:rFonts w:hint="default"/>
          <w:color w:val="auto"/>
          <w:highlight w:val="none"/>
        </w:rPr>
        <w:t>相关技术文件、规划及资料</w:t>
      </w:r>
      <w:bookmarkEnd w:id="132"/>
      <w:bookmarkEnd w:id="133"/>
      <w:bookmarkEnd w:id="134"/>
      <w:bookmarkEnd w:id="135"/>
      <w:bookmarkEnd w:id="136"/>
      <w:bookmarkEnd w:id="137"/>
      <w:bookmarkEnd w:id="138"/>
      <w:bookmarkEnd w:id="139"/>
      <w:bookmarkEnd w:id="140"/>
      <w:bookmarkEnd w:id="141"/>
      <w:bookmarkEnd w:id="142"/>
    </w:p>
    <w:p>
      <w:pPr>
        <w:numPr>
          <w:ilvl w:val="2"/>
          <w:numId w:val="0"/>
        </w:numPr>
        <w:ind w:left="0" w:leftChars="0" w:firstLine="480" w:firstLineChars="200"/>
        <w:rPr>
          <w:rFonts w:hint="default" w:ascii="Times New Roman" w:hAnsi="Times New Roman" w:cs="Times New Roman"/>
          <w:color w:val="auto"/>
          <w:kern w:val="0"/>
          <w:highlight w:val="none"/>
        </w:rPr>
      </w:pPr>
      <w:r>
        <w:rPr>
          <w:rFonts w:hint="default" w:ascii="Times New Roman" w:hAnsi="Times New Roman" w:eastAsia="宋体" w:cs="Times New Roman"/>
          <w:color w:val="auto"/>
          <w:kern w:val="0"/>
          <w:sz w:val="24"/>
          <w:szCs w:val="21"/>
          <w:highlight w:val="none"/>
          <w:lang w:val="en-US" w:eastAsia="zh-CN" w:bidi="ar-SA"/>
        </w:rPr>
        <w:t>（1）</w:t>
      </w:r>
      <w:r>
        <w:rPr>
          <w:rFonts w:hint="default" w:ascii="Times New Roman" w:hAnsi="Times New Roman" w:cs="Times New Roman"/>
          <w:color w:val="auto"/>
          <w:kern w:val="0"/>
          <w:highlight w:val="none"/>
        </w:rPr>
        <w:t>环境影响报告书编制委托书；</w:t>
      </w:r>
    </w:p>
    <w:p>
      <w:pPr>
        <w:numPr>
          <w:ilvl w:val="2"/>
          <w:numId w:val="0"/>
        </w:numPr>
        <w:ind w:left="0" w:leftChars="0" w:firstLine="480" w:firstLineChars="200"/>
        <w:rPr>
          <w:rFonts w:hint="default" w:ascii="Times New Roman" w:hAnsi="Times New Roman" w:cs="Times New Roman"/>
          <w:color w:val="auto"/>
          <w:kern w:val="0"/>
          <w:highlight w:val="none"/>
        </w:rPr>
      </w:pPr>
      <w:r>
        <w:rPr>
          <w:rFonts w:hint="default" w:ascii="Times New Roman" w:hAnsi="Times New Roman" w:eastAsia="宋体" w:cs="Times New Roman"/>
          <w:color w:val="auto"/>
          <w:kern w:val="0"/>
          <w:sz w:val="24"/>
          <w:szCs w:val="21"/>
          <w:highlight w:val="none"/>
          <w:lang w:val="en-US" w:eastAsia="zh-CN" w:bidi="ar-SA"/>
        </w:rPr>
        <w:t>（2）</w:t>
      </w:r>
      <w:r>
        <w:rPr>
          <w:rFonts w:hint="default" w:ascii="Times New Roman" w:hAnsi="Times New Roman" w:cs="Times New Roman"/>
          <w:color w:val="auto"/>
          <w:kern w:val="0"/>
          <w:highlight w:val="none"/>
          <w:lang w:val="en-US" w:eastAsia="zh-CN"/>
        </w:rPr>
        <w:t>《元谋县发展和改革局关于元谋县姜驿中型灌区续建配套与节水改造项目建议书》</w:t>
      </w:r>
      <w:r>
        <w:rPr>
          <w:rFonts w:hint="eastAsia" w:cs="Times New Roman"/>
          <w:color w:val="auto"/>
          <w:kern w:val="0"/>
          <w:highlight w:val="none"/>
          <w:lang w:val="en-US" w:eastAsia="zh-CN"/>
        </w:rPr>
        <w:t>及批复</w:t>
      </w:r>
      <w:r>
        <w:rPr>
          <w:rFonts w:hint="default" w:ascii="Times New Roman" w:hAnsi="Times New Roman" w:cs="Times New Roman"/>
          <w:color w:val="auto"/>
          <w:kern w:val="0"/>
          <w:highlight w:val="none"/>
          <w:lang w:val="en-US" w:eastAsia="zh-CN"/>
        </w:rPr>
        <w:t>（元发改字</w:t>
      </w:r>
      <w:r>
        <w:rPr>
          <w:rFonts w:hint="eastAsia" w:cs="Times New Roman"/>
          <w:color w:val="auto"/>
          <w:kern w:val="0"/>
          <w:highlight w:val="none"/>
          <w:lang w:val="en-US" w:eastAsia="zh-CN"/>
        </w:rPr>
        <w:t>〔</w:t>
      </w:r>
      <w:r>
        <w:rPr>
          <w:rFonts w:hint="default" w:ascii="Times New Roman" w:hAnsi="Times New Roman" w:cs="Times New Roman"/>
          <w:color w:val="auto"/>
          <w:kern w:val="0"/>
          <w:highlight w:val="none"/>
          <w:lang w:val="en-US" w:eastAsia="zh-CN"/>
        </w:rPr>
        <w:t>2023]106号）</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lang w:val="en-US" w:eastAsia="zh-CN"/>
        </w:rPr>
        <w:t>202</w:t>
      </w:r>
      <w:r>
        <w:rPr>
          <w:rFonts w:hint="eastAsia" w:ascii="Times New Roman" w:hAnsi="Times New Roman" w:cs="Times New Roman"/>
          <w:color w:val="auto"/>
          <w:kern w:val="0"/>
          <w:highlight w:val="none"/>
          <w:lang w:val="en-US" w:eastAsia="zh-CN"/>
        </w:rPr>
        <w:t>3</w:t>
      </w:r>
      <w:r>
        <w:rPr>
          <w:rFonts w:hint="default" w:ascii="Times New Roman" w:hAnsi="Times New Roman" w:cs="Times New Roman"/>
          <w:color w:val="auto"/>
          <w:kern w:val="0"/>
          <w:highlight w:val="none"/>
          <w:lang w:val="en-US" w:eastAsia="zh-CN"/>
        </w:rPr>
        <w:t>年</w:t>
      </w:r>
      <w:r>
        <w:rPr>
          <w:rFonts w:hint="eastAsia" w:ascii="Times New Roman" w:hAnsi="Times New Roman" w:cs="Times New Roman"/>
          <w:color w:val="auto"/>
          <w:kern w:val="0"/>
          <w:highlight w:val="none"/>
          <w:lang w:val="en-US" w:eastAsia="zh-CN"/>
        </w:rPr>
        <w:t>5</w:t>
      </w:r>
      <w:r>
        <w:rPr>
          <w:rFonts w:hint="default" w:ascii="Times New Roman" w:hAnsi="Times New Roman" w:cs="Times New Roman"/>
          <w:color w:val="auto"/>
          <w:kern w:val="0"/>
          <w:highlight w:val="none"/>
          <w:lang w:val="en-US" w:eastAsia="zh-CN"/>
        </w:rPr>
        <w:t>月</w:t>
      </w:r>
      <w:r>
        <w:rPr>
          <w:rFonts w:hint="eastAsia" w:ascii="Times New Roman" w:hAnsi="Times New Roman" w:cs="Times New Roman"/>
          <w:color w:val="auto"/>
          <w:kern w:val="0"/>
          <w:highlight w:val="none"/>
          <w:lang w:val="en-US" w:eastAsia="zh-CN"/>
        </w:rPr>
        <w:t>24日</w:t>
      </w:r>
      <w:r>
        <w:rPr>
          <w:rFonts w:hint="default" w:ascii="Times New Roman" w:hAnsi="Times New Roman" w:cs="Times New Roman"/>
          <w:color w:val="auto"/>
          <w:kern w:val="0"/>
          <w:highlight w:val="none"/>
        </w:rPr>
        <w:t>；</w:t>
      </w:r>
    </w:p>
    <w:p>
      <w:pPr>
        <w:numPr>
          <w:ilvl w:val="2"/>
          <w:numId w:val="0"/>
        </w:numPr>
        <w:ind w:left="0" w:leftChars="0" w:firstLine="480" w:firstLineChars="200"/>
        <w:rPr>
          <w:rFonts w:hint="default" w:ascii="Times New Roman" w:hAnsi="Times New Roman" w:cs="Times New Roman"/>
          <w:color w:val="auto"/>
          <w:kern w:val="0"/>
          <w:highlight w:val="none"/>
        </w:rPr>
      </w:pPr>
      <w:r>
        <w:rPr>
          <w:rFonts w:hint="eastAsia" w:cs="Times New Roman"/>
          <w:color w:val="auto"/>
          <w:kern w:val="0"/>
          <w:highlight w:val="none"/>
          <w:lang w:eastAsia="zh-CN"/>
        </w:rPr>
        <w:t>（</w:t>
      </w:r>
      <w:r>
        <w:rPr>
          <w:rFonts w:hint="eastAsia" w:cs="Times New Roman"/>
          <w:color w:val="auto"/>
          <w:kern w:val="0"/>
          <w:highlight w:val="none"/>
          <w:lang w:val="en-US" w:eastAsia="zh-CN"/>
        </w:rPr>
        <w:t>3</w:t>
      </w:r>
      <w:r>
        <w:rPr>
          <w:rFonts w:hint="eastAsia" w:cs="Times New Roman"/>
          <w:color w:val="auto"/>
          <w:kern w:val="0"/>
          <w:highlight w:val="none"/>
          <w:lang w:eastAsia="zh-CN"/>
        </w:rPr>
        <w:t>）</w:t>
      </w:r>
      <w:r>
        <w:rPr>
          <w:rFonts w:hint="default" w:ascii="Times New Roman" w:hAnsi="Times New Roman" w:cs="Times New Roman"/>
          <w:color w:val="auto"/>
          <w:kern w:val="0"/>
          <w:highlight w:val="none"/>
        </w:rPr>
        <w:t>《</w:t>
      </w:r>
      <w:r>
        <w:rPr>
          <w:rFonts w:hint="default" w:ascii="Times New Roman" w:hAnsi="Times New Roman" w:cs="Times New Roman"/>
          <w:color w:val="auto"/>
          <w:kern w:val="0"/>
          <w:highlight w:val="none"/>
          <w:lang w:val="en-US" w:eastAsia="zh-CN"/>
        </w:rPr>
        <w:t>元谋县姜驿中型灌区续建配套与节水改造项目实施方案报告</w:t>
      </w:r>
      <w:r>
        <w:rPr>
          <w:rFonts w:hint="default" w:ascii="Times New Roman" w:hAnsi="Times New Roman" w:cs="Times New Roman"/>
          <w:color w:val="auto"/>
          <w:kern w:val="0"/>
          <w:highlight w:val="none"/>
        </w:rPr>
        <w:t>》</w:t>
      </w:r>
      <w:r>
        <w:rPr>
          <w:rFonts w:hint="eastAsia" w:cs="Times New Roman"/>
          <w:color w:val="auto"/>
          <w:kern w:val="0"/>
          <w:highlight w:val="none"/>
          <w:lang w:val="en-US" w:eastAsia="zh-CN"/>
        </w:rPr>
        <w:t>及</w:t>
      </w:r>
      <w:r>
        <w:rPr>
          <w:rFonts w:hint="eastAsia"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lang w:val="en-US" w:eastAsia="zh-CN"/>
        </w:rPr>
        <w:t>元谋县水务局关于《元谋县姜驿中型灌区续建配套与节水改造项目实施方案》的批复</w:t>
      </w:r>
      <w:r>
        <w:rPr>
          <w:rFonts w:hint="eastAsia"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w:t>
      </w:r>
      <w:r>
        <w:rPr>
          <w:rFonts w:hint="eastAsia" w:ascii="Times New Roman" w:hAnsi="Times New Roman" w:cs="Times New Roman"/>
          <w:color w:val="auto"/>
          <w:highlight w:val="none"/>
          <w:lang w:eastAsia="zh-CN"/>
        </w:rPr>
        <w:t>元</w:t>
      </w:r>
      <w:r>
        <w:rPr>
          <w:rFonts w:hint="default" w:ascii="Times New Roman" w:hAnsi="Times New Roman" w:cs="Times New Roman"/>
          <w:color w:val="auto"/>
          <w:highlight w:val="none"/>
          <w:lang w:val="en-US" w:eastAsia="zh-CN"/>
        </w:rPr>
        <w:t>水</w:t>
      </w:r>
      <w:r>
        <w:rPr>
          <w:rFonts w:hint="eastAsia" w:ascii="Times New Roman" w:hAnsi="Times New Roman" w:cs="Times New Roman"/>
          <w:color w:val="auto"/>
          <w:highlight w:val="none"/>
          <w:lang w:val="en-US" w:eastAsia="zh-CN"/>
        </w:rPr>
        <w:t>复</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202</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20</w:t>
      </w:r>
      <w:r>
        <w:rPr>
          <w:rFonts w:hint="default" w:ascii="Times New Roman" w:hAnsi="Times New Roman" w:cs="Times New Roman"/>
          <w:color w:val="auto"/>
          <w:highlight w:val="none"/>
        </w:rPr>
        <w:t>号</w:t>
      </w:r>
      <w:r>
        <w:rPr>
          <w:rFonts w:hint="default" w:ascii="Times New Roman" w:hAnsi="Times New Roman" w:cs="Times New Roman"/>
          <w:color w:val="auto"/>
          <w:kern w:val="0"/>
          <w:highlight w:val="none"/>
        </w:rPr>
        <w:t>），</w:t>
      </w:r>
      <w:r>
        <w:rPr>
          <w:rFonts w:hint="default" w:ascii="Times New Roman" w:hAnsi="Times New Roman" w:cs="Times New Roman"/>
          <w:color w:val="auto"/>
          <w:kern w:val="0"/>
          <w:highlight w:val="none"/>
          <w:lang w:val="en-US" w:eastAsia="zh-CN"/>
        </w:rPr>
        <w:t>202</w:t>
      </w:r>
      <w:r>
        <w:rPr>
          <w:rFonts w:hint="eastAsia" w:ascii="Times New Roman" w:hAnsi="Times New Roman" w:cs="Times New Roman"/>
          <w:color w:val="auto"/>
          <w:kern w:val="0"/>
          <w:highlight w:val="none"/>
          <w:lang w:val="en-US" w:eastAsia="zh-CN"/>
        </w:rPr>
        <w:t>3</w:t>
      </w:r>
      <w:r>
        <w:rPr>
          <w:rFonts w:hint="default" w:ascii="Times New Roman" w:hAnsi="Times New Roman" w:cs="Times New Roman"/>
          <w:color w:val="auto"/>
          <w:kern w:val="0"/>
          <w:highlight w:val="none"/>
        </w:rPr>
        <w:t>年</w:t>
      </w:r>
      <w:r>
        <w:rPr>
          <w:rFonts w:hint="eastAsia" w:ascii="Times New Roman" w:hAnsi="Times New Roman" w:cs="Times New Roman"/>
          <w:color w:val="auto"/>
          <w:kern w:val="0"/>
          <w:highlight w:val="none"/>
          <w:lang w:val="en-US" w:eastAsia="zh-CN"/>
        </w:rPr>
        <w:t>6</w:t>
      </w:r>
      <w:r>
        <w:rPr>
          <w:rFonts w:hint="default" w:ascii="Times New Roman" w:hAnsi="Times New Roman" w:cs="Times New Roman"/>
          <w:color w:val="auto"/>
          <w:kern w:val="0"/>
          <w:highlight w:val="none"/>
        </w:rPr>
        <w:t>月</w:t>
      </w:r>
      <w:r>
        <w:rPr>
          <w:rFonts w:hint="eastAsia" w:ascii="Times New Roman" w:hAnsi="Times New Roman" w:cs="Times New Roman"/>
          <w:color w:val="auto"/>
          <w:kern w:val="0"/>
          <w:highlight w:val="none"/>
          <w:lang w:val="en-US" w:eastAsia="zh-CN"/>
        </w:rPr>
        <w:t>17日</w:t>
      </w:r>
      <w:r>
        <w:rPr>
          <w:rFonts w:hint="default" w:ascii="Times New Roman" w:hAnsi="Times New Roman" w:cs="Times New Roman"/>
          <w:color w:val="auto"/>
          <w:kern w:val="0"/>
          <w:highlight w:val="none"/>
        </w:rPr>
        <w:t>；</w:t>
      </w:r>
    </w:p>
    <w:p>
      <w:pPr>
        <w:numPr>
          <w:ilvl w:val="2"/>
          <w:numId w:val="0"/>
        </w:numPr>
        <w:ind w:left="0" w:leftChars="0" w:firstLine="480" w:firstLineChars="200"/>
        <w:rPr>
          <w:rFonts w:hint="default"/>
          <w:color w:val="0000FF"/>
          <w:lang w:val="en-US" w:eastAsia="zh-CN"/>
        </w:rPr>
      </w:pPr>
      <w:r>
        <w:rPr>
          <w:rFonts w:hint="default"/>
          <w:color w:val="0000FF"/>
          <w:lang w:val="en-US" w:eastAsia="zh-CN"/>
        </w:rPr>
        <w:t>（</w:t>
      </w:r>
      <w:r>
        <w:rPr>
          <w:rFonts w:hint="eastAsia"/>
          <w:color w:val="0000FF"/>
          <w:lang w:val="en-US" w:eastAsia="zh-CN"/>
        </w:rPr>
        <w:t>4</w:t>
      </w:r>
      <w:r>
        <w:rPr>
          <w:rFonts w:hint="default"/>
          <w:color w:val="0000FF"/>
          <w:lang w:val="en-US" w:eastAsia="zh-CN"/>
        </w:rPr>
        <w:t>）</w:t>
      </w:r>
      <w:r>
        <w:rPr>
          <w:rFonts w:hint="eastAsia"/>
          <w:color w:val="0000FF"/>
          <w:lang w:val="en-US" w:eastAsia="zh-CN"/>
        </w:rPr>
        <w:t>昆明阳光恒业环境工程有限公司编制的《元谋县姜驿中型灌区续建配套与节水改造项目环境影响报告书》及环评批复：楚雄州生态环境局准予行政许可决定书（楚环许准〔2023〕54 号）；</w:t>
      </w:r>
    </w:p>
    <w:p>
      <w:pPr>
        <w:numPr>
          <w:ilvl w:val="2"/>
          <w:numId w:val="0"/>
        </w:numPr>
        <w:ind w:left="0" w:leftChars="0" w:firstLine="480" w:firstLineChars="200"/>
        <w:rPr>
          <w:rFonts w:hint="default"/>
          <w:color w:val="0000FF"/>
          <w:lang w:val="en-US" w:eastAsia="zh-CN"/>
        </w:rPr>
      </w:pPr>
      <w:r>
        <w:rPr>
          <w:rFonts w:hint="eastAsia"/>
          <w:color w:val="0000FF"/>
          <w:lang w:val="en-US" w:eastAsia="zh-CN"/>
        </w:rPr>
        <w:t>（5）《</w:t>
      </w:r>
      <w:r>
        <w:rPr>
          <w:rFonts w:hint="default"/>
          <w:color w:val="0000FF"/>
          <w:lang w:val="en-US" w:eastAsia="zh-CN"/>
        </w:rPr>
        <w:t>金沙江乌东德水电站水资源综合利用元谋县姜驿乡提水工程水资源论证报告</w:t>
      </w:r>
      <w:r>
        <w:rPr>
          <w:rFonts w:hint="eastAsia"/>
          <w:color w:val="0000FF"/>
          <w:lang w:val="en-US" w:eastAsia="zh-CN"/>
        </w:rPr>
        <w:t>》</w:t>
      </w:r>
      <w:r>
        <w:rPr>
          <w:rFonts w:hint="default"/>
          <w:color w:val="0000FF"/>
          <w:lang w:val="en-US" w:eastAsia="zh-CN"/>
        </w:rPr>
        <w:t>(报批稿)</w:t>
      </w:r>
    </w:p>
    <w:p>
      <w:pPr>
        <w:numPr>
          <w:ilvl w:val="2"/>
          <w:numId w:val="0"/>
        </w:numPr>
        <w:ind w:left="0" w:leftChars="0"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1"/>
          <w:highlight w:val="none"/>
          <w:lang w:val="en-US" w:eastAsia="zh-CN" w:bidi="ar-SA"/>
        </w:rPr>
        <w:t>（</w:t>
      </w:r>
      <w:r>
        <w:rPr>
          <w:rFonts w:hint="eastAsia" w:cs="Times New Roman"/>
          <w:color w:val="auto"/>
          <w:kern w:val="2"/>
          <w:sz w:val="24"/>
          <w:szCs w:val="21"/>
          <w:highlight w:val="none"/>
          <w:lang w:val="en-US" w:eastAsia="zh-CN" w:bidi="ar-SA"/>
        </w:rPr>
        <w:t>6</w:t>
      </w:r>
      <w:r>
        <w:rPr>
          <w:rFonts w:hint="default" w:ascii="Times New Roman" w:hAnsi="Times New Roman" w:eastAsia="宋体" w:cs="Times New Roman"/>
          <w:color w:val="auto"/>
          <w:kern w:val="2"/>
          <w:sz w:val="24"/>
          <w:szCs w:val="21"/>
          <w:highlight w:val="none"/>
          <w:lang w:val="en-US" w:eastAsia="zh-CN" w:bidi="ar-SA"/>
        </w:rPr>
        <w:t>）</w:t>
      </w:r>
      <w:r>
        <w:rPr>
          <w:rFonts w:hint="default" w:ascii="Times New Roman" w:hAnsi="Times New Roman" w:cs="Times New Roman"/>
          <w:color w:val="auto"/>
          <w:kern w:val="0"/>
          <w:highlight w:val="none"/>
        </w:rPr>
        <w:t>现状监测报告。</w:t>
      </w:r>
    </w:p>
    <w:p>
      <w:pPr>
        <w:pStyle w:val="3"/>
        <w:bidi w:val="0"/>
        <w:rPr>
          <w:rFonts w:hint="default"/>
          <w:color w:val="auto"/>
          <w:highlight w:val="none"/>
        </w:rPr>
      </w:pPr>
      <w:bookmarkStart w:id="143" w:name="_Toc15340"/>
      <w:bookmarkStart w:id="144" w:name="_Toc16231"/>
      <w:bookmarkStart w:id="145" w:name="_Toc21160"/>
      <w:bookmarkStart w:id="146" w:name="_Toc9231"/>
      <w:bookmarkStart w:id="147" w:name="_Toc10019"/>
      <w:bookmarkStart w:id="148" w:name="_Toc32560"/>
      <w:bookmarkStart w:id="149" w:name="_Toc23009"/>
      <w:bookmarkStart w:id="150" w:name="_Toc19588"/>
      <w:bookmarkStart w:id="151" w:name="_Toc11791"/>
      <w:bookmarkStart w:id="152" w:name="_Toc26542"/>
      <w:bookmarkStart w:id="153" w:name="_Toc26547"/>
      <w:bookmarkStart w:id="154" w:name="_Toc3256"/>
      <w:bookmarkStart w:id="155" w:name="_Toc4847"/>
      <w:r>
        <w:rPr>
          <w:rFonts w:hint="default"/>
          <w:color w:val="auto"/>
          <w:highlight w:val="none"/>
        </w:rPr>
        <w:t>评价执行标准</w:t>
      </w:r>
      <w:bookmarkEnd w:id="143"/>
      <w:bookmarkEnd w:id="144"/>
      <w:bookmarkEnd w:id="145"/>
      <w:bookmarkEnd w:id="146"/>
      <w:bookmarkEnd w:id="147"/>
      <w:bookmarkEnd w:id="148"/>
      <w:bookmarkEnd w:id="149"/>
      <w:bookmarkEnd w:id="150"/>
      <w:bookmarkEnd w:id="151"/>
      <w:bookmarkEnd w:id="152"/>
      <w:bookmarkEnd w:id="153"/>
      <w:bookmarkEnd w:id="154"/>
      <w:bookmarkEnd w:id="155"/>
    </w:p>
    <w:p>
      <w:pPr>
        <w:pStyle w:val="4"/>
        <w:bidi w:val="0"/>
        <w:rPr>
          <w:rFonts w:hint="default"/>
          <w:color w:val="auto"/>
          <w:highlight w:val="none"/>
        </w:rPr>
      </w:pPr>
      <w:bookmarkStart w:id="156" w:name="_Toc8038"/>
      <w:bookmarkStart w:id="157" w:name="_Toc4572"/>
      <w:bookmarkStart w:id="158" w:name="_Toc26"/>
      <w:bookmarkStart w:id="159" w:name="_Toc15892"/>
      <w:bookmarkStart w:id="160" w:name="_Toc14462"/>
      <w:bookmarkStart w:id="161" w:name="_Toc20825"/>
      <w:bookmarkStart w:id="162" w:name="_Toc28144"/>
      <w:bookmarkStart w:id="163" w:name="_Toc8766"/>
      <w:bookmarkStart w:id="164" w:name="_Toc5143"/>
      <w:r>
        <w:rPr>
          <w:rFonts w:hint="default"/>
          <w:color w:val="auto"/>
          <w:highlight w:val="none"/>
        </w:rPr>
        <w:t>环境质量标准</w:t>
      </w:r>
      <w:bookmarkEnd w:id="156"/>
      <w:bookmarkEnd w:id="157"/>
      <w:bookmarkEnd w:id="158"/>
      <w:bookmarkEnd w:id="159"/>
      <w:bookmarkEnd w:id="160"/>
      <w:bookmarkEnd w:id="161"/>
      <w:bookmarkEnd w:id="162"/>
      <w:bookmarkEnd w:id="163"/>
      <w:bookmarkEnd w:id="164"/>
    </w:p>
    <w:p>
      <w:pPr>
        <w:pStyle w:val="5"/>
        <w:tabs>
          <w:tab w:val="clear" w:pos="420"/>
        </w:tabs>
        <w:bidi w:val="0"/>
        <w:ind w:left="480" w:leftChars="0" w:firstLineChars="0"/>
        <w:rPr>
          <w:rFonts w:hint="default"/>
          <w:color w:val="auto"/>
        </w:rPr>
      </w:pPr>
      <w:r>
        <w:rPr>
          <w:rFonts w:hint="default"/>
          <w:color w:val="auto"/>
        </w:rPr>
        <w:t>环境空气质量标准</w:t>
      </w:r>
    </w:p>
    <w:p>
      <w:pPr>
        <w:ind w:firstLine="480" w:firstLineChars="200"/>
        <w:rPr>
          <w:rFonts w:hint="default" w:ascii="Times New Roman" w:hAnsi="Times New Roman" w:cs="Times New Roman"/>
          <w:color w:val="auto"/>
          <w:highlight w:val="none"/>
          <w:vertAlign w:val="baseline"/>
        </w:rPr>
      </w:pPr>
      <w:r>
        <w:rPr>
          <w:rFonts w:hint="eastAsia" w:cs="Times New Roman"/>
          <w:color w:val="auto"/>
          <w:highlight w:val="none"/>
          <w:lang w:val="en-US" w:eastAsia="zh-CN"/>
        </w:rPr>
        <w:t>本项目涉及</w:t>
      </w:r>
      <w:r>
        <w:rPr>
          <w:rFonts w:hint="default" w:ascii="Times New Roman" w:hAnsi="Times New Roman" w:cs="Times New Roman"/>
          <w:color w:val="auto"/>
          <w:highlight w:val="none"/>
          <w:lang w:val="en-US" w:eastAsia="zh-CN"/>
        </w:rPr>
        <w:t>元谋风景名胜区</w:t>
      </w:r>
      <w:r>
        <w:rPr>
          <w:rFonts w:hint="eastAsia" w:cs="Times New Roman"/>
          <w:color w:val="auto"/>
          <w:highlight w:val="none"/>
          <w:lang w:val="en-US" w:eastAsia="zh-CN"/>
        </w:rPr>
        <w:t>和一般农村地区</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分别执行《环境空气质量标准》（GB3095-2012）一级标准和二级标准</w:t>
      </w:r>
      <w:r>
        <w:rPr>
          <w:rFonts w:hint="default" w:ascii="Times New Roman" w:hAnsi="Times New Roman" w:cs="Times New Roman"/>
          <w:color w:val="auto"/>
          <w:highlight w:val="none"/>
          <w:lang w:val="en-US" w:eastAsia="zh-CN"/>
        </w:rPr>
        <w:t>。具体标准限值详见下表。</w:t>
      </w:r>
    </w:p>
    <w:p>
      <w:pPr>
        <w:pStyle w:val="40"/>
        <w:rPr>
          <w:rFonts w:hint="eastAsia" w:ascii="Times New Roman" w:hAnsi="Times New Roman" w:eastAsia="宋体" w:cs="Times New Roman"/>
          <w:color w:val="auto"/>
          <w:highlight w:val="none"/>
          <w:vertAlign w:val="baseline"/>
          <w:lang w:eastAsia="zh-CN"/>
        </w:rPr>
      </w:pPr>
      <w:r>
        <w:rPr>
          <w:rFonts w:hint="default" w:ascii="Times New Roman" w:hAnsi="Times New Roman" w:cs="Times New Roman"/>
          <w:color w:val="auto"/>
          <w:highlight w:val="none"/>
          <w:vertAlign w:val="baseline"/>
        </w:rPr>
        <w:t>表</w:t>
      </w:r>
      <w:r>
        <w:rPr>
          <w:rFonts w:hint="eastAsia" w:ascii="Times New Roman" w:hAnsi="Times New Roman" w:cs="Times New Roman"/>
          <w:color w:val="auto"/>
          <w:highlight w:val="none"/>
          <w:vertAlign w:val="baseline"/>
          <w:lang w:val="en-US" w:eastAsia="zh-CN"/>
        </w:rPr>
        <w:t>1</w:t>
      </w:r>
      <w:r>
        <w:rPr>
          <w:rFonts w:hint="default" w:ascii="Times New Roman" w:hAnsi="Times New Roman" w:cs="Times New Roman"/>
          <w:color w:val="auto"/>
          <w:highlight w:val="none"/>
          <w:vertAlign w:val="baseline"/>
        </w:rPr>
        <w:t>.3.1-1  环境空气质量标准限值</w:t>
      </w:r>
      <w:r>
        <w:rPr>
          <w:rFonts w:hint="eastAsia" w:cs="Times New Roman"/>
          <w:color w:val="auto"/>
          <w:highlight w:val="none"/>
          <w:vertAlign w:val="baseline"/>
          <w:lang w:val="en-US" w:eastAsia="zh-CN"/>
        </w:rPr>
        <w:t xml:space="preserve">   </w:t>
      </w:r>
      <w:r>
        <w:rPr>
          <w:rFonts w:hint="default" w:ascii="Times New Roman" w:hAnsi="Times New Roman" w:cs="Times New Roman"/>
          <w:color w:val="auto"/>
          <w:highlight w:val="none"/>
          <w:vertAlign w:val="baseline"/>
        </w:rPr>
        <w:t>单位</w:t>
      </w:r>
      <w:r>
        <w:rPr>
          <w:rFonts w:hint="eastAsia" w:cs="Times New Roman"/>
          <w:color w:val="auto"/>
          <w:highlight w:val="none"/>
          <w:vertAlign w:val="baseline"/>
          <w:lang w:eastAsia="zh-CN"/>
        </w:rPr>
        <w:t>：</w:t>
      </w:r>
      <w:r>
        <w:rPr>
          <w:rFonts w:hint="default" w:ascii="Times New Roman" w:hAnsi="Times New Roman" w:cs="Times New Roman"/>
          <w:color w:val="auto"/>
          <w:highlight w:val="none"/>
          <w:vertAlign w:val="baseline"/>
        </w:rPr>
        <w:t>μg/m</w:t>
      </w:r>
      <w:r>
        <w:rPr>
          <w:rFonts w:hint="default" w:ascii="Times New Roman" w:hAnsi="Times New Roman" w:cs="Times New Roman"/>
          <w:color w:val="auto"/>
          <w:highlight w:val="none"/>
          <w:vertAlign w:val="superscript"/>
        </w:rPr>
        <w:t>3</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
        <w:gridCol w:w="2144"/>
        <w:gridCol w:w="672"/>
        <w:gridCol w:w="777"/>
        <w:gridCol w:w="716"/>
        <w:gridCol w:w="1219"/>
        <w:gridCol w:w="688"/>
        <w:gridCol w:w="703"/>
        <w:gridCol w:w="7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50" w:type="pct"/>
            <w:gridSpan w:val="2"/>
            <w:vAlign w:val="center"/>
          </w:tcPr>
          <w:p>
            <w:pPr>
              <w:pStyle w:val="42"/>
              <w:bidi w:val="0"/>
              <w:jc w:val="center"/>
              <w:rPr>
                <w:rFonts w:hint="default"/>
                <w:b/>
                <w:bCs/>
                <w:color w:val="auto"/>
                <w:highlight w:val="none"/>
              </w:rPr>
            </w:pPr>
            <w:r>
              <w:rPr>
                <w:rFonts w:hint="eastAsia"/>
                <w:b/>
                <w:bCs/>
                <w:color w:val="auto"/>
                <w:highlight w:val="none"/>
                <w:lang w:eastAsia="zh-CN"/>
              </w:rPr>
              <w:t>污染物名称</w:t>
            </w:r>
          </w:p>
        </w:tc>
        <w:tc>
          <w:tcPr>
            <w:tcW w:w="431" w:type="pct"/>
            <w:vAlign w:val="center"/>
          </w:tcPr>
          <w:p>
            <w:pPr>
              <w:pStyle w:val="42"/>
              <w:bidi w:val="0"/>
              <w:jc w:val="center"/>
              <w:rPr>
                <w:rFonts w:hint="default" w:eastAsia="宋"/>
                <w:b/>
                <w:bCs/>
                <w:color w:val="auto"/>
                <w:highlight w:val="none"/>
                <w:lang w:val="en-US" w:eastAsia="zh-CN"/>
              </w:rPr>
            </w:pPr>
            <w:r>
              <w:rPr>
                <w:rFonts w:hint="eastAsia"/>
                <w:b/>
                <w:bCs/>
                <w:color w:val="auto"/>
                <w:highlight w:val="none"/>
                <w:lang w:val="en-US" w:eastAsia="zh-CN"/>
              </w:rPr>
              <w:t>TSP</w:t>
            </w:r>
          </w:p>
        </w:tc>
        <w:tc>
          <w:tcPr>
            <w:tcW w:w="493" w:type="pct"/>
            <w:vAlign w:val="center"/>
          </w:tcPr>
          <w:p>
            <w:pPr>
              <w:pStyle w:val="42"/>
              <w:bidi w:val="0"/>
              <w:jc w:val="center"/>
              <w:rPr>
                <w:rFonts w:hint="default"/>
                <w:b/>
                <w:bCs/>
                <w:color w:val="auto"/>
                <w:highlight w:val="none"/>
              </w:rPr>
            </w:pPr>
            <w:r>
              <w:rPr>
                <w:rFonts w:hint="default" w:ascii="Times New Roman" w:hAnsi="Times New Roman" w:cs="Times New Roman"/>
                <w:b/>
                <w:bCs/>
                <w:color w:val="auto"/>
                <w:highlight w:val="none"/>
              </w:rPr>
              <w:t>SO</w:t>
            </w:r>
            <w:r>
              <w:rPr>
                <w:rFonts w:hint="default" w:ascii="Times New Roman" w:hAnsi="Times New Roman" w:cs="Times New Roman"/>
                <w:b/>
                <w:bCs/>
                <w:color w:val="auto"/>
                <w:highlight w:val="none"/>
                <w:vertAlign w:val="subscript"/>
              </w:rPr>
              <w:t>2</w:t>
            </w:r>
          </w:p>
        </w:tc>
        <w:tc>
          <w:tcPr>
            <w:tcW w:w="457" w:type="pct"/>
            <w:vAlign w:val="center"/>
          </w:tcPr>
          <w:p>
            <w:pPr>
              <w:pStyle w:val="42"/>
              <w:bidi w:val="0"/>
              <w:jc w:val="center"/>
              <w:rPr>
                <w:rFonts w:hint="default"/>
                <w:b/>
                <w:bCs/>
                <w:color w:val="auto"/>
                <w:highlight w:val="none"/>
              </w:rPr>
            </w:pPr>
            <w:r>
              <w:rPr>
                <w:rFonts w:hint="default" w:ascii="Times New Roman" w:hAnsi="Times New Roman" w:cs="Times New Roman"/>
                <w:b/>
                <w:bCs/>
                <w:color w:val="auto"/>
                <w:highlight w:val="none"/>
              </w:rPr>
              <w:t>NO</w:t>
            </w:r>
            <w:r>
              <w:rPr>
                <w:rFonts w:hint="default" w:ascii="Times New Roman" w:hAnsi="Times New Roman" w:cs="Times New Roman"/>
                <w:b/>
                <w:bCs/>
                <w:color w:val="auto"/>
                <w:highlight w:val="none"/>
                <w:vertAlign w:val="subscript"/>
              </w:rPr>
              <w:t>2</w:t>
            </w:r>
          </w:p>
        </w:tc>
        <w:tc>
          <w:tcPr>
            <w:tcW w:w="457" w:type="pct"/>
            <w:vAlign w:val="center"/>
          </w:tcPr>
          <w:p>
            <w:pPr>
              <w:pStyle w:val="42"/>
              <w:bidi w:val="0"/>
              <w:jc w:val="center"/>
              <w:rPr>
                <w:rFonts w:hint="eastAsia" w:eastAsia="宋"/>
                <w:b/>
                <w:bCs/>
                <w:color w:val="auto"/>
                <w:highlight w:val="none"/>
                <w:lang w:eastAsia="zh-CN"/>
              </w:rPr>
            </w:pPr>
            <w:r>
              <w:rPr>
                <w:rFonts w:hint="default" w:ascii="Times New Roman" w:hAnsi="Times New Roman" w:cs="Times New Roman"/>
                <w:b/>
                <w:bCs/>
                <w:color w:val="auto"/>
                <w:highlight w:val="none"/>
              </w:rPr>
              <w:t>CO</w:t>
            </w:r>
            <w:r>
              <w:rPr>
                <w:rFonts w:hint="eastAsia" w:cs="Times New Roman"/>
                <w:b/>
                <w:bCs/>
                <w:color w:val="auto"/>
                <w:highlight w:val="none"/>
                <w:lang w:eastAsia="zh-CN"/>
              </w:rPr>
              <w:t>（</w:t>
            </w:r>
            <w:r>
              <w:rPr>
                <w:rFonts w:hint="default" w:ascii="Times New Roman" w:hAnsi="Times New Roman" w:cs="Times New Roman"/>
                <w:b/>
                <w:bCs/>
                <w:color w:val="auto"/>
                <w:highlight w:val="none"/>
              </w:rPr>
              <w:t>mg/m</w:t>
            </w:r>
            <w:r>
              <w:rPr>
                <w:rFonts w:hint="default" w:ascii="Times New Roman" w:hAnsi="Times New Roman" w:cs="Times New Roman"/>
                <w:b/>
                <w:bCs/>
                <w:color w:val="auto"/>
                <w:highlight w:val="none"/>
                <w:vertAlign w:val="superscript"/>
              </w:rPr>
              <w:t>3</w:t>
            </w:r>
            <w:r>
              <w:rPr>
                <w:rFonts w:hint="eastAsia" w:cs="Times New Roman"/>
                <w:b/>
                <w:bCs/>
                <w:color w:val="auto"/>
                <w:highlight w:val="none"/>
                <w:lang w:eastAsia="zh-CN"/>
              </w:rPr>
              <w:t>）</w:t>
            </w:r>
          </w:p>
        </w:tc>
        <w:tc>
          <w:tcPr>
            <w:tcW w:w="440" w:type="pct"/>
            <w:vAlign w:val="center"/>
          </w:tcPr>
          <w:p>
            <w:pPr>
              <w:pStyle w:val="42"/>
              <w:bidi w:val="0"/>
              <w:jc w:val="center"/>
              <w:rPr>
                <w:rFonts w:hint="default"/>
                <w:b/>
                <w:bCs/>
                <w:color w:val="auto"/>
                <w:highlight w:val="none"/>
              </w:rPr>
            </w:pPr>
            <w:r>
              <w:rPr>
                <w:rFonts w:hint="default" w:ascii="Times New Roman" w:hAnsi="Times New Roman" w:cs="Times New Roman"/>
                <w:b/>
                <w:bCs/>
                <w:color w:val="auto"/>
                <w:highlight w:val="none"/>
              </w:rPr>
              <w:t>O</w:t>
            </w:r>
            <w:r>
              <w:rPr>
                <w:rFonts w:hint="default" w:ascii="Times New Roman" w:hAnsi="Times New Roman" w:cs="Times New Roman"/>
                <w:b/>
                <w:bCs/>
                <w:color w:val="auto"/>
                <w:highlight w:val="none"/>
                <w:vertAlign w:val="subscript"/>
              </w:rPr>
              <w:t>3</w:t>
            </w:r>
          </w:p>
        </w:tc>
        <w:tc>
          <w:tcPr>
            <w:tcW w:w="449" w:type="pct"/>
            <w:vAlign w:val="center"/>
          </w:tcPr>
          <w:p>
            <w:pPr>
              <w:pStyle w:val="42"/>
              <w:bidi w:val="0"/>
              <w:jc w:val="center"/>
              <w:rPr>
                <w:rFonts w:hint="default"/>
                <w:b/>
                <w:bCs/>
                <w:color w:val="auto"/>
                <w:highlight w:val="none"/>
              </w:rPr>
            </w:pPr>
            <w:r>
              <w:rPr>
                <w:rFonts w:hint="default" w:ascii="Times New Roman" w:hAnsi="Times New Roman" w:cs="Times New Roman"/>
                <w:b/>
                <w:bCs/>
                <w:color w:val="auto"/>
                <w:highlight w:val="none"/>
              </w:rPr>
              <w:t>PM</w:t>
            </w:r>
            <w:r>
              <w:rPr>
                <w:rFonts w:hint="default" w:ascii="Times New Roman" w:hAnsi="Times New Roman" w:cs="Times New Roman"/>
                <w:b/>
                <w:bCs/>
                <w:color w:val="auto"/>
                <w:highlight w:val="none"/>
                <w:vertAlign w:val="subscript"/>
              </w:rPr>
              <w:t>10</w:t>
            </w:r>
          </w:p>
        </w:tc>
        <w:tc>
          <w:tcPr>
            <w:tcW w:w="419" w:type="pct"/>
            <w:vAlign w:val="center"/>
          </w:tcPr>
          <w:p>
            <w:pPr>
              <w:pStyle w:val="42"/>
              <w:bidi w:val="0"/>
              <w:jc w:val="center"/>
              <w:rPr>
                <w:rFonts w:hint="default"/>
                <w:b/>
                <w:bCs/>
                <w:color w:val="auto"/>
                <w:highlight w:val="none"/>
              </w:rPr>
            </w:pPr>
            <w:r>
              <w:rPr>
                <w:rFonts w:hint="default" w:ascii="Times New Roman" w:hAnsi="Times New Roman" w:cs="Times New Roman"/>
                <w:b/>
                <w:bCs/>
                <w:color w:val="auto"/>
                <w:highlight w:val="none"/>
              </w:rPr>
              <w:t>PM</w:t>
            </w:r>
            <w:r>
              <w:rPr>
                <w:rFonts w:hint="default" w:ascii="Times New Roman" w:hAnsi="Times New Roman" w:cs="Times New Roman"/>
                <w:b/>
                <w:bCs/>
                <w:color w:val="auto"/>
                <w:highlight w:val="none"/>
                <w:vertAlign w:val="subscript"/>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Merge w:val="restart"/>
            <w:vAlign w:val="center"/>
          </w:tcPr>
          <w:p>
            <w:pPr>
              <w:pStyle w:val="42"/>
              <w:bidi w:val="0"/>
              <w:jc w:val="center"/>
              <w:rPr>
                <w:rFonts w:hint="default"/>
                <w:color w:val="auto"/>
                <w:highlight w:val="none"/>
              </w:rPr>
            </w:pPr>
            <w:r>
              <w:rPr>
                <w:rFonts w:hint="default"/>
                <w:color w:val="auto"/>
                <w:highlight w:val="none"/>
              </w:rPr>
              <w:t>一级标</w:t>
            </w:r>
          </w:p>
          <w:p>
            <w:pPr>
              <w:pStyle w:val="42"/>
              <w:bidi w:val="0"/>
              <w:jc w:val="center"/>
              <w:rPr>
                <w:rFonts w:hint="default"/>
                <w:color w:val="auto"/>
                <w:highlight w:val="none"/>
              </w:rPr>
            </w:pPr>
            <w:r>
              <w:rPr>
                <w:rFonts w:hint="default"/>
                <w:color w:val="auto"/>
                <w:highlight w:val="none"/>
              </w:rPr>
              <w:t>准浓度</w:t>
            </w:r>
          </w:p>
          <w:p>
            <w:pPr>
              <w:pStyle w:val="42"/>
              <w:bidi w:val="0"/>
              <w:jc w:val="center"/>
              <w:rPr>
                <w:rFonts w:hint="default"/>
                <w:color w:val="auto"/>
                <w:highlight w:val="none"/>
              </w:rPr>
            </w:pPr>
            <w:r>
              <w:rPr>
                <w:rFonts w:hint="default"/>
                <w:color w:val="auto"/>
                <w:highlight w:val="none"/>
              </w:rPr>
              <w:t>限值</w:t>
            </w:r>
          </w:p>
        </w:tc>
        <w:tc>
          <w:tcPr>
            <w:tcW w:w="1295" w:type="pct"/>
            <w:vAlign w:val="center"/>
          </w:tcPr>
          <w:p>
            <w:pPr>
              <w:pStyle w:val="42"/>
              <w:jc w:val="center"/>
              <w:rPr>
                <w:rFonts w:hint="default" w:ascii="Times New Roman" w:hAnsi="Times New Roman" w:eastAsia="宋" w:cs="Times New Roman"/>
                <w:color w:val="auto"/>
                <w:kern w:val="0"/>
                <w:sz w:val="21"/>
                <w:szCs w:val="21"/>
                <w:highlight w:val="none"/>
                <w:lang w:val="en-US" w:eastAsia="zh-CN" w:bidi="ar-SA"/>
              </w:rPr>
            </w:pPr>
            <w:r>
              <w:rPr>
                <w:rFonts w:hint="default" w:ascii="Times New Roman" w:hAnsi="Times New Roman" w:cs="Times New Roman"/>
                <w:color w:val="auto"/>
                <w:highlight w:val="none"/>
              </w:rPr>
              <w:t>年平均</w:t>
            </w:r>
          </w:p>
        </w:tc>
        <w:tc>
          <w:tcPr>
            <w:tcW w:w="431"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80</w:t>
            </w:r>
          </w:p>
        </w:tc>
        <w:tc>
          <w:tcPr>
            <w:tcW w:w="493"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20</w:t>
            </w:r>
          </w:p>
        </w:tc>
        <w:tc>
          <w:tcPr>
            <w:tcW w:w="457"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40</w:t>
            </w:r>
          </w:p>
        </w:tc>
        <w:tc>
          <w:tcPr>
            <w:tcW w:w="457" w:type="pct"/>
            <w:vAlign w:val="center"/>
          </w:tcPr>
          <w:p>
            <w:pPr>
              <w:pStyle w:val="42"/>
              <w:bidi w:val="0"/>
              <w:jc w:val="center"/>
              <w:rPr>
                <w:rFonts w:hint="eastAsia" w:eastAsia="宋"/>
                <w:color w:val="auto"/>
                <w:highlight w:val="none"/>
                <w:lang w:val="en-US" w:eastAsia="zh-CN"/>
              </w:rPr>
            </w:pPr>
            <w:r>
              <w:rPr>
                <w:rFonts w:hint="eastAsia"/>
                <w:color w:val="auto"/>
                <w:highlight w:val="none"/>
                <w:lang w:val="en-US" w:eastAsia="zh-CN"/>
              </w:rPr>
              <w:t>/</w:t>
            </w:r>
          </w:p>
        </w:tc>
        <w:tc>
          <w:tcPr>
            <w:tcW w:w="440" w:type="pct"/>
            <w:vAlign w:val="center"/>
          </w:tcPr>
          <w:p>
            <w:pPr>
              <w:pStyle w:val="42"/>
              <w:bidi w:val="0"/>
              <w:jc w:val="center"/>
              <w:rPr>
                <w:rFonts w:hint="eastAsia" w:eastAsia="宋"/>
                <w:color w:val="auto"/>
                <w:highlight w:val="none"/>
                <w:lang w:val="en-US" w:eastAsia="zh-CN"/>
              </w:rPr>
            </w:pPr>
            <w:r>
              <w:rPr>
                <w:rFonts w:hint="eastAsia"/>
                <w:color w:val="auto"/>
                <w:highlight w:val="none"/>
                <w:lang w:val="en-US" w:eastAsia="zh-CN"/>
              </w:rPr>
              <w:t>/</w:t>
            </w:r>
          </w:p>
        </w:tc>
        <w:tc>
          <w:tcPr>
            <w:tcW w:w="449"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40</w:t>
            </w:r>
          </w:p>
        </w:tc>
        <w:tc>
          <w:tcPr>
            <w:tcW w:w="419"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pPr>
              <w:pStyle w:val="42"/>
              <w:bidi w:val="0"/>
              <w:jc w:val="center"/>
              <w:rPr>
                <w:rFonts w:hint="default"/>
                <w:color w:val="auto"/>
                <w:highlight w:val="none"/>
              </w:rPr>
            </w:pPr>
          </w:p>
        </w:tc>
        <w:tc>
          <w:tcPr>
            <w:tcW w:w="1295" w:type="pct"/>
            <w:vAlign w:val="center"/>
          </w:tcPr>
          <w:p>
            <w:pPr>
              <w:pStyle w:val="42"/>
              <w:jc w:val="center"/>
              <w:rPr>
                <w:rFonts w:hint="eastAsia" w:ascii="Times New Roman" w:hAnsi="Times New Roman" w:cs="Times New Roman"/>
                <w:color w:val="auto"/>
                <w:highlight w:val="none"/>
                <w:lang w:eastAsia="zh-CN"/>
              </w:rPr>
            </w:pPr>
            <w:r>
              <w:rPr>
                <w:rFonts w:hint="default" w:ascii="Times New Roman" w:hAnsi="Times New Roman" w:cs="Times New Roman"/>
                <w:color w:val="auto"/>
                <w:highlight w:val="none"/>
              </w:rPr>
              <w:t>24小时平均</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O</w:t>
            </w:r>
            <w:r>
              <w:rPr>
                <w:rFonts w:hint="default" w:ascii="Times New Roman" w:hAnsi="Times New Roman" w:cs="Times New Roman"/>
                <w:color w:val="auto"/>
                <w:highlight w:val="none"/>
                <w:vertAlign w:val="subscript"/>
              </w:rPr>
              <w:t>3</w:t>
            </w:r>
            <w:r>
              <w:rPr>
                <w:rFonts w:hint="eastAsia" w:ascii="Times New Roman" w:hAnsi="Times New Roman" w:cs="Times New Roman"/>
                <w:color w:val="auto"/>
                <w:highlight w:val="none"/>
                <w:lang w:eastAsia="zh-CN"/>
              </w:rPr>
              <w:t>为</w:t>
            </w:r>
          </w:p>
          <w:p>
            <w:pPr>
              <w:pStyle w:val="42"/>
              <w:jc w:val="center"/>
              <w:rPr>
                <w:rFonts w:hint="eastAsia" w:ascii="Times New Roman" w:hAnsi="Times New Roman" w:eastAsia="宋" w:cs="Times New Roman"/>
                <w:color w:val="auto"/>
                <w:kern w:val="0"/>
                <w:sz w:val="21"/>
                <w:szCs w:val="21"/>
                <w:highlight w:val="none"/>
                <w:lang w:val="en-US" w:eastAsia="zh-CN" w:bidi="ar-SA"/>
              </w:rPr>
            </w:pPr>
            <w:r>
              <w:rPr>
                <w:rFonts w:hint="eastAsia" w:ascii="Times New Roman" w:hAnsi="Times New Roman" w:cs="Times New Roman"/>
                <w:color w:val="auto"/>
                <w:highlight w:val="none"/>
                <w:lang w:eastAsia="zh-CN"/>
              </w:rPr>
              <w:t>日最大8小时平均）</w:t>
            </w:r>
          </w:p>
        </w:tc>
        <w:tc>
          <w:tcPr>
            <w:tcW w:w="431"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120</w:t>
            </w:r>
          </w:p>
        </w:tc>
        <w:tc>
          <w:tcPr>
            <w:tcW w:w="493"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50</w:t>
            </w:r>
          </w:p>
        </w:tc>
        <w:tc>
          <w:tcPr>
            <w:tcW w:w="457"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80</w:t>
            </w:r>
          </w:p>
        </w:tc>
        <w:tc>
          <w:tcPr>
            <w:tcW w:w="457" w:type="pct"/>
            <w:vAlign w:val="center"/>
          </w:tcPr>
          <w:p>
            <w:pPr>
              <w:pStyle w:val="42"/>
              <w:bidi w:val="0"/>
              <w:jc w:val="center"/>
              <w:rPr>
                <w:rFonts w:hint="eastAsia" w:eastAsia="宋"/>
                <w:color w:val="auto"/>
                <w:highlight w:val="none"/>
                <w:lang w:val="en-US" w:eastAsia="zh-CN"/>
              </w:rPr>
            </w:pPr>
            <w:r>
              <w:rPr>
                <w:rFonts w:hint="eastAsia"/>
                <w:color w:val="auto"/>
                <w:highlight w:val="none"/>
                <w:lang w:val="en-US" w:eastAsia="zh-CN"/>
              </w:rPr>
              <w:t>4</w:t>
            </w:r>
          </w:p>
        </w:tc>
        <w:tc>
          <w:tcPr>
            <w:tcW w:w="440"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100</w:t>
            </w:r>
          </w:p>
        </w:tc>
        <w:tc>
          <w:tcPr>
            <w:tcW w:w="449"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50</w:t>
            </w:r>
          </w:p>
        </w:tc>
        <w:tc>
          <w:tcPr>
            <w:tcW w:w="419"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pPr>
              <w:pStyle w:val="42"/>
              <w:bidi w:val="0"/>
              <w:jc w:val="center"/>
              <w:rPr>
                <w:rFonts w:hint="default"/>
                <w:color w:val="auto"/>
                <w:highlight w:val="none"/>
              </w:rPr>
            </w:pPr>
          </w:p>
        </w:tc>
        <w:tc>
          <w:tcPr>
            <w:tcW w:w="1295" w:type="pct"/>
            <w:vAlign w:val="center"/>
          </w:tcPr>
          <w:p>
            <w:pPr>
              <w:pStyle w:val="42"/>
              <w:jc w:val="center"/>
              <w:rPr>
                <w:rFonts w:hint="default" w:ascii="Times New Roman" w:hAnsi="Times New Roman" w:eastAsia="宋" w:cs="Times New Roman"/>
                <w:color w:val="auto"/>
                <w:kern w:val="0"/>
                <w:sz w:val="21"/>
                <w:szCs w:val="21"/>
                <w:highlight w:val="none"/>
                <w:lang w:val="en-US" w:eastAsia="zh-CN" w:bidi="ar-SA"/>
              </w:rPr>
            </w:pPr>
            <w:r>
              <w:rPr>
                <w:rFonts w:hint="default" w:ascii="Times New Roman" w:hAnsi="Times New Roman" w:cs="Times New Roman"/>
                <w:color w:val="auto"/>
                <w:highlight w:val="none"/>
              </w:rPr>
              <w:t>1小时平均</w:t>
            </w:r>
          </w:p>
        </w:tc>
        <w:tc>
          <w:tcPr>
            <w:tcW w:w="431" w:type="pct"/>
            <w:vAlign w:val="center"/>
          </w:tcPr>
          <w:p>
            <w:pPr>
              <w:pStyle w:val="42"/>
              <w:bidi w:val="0"/>
              <w:jc w:val="center"/>
              <w:rPr>
                <w:rFonts w:hint="eastAsia" w:eastAsia="宋"/>
                <w:color w:val="auto"/>
                <w:highlight w:val="none"/>
                <w:lang w:val="en-US" w:eastAsia="zh-CN"/>
              </w:rPr>
            </w:pPr>
            <w:r>
              <w:rPr>
                <w:rFonts w:hint="eastAsia"/>
                <w:color w:val="auto"/>
                <w:highlight w:val="none"/>
                <w:lang w:val="en-US" w:eastAsia="zh-CN"/>
              </w:rPr>
              <w:t>/</w:t>
            </w:r>
          </w:p>
        </w:tc>
        <w:tc>
          <w:tcPr>
            <w:tcW w:w="493"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150</w:t>
            </w:r>
          </w:p>
        </w:tc>
        <w:tc>
          <w:tcPr>
            <w:tcW w:w="457"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200</w:t>
            </w:r>
          </w:p>
        </w:tc>
        <w:tc>
          <w:tcPr>
            <w:tcW w:w="457"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10</w:t>
            </w:r>
          </w:p>
        </w:tc>
        <w:tc>
          <w:tcPr>
            <w:tcW w:w="440"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160</w:t>
            </w:r>
          </w:p>
        </w:tc>
        <w:tc>
          <w:tcPr>
            <w:tcW w:w="449" w:type="pct"/>
            <w:vAlign w:val="center"/>
          </w:tcPr>
          <w:p>
            <w:pPr>
              <w:pStyle w:val="42"/>
              <w:bidi w:val="0"/>
              <w:jc w:val="center"/>
              <w:rPr>
                <w:rFonts w:hint="eastAsia" w:eastAsia="宋"/>
                <w:color w:val="auto"/>
                <w:highlight w:val="none"/>
                <w:lang w:val="en-US" w:eastAsia="zh-CN"/>
              </w:rPr>
            </w:pPr>
            <w:r>
              <w:rPr>
                <w:rFonts w:hint="eastAsia"/>
                <w:color w:val="auto"/>
                <w:highlight w:val="none"/>
                <w:lang w:val="en-US" w:eastAsia="zh-CN"/>
              </w:rPr>
              <w:t>/</w:t>
            </w:r>
          </w:p>
        </w:tc>
        <w:tc>
          <w:tcPr>
            <w:tcW w:w="419" w:type="pct"/>
            <w:vAlign w:val="center"/>
          </w:tcPr>
          <w:p>
            <w:pPr>
              <w:pStyle w:val="42"/>
              <w:bidi w:val="0"/>
              <w:jc w:val="center"/>
              <w:rPr>
                <w:rFonts w:hint="eastAsia" w:eastAsia="宋"/>
                <w:color w:val="auto"/>
                <w:highlight w:val="none"/>
                <w:lang w:val="en-US" w:eastAsia="zh-CN"/>
              </w:rPr>
            </w:pPr>
            <w:r>
              <w:rPr>
                <w:rFonts w:hint="eastAsia"/>
                <w:color w:val="auto"/>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Merge w:val="restart"/>
            <w:vAlign w:val="center"/>
          </w:tcPr>
          <w:p>
            <w:pPr>
              <w:pStyle w:val="42"/>
              <w:bidi w:val="0"/>
              <w:jc w:val="center"/>
              <w:rPr>
                <w:rFonts w:hint="default"/>
                <w:color w:val="auto"/>
                <w:highlight w:val="none"/>
              </w:rPr>
            </w:pPr>
            <w:r>
              <w:rPr>
                <w:rFonts w:hint="default"/>
                <w:color w:val="auto"/>
                <w:highlight w:val="none"/>
              </w:rPr>
              <w:t>二级标</w:t>
            </w:r>
          </w:p>
          <w:p>
            <w:pPr>
              <w:pStyle w:val="42"/>
              <w:bidi w:val="0"/>
              <w:jc w:val="center"/>
              <w:rPr>
                <w:rFonts w:hint="default"/>
                <w:color w:val="auto"/>
                <w:highlight w:val="none"/>
              </w:rPr>
            </w:pPr>
            <w:r>
              <w:rPr>
                <w:rFonts w:hint="default"/>
                <w:color w:val="auto"/>
                <w:highlight w:val="none"/>
              </w:rPr>
              <w:t>准</w:t>
            </w:r>
          </w:p>
          <w:p>
            <w:pPr>
              <w:pStyle w:val="42"/>
              <w:bidi w:val="0"/>
              <w:jc w:val="center"/>
              <w:rPr>
                <w:rFonts w:hint="default"/>
                <w:color w:val="auto"/>
                <w:highlight w:val="none"/>
              </w:rPr>
            </w:pPr>
            <w:r>
              <w:rPr>
                <w:rFonts w:hint="default"/>
                <w:color w:val="auto"/>
                <w:highlight w:val="none"/>
              </w:rPr>
              <w:t>浓度限</w:t>
            </w:r>
          </w:p>
          <w:p>
            <w:pPr>
              <w:pStyle w:val="42"/>
              <w:bidi w:val="0"/>
              <w:jc w:val="center"/>
              <w:rPr>
                <w:rFonts w:hint="default"/>
                <w:color w:val="auto"/>
                <w:highlight w:val="none"/>
              </w:rPr>
            </w:pPr>
            <w:r>
              <w:rPr>
                <w:rFonts w:hint="default"/>
                <w:color w:val="auto"/>
                <w:highlight w:val="none"/>
              </w:rPr>
              <w:t>值</w:t>
            </w:r>
          </w:p>
        </w:tc>
        <w:tc>
          <w:tcPr>
            <w:tcW w:w="1295"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年平均</w:t>
            </w:r>
          </w:p>
        </w:tc>
        <w:tc>
          <w:tcPr>
            <w:tcW w:w="431"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200</w:t>
            </w:r>
          </w:p>
        </w:tc>
        <w:tc>
          <w:tcPr>
            <w:tcW w:w="493"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60</w:t>
            </w:r>
          </w:p>
        </w:tc>
        <w:tc>
          <w:tcPr>
            <w:tcW w:w="457"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40</w:t>
            </w:r>
          </w:p>
        </w:tc>
        <w:tc>
          <w:tcPr>
            <w:tcW w:w="457" w:type="pct"/>
            <w:vAlign w:val="center"/>
          </w:tcPr>
          <w:p>
            <w:pPr>
              <w:pStyle w:val="42"/>
              <w:bidi w:val="0"/>
              <w:jc w:val="center"/>
              <w:rPr>
                <w:rFonts w:hint="eastAsia" w:eastAsia="宋"/>
                <w:color w:val="auto"/>
                <w:highlight w:val="none"/>
                <w:lang w:val="en-US" w:eastAsia="zh-CN"/>
              </w:rPr>
            </w:pPr>
            <w:r>
              <w:rPr>
                <w:rFonts w:hint="eastAsia"/>
                <w:color w:val="auto"/>
                <w:highlight w:val="none"/>
                <w:lang w:val="en-US" w:eastAsia="zh-CN"/>
              </w:rPr>
              <w:t>/</w:t>
            </w:r>
          </w:p>
        </w:tc>
        <w:tc>
          <w:tcPr>
            <w:tcW w:w="440" w:type="pct"/>
            <w:vAlign w:val="center"/>
          </w:tcPr>
          <w:p>
            <w:pPr>
              <w:pStyle w:val="42"/>
              <w:bidi w:val="0"/>
              <w:jc w:val="center"/>
              <w:rPr>
                <w:rFonts w:hint="eastAsia" w:eastAsia="宋"/>
                <w:color w:val="auto"/>
                <w:highlight w:val="none"/>
                <w:lang w:val="en-US" w:eastAsia="zh-CN"/>
              </w:rPr>
            </w:pPr>
            <w:r>
              <w:rPr>
                <w:rFonts w:hint="eastAsia"/>
                <w:color w:val="auto"/>
                <w:highlight w:val="none"/>
                <w:lang w:val="en-US" w:eastAsia="zh-CN"/>
              </w:rPr>
              <w:t>/</w:t>
            </w:r>
          </w:p>
        </w:tc>
        <w:tc>
          <w:tcPr>
            <w:tcW w:w="449"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70</w:t>
            </w:r>
          </w:p>
        </w:tc>
        <w:tc>
          <w:tcPr>
            <w:tcW w:w="419"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pPr>
              <w:pStyle w:val="42"/>
              <w:bidi w:val="0"/>
              <w:jc w:val="center"/>
              <w:rPr>
                <w:rFonts w:hint="default"/>
                <w:color w:val="auto"/>
                <w:highlight w:val="none"/>
              </w:rPr>
            </w:pPr>
          </w:p>
        </w:tc>
        <w:tc>
          <w:tcPr>
            <w:tcW w:w="1295" w:type="pct"/>
            <w:vAlign w:val="center"/>
          </w:tcPr>
          <w:p>
            <w:pPr>
              <w:pStyle w:val="42"/>
              <w:bidi w:val="0"/>
              <w:jc w:val="center"/>
              <w:rPr>
                <w:rFonts w:hint="default"/>
                <w:color w:val="auto"/>
                <w:highlight w:val="none"/>
              </w:rPr>
            </w:pPr>
            <w:r>
              <w:rPr>
                <w:rFonts w:hint="default"/>
                <w:color w:val="auto"/>
                <w:highlight w:val="none"/>
              </w:rPr>
              <w:t>日平均（O</w:t>
            </w:r>
            <w:r>
              <w:rPr>
                <w:rFonts w:hint="default"/>
                <w:color w:val="auto"/>
                <w:highlight w:val="none"/>
                <w:vertAlign w:val="subscript"/>
              </w:rPr>
              <w:t>3</w:t>
            </w:r>
            <w:r>
              <w:rPr>
                <w:rFonts w:hint="default"/>
                <w:color w:val="auto"/>
                <w:highlight w:val="none"/>
              </w:rPr>
              <w:t>为日最大</w:t>
            </w:r>
          </w:p>
          <w:p>
            <w:pPr>
              <w:pStyle w:val="42"/>
              <w:bidi w:val="0"/>
              <w:jc w:val="center"/>
              <w:rPr>
                <w:rFonts w:hint="default"/>
                <w:color w:val="auto"/>
                <w:highlight w:val="none"/>
              </w:rPr>
            </w:pPr>
            <w:r>
              <w:rPr>
                <w:rFonts w:hint="default"/>
                <w:color w:val="auto"/>
                <w:highlight w:val="none"/>
              </w:rPr>
              <w:t>8小时平均）</w:t>
            </w:r>
          </w:p>
        </w:tc>
        <w:tc>
          <w:tcPr>
            <w:tcW w:w="431"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300</w:t>
            </w:r>
          </w:p>
        </w:tc>
        <w:tc>
          <w:tcPr>
            <w:tcW w:w="493"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150</w:t>
            </w:r>
          </w:p>
        </w:tc>
        <w:tc>
          <w:tcPr>
            <w:tcW w:w="457"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80</w:t>
            </w:r>
          </w:p>
        </w:tc>
        <w:tc>
          <w:tcPr>
            <w:tcW w:w="457"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4000</w:t>
            </w:r>
          </w:p>
        </w:tc>
        <w:tc>
          <w:tcPr>
            <w:tcW w:w="440"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160</w:t>
            </w:r>
          </w:p>
        </w:tc>
        <w:tc>
          <w:tcPr>
            <w:tcW w:w="449"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150</w:t>
            </w:r>
          </w:p>
        </w:tc>
        <w:tc>
          <w:tcPr>
            <w:tcW w:w="419"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 w:type="pct"/>
            <w:vMerge w:val="continue"/>
            <w:vAlign w:val="center"/>
          </w:tcPr>
          <w:p>
            <w:pPr>
              <w:pStyle w:val="42"/>
              <w:bidi w:val="0"/>
              <w:jc w:val="center"/>
              <w:rPr>
                <w:rFonts w:hint="default"/>
                <w:color w:val="auto"/>
                <w:highlight w:val="none"/>
              </w:rPr>
            </w:pPr>
          </w:p>
        </w:tc>
        <w:tc>
          <w:tcPr>
            <w:tcW w:w="1295" w:type="pct"/>
            <w:vAlign w:val="center"/>
          </w:tcPr>
          <w:p>
            <w:pPr>
              <w:pStyle w:val="42"/>
              <w:bidi w:val="0"/>
              <w:jc w:val="center"/>
              <w:rPr>
                <w:rFonts w:hint="default"/>
                <w:color w:val="auto"/>
                <w:highlight w:val="none"/>
              </w:rPr>
            </w:pPr>
            <w:r>
              <w:rPr>
                <w:rFonts w:hint="eastAsia"/>
                <w:color w:val="auto"/>
                <w:highlight w:val="none"/>
                <w:lang w:val="en-US" w:eastAsia="zh-CN"/>
              </w:rPr>
              <w:t>1</w:t>
            </w:r>
            <w:r>
              <w:rPr>
                <w:rFonts w:hint="default"/>
                <w:color w:val="auto"/>
                <w:highlight w:val="none"/>
              </w:rPr>
              <w:t>小时平均</w:t>
            </w:r>
          </w:p>
        </w:tc>
        <w:tc>
          <w:tcPr>
            <w:tcW w:w="431"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w:t>
            </w:r>
          </w:p>
        </w:tc>
        <w:tc>
          <w:tcPr>
            <w:tcW w:w="493"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500</w:t>
            </w:r>
          </w:p>
        </w:tc>
        <w:tc>
          <w:tcPr>
            <w:tcW w:w="457"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200</w:t>
            </w:r>
          </w:p>
        </w:tc>
        <w:tc>
          <w:tcPr>
            <w:tcW w:w="457"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10000</w:t>
            </w:r>
          </w:p>
        </w:tc>
        <w:tc>
          <w:tcPr>
            <w:tcW w:w="440" w:type="pct"/>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200</w:t>
            </w:r>
          </w:p>
        </w:tc>
        <w:tc>
          <w:tcPr>
            <w:tcW w:w="449" w:type="pct"/>
            <w:vAlign w:val="center"/>
          </w:tcPr>
          <w:p>
            <w:pPr>
              <w:pStyle w:val="42"/>
              <w:bidi w:val="0"/>
              <w:jc w:val="center"/>
              <w:rPr>
                <w:rFonts w:hint="eastAsia" w:eastAsia="宋"/>
                <w:color w:val="auto"/>
                <w:highlight w:val="none"/>
                <w:lang w:val="en-US" w:eastAsia="zh-CN"/>
              </w:rPr>
            </w:pPr>
            <w:r>
              <w:rPr>
                <w:rFonts w:hint="eastAsia"/>
                <w:color w:val="auto"/>
                <w:highlight w:val="none"/>
                <w:lang w:val="en-US" w:eastAsia="zh-CN"/>
              </w:rPr>
              <w:t>/</w:t>
            </w:r>
          </w:p>
        </w:tc>
        <w:tc>
          <w:tcPr>
            <w:tcW w:w="419" w:type="pct"/>
            <w:vAlign w:val="center"/>
          </w:tcPr>
          <w:p>
            <w:pPr>
              <w:pStyle w:val="42"/>
              <w:bidi w:val="0"/>
              <w:jc w:val="center"/>
              <w:rPr>
                <w:rFonts w:hint="eastAsia" w:eastAsia="宋"/>
                <w:color w:val="auto"/>
                <w:highlight w:val="none"/>
                <w:lang w:val="en-US" w:eastAsia="zh-CN"/>
              </w:rPr>
            </w:pPr>
            <w:r>
              <w:rPr>
                <w:rFonts w:hint="eastAsia"/>
                <w:color w:val="auto"/>
                <w:highlight w:val="none"/>
                <w:lang w:val="en-US" w:eastAsia="zh-CN"/>
              </w:rPr>
              <w:t>/</w:t>
            </w:r>
          </w:p>
        </w:tc>
      </w:tr>
    </w:tbl>
    <w:p>
      <w:pPr>
        <w:pStyle w:val="5"/>
        <w:numPr>
          <w:ilvl w:val="3"/>
          <w:numId w:val="0"/>
        </w:numPr>
        <w:tabs>
          <w:tab w:val="clear" w:pos="420"/>
        </w:tabs>
        <w:bidi w:val="0"/>
        <w:ind w:leftChars="0"/>
        <w:rPr>
          <w:rFonts w:hint="default"/>
          <w:color w:val="auto"/>
        </w:rPr>
      </w:pPr>
      <w:r>
        <w:rPr>
          <w:rFonts w:hint="default"/>
          <w:color w:val="auto"/>
          <w:lang w:val="en-US" w:eastAsia="zh-CN"/>
        </w:rPr>
        <w:t>1.3.1.2</w:t>
      </w:r>
      <w:r>
        <w:rPr>
          <w:rFonts w:hint="default"/>
          <w:color w:val="auto"/>
        </w:rPr>
        <w:t>地表水环境质量标准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本项目涉及地表水分为受水区</w:t>
      </w:r>
      <w:r>
        <w:rPr>
          <w:rFonts w:hint="eastAsia" w:cs="Times New Roman"/>
          <w:color w:val="auto"/>
          <w:highlight w:val="none"/>
          <w:lang w:val="en-US" w:eastAsia="zh-CN"/>
        </w:rPr>
        <w:t>的水库</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输水线路及退水区</w:t>
      </w:r>
      <w:r>
        <w:rPr>
          <w:rFonts w:hint="eastAsia" w:cs="Times New Roman"/>
          <w:color w:val="auto"/>
          <w:highlight w:val="none"/>
          <w:lang w:val="en-US" w:eastAsia="zh-CN"/>
        </w:rPr>
        <w:t>的河流</w:t>
      </w:r>
      <w:r>
        <w:rPr>
          <w:rFonts w:hint="default" w:ascii="Times New Roman" w:hAnsi="Times New Roman" w:cs="Times New Roman"/>
          <w:color w:val="auto"/>
          <w:highlight w:val="none"/>
          <w:lang w:val="en-US" w:eastAsia="zh-CN"/>
        </w:rPr>
        <w:t>。</w:t>
      </w:r>
    </w:p>
    <w:p>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eastAsia" w:ascii="Times New Roman" w:hAnsi="Times New Roman" w:cs="Times New Roman"/>
          <w:color w:val="auto"/>
          <w:szCs w:val="23"/>
          <w:highlight w:val="none"/>
          <w:lang w:eastAsia="zh-CN"/>
        </w:rPr>
      </w:pPr>
      <w:r>
        <w:rPr>
          <w:rFonts w:hint="default" w:ascii="Times New Roman" w:hAnsi="Times New Roman" w:cs="Times New Roman"/>
          <w:b/>
          <w:bCs/>
          <w:color w:val="auto"/>
          <w:highlight w:val="none"/>
          <w:lang w:val="en-US" w:eastAsia="zh-CN"/>
        </w:rPr>
        <w:t>受水区：</w:t>
      </w:r>
      <w:r>
        <w:rPr>
          <w:rFonts w:hint="default" w:ascii="Times New Roman" w:hAnsi="Times New Roman" w:cs="Times New Roman"/>
          <w:color w:val="auto"/>
          <w:highlight w:val="none"/>
          <w:lang w:val="en-US" w:eastAsia="zh-CN"/>
        </w:rPr>
        <w:t>本次工程的</w:t>
      </w:r>
      <w:r>
        <w:rPr>
          <w:rFonts w:hint="eastAsia" w:cs="Times New Roman"/>
          <w:color w:val="auto"/>
          <w:highlight w:val="none"/>
          <w:lang w:val="en-US" w:eastAsia="zh-CN"/>
        </w:rPr>
        <w:t>受水区为4</w:t>
      </w:r>
      <w:r>
        <w:rPr>
          <w:rFonts w:hint="default" w:ascii="Times New Roman" w:hAnsi="Times New Roman" w:cs="Times New Roman"/>
          <w:color w:val="auto"/>
          <w:highlight w:val="none"/>
          <w:lang w:val="en-US" w:eastAsia="zh-CN"/>
        </w:rPr>
        <w:t>座已建水库，</w:t>
      </w:r>
      <w:r>
        <w:rPr>
          <w:rFonts w:hint="eastAsia" w:cs="Times New Roman"/>
          <w:color w:val="auto"/>
          <w:highlight w:val="none"/>
          <w:lang w:val="en-US" w:eastAsia="zh-CN"/>
        </w:rPr>
        <w:t>分别为界牌箐水库、水平石水库、姜中水库、</w:t>
      </w:r>
      <w:r>
        <w:rPr>
          <w:rFonts w:hint="eastAsia" w:cs="Times New Roman"/>
          <w:color w:val="auto"/>
          <w:highlight w:val="none"/>
          <w:shd w:val="clear"/>
          <w:lang w:val="en-US" w:eastAsia="zh-CN"/>
        </w:rPr>
        <w:t>李官坟水库。其中姜中水库和李官坟水库为预留分水口</w:t>
      </w:r>
      <w:r>
        <w:rPr>
          <w:rFonts w:hint="eastAsia" w:cs="Times New Roman"/>
          <w:color w:val="auto"/>
          <w:highlight w:val="none"/>
          <w:lang w:val="en-US" w:eastAsia="zh-CN"/>
        </w:rPr>
        <w:t>。受水区水库对照《云南省水功能区划（2014 年修订）》与《楚雄州水功能区划（第二版）》（2017.3）均未对水环境功能进行划分，但根据元谋县水务局水系功能规划，4座已建受水水库主要水环境功能为农业灌溉。执行</w:t>
      </w:r>
      <w:r>
        <w:rPr>
          <w:rFonts w:hint="default" w:ascii="Times New Roman" w:hAnsi="Times New Roman" w:cs="Times New Roman"/>
          <w:color w:val="auto"/>
          <w:szCs w:val="23"/>
          <w:highlight w:val="none"/>
        </w:rPr>
        <w:t>《地表水环境质量标准》（GB3838-2002）</w:t>
      </w:r>
      <w:r>
        <w:rPr>
          <w:rFonts w:hint="eastAsia" w:ascii="Times New Roman" w:hAnsi="Times New Roman" w:cs="Times New Roman"/>
          <w:color w:val="auto"/>
          <w:szCs w:val="23"/>
          <w:highlight w:val="none"/>
          <w:lang w:eastAsia="zh-CN"/>
        </w:rPr>
        <w:t>Ⅲ类水质标准。</w:t>
      </w:r>
    </w:p>
    <w:p>
      <w:pPr>
        <w:keepNext w:val="0"/>
        <w:keepLines w:val="0"/>
        <w:widowControl/>
        <w:suppressLineNumbers w:val="0"/>
        <w:jc w:val="left"/>
        <w:rPr>
          <w:rFonts w:hint="eastAsia" w:ascii="Times New Roman" w:hAnsi="Times New Roman" w:cs="Times New Roman"/>
          <w:color w:val="auto"/>
          <w:szCs w:val="23"/>
          <w:highlight w:val="none"/>
          <w:lang w:eastAsia="zh-CN"/>
        </w:rPr>
      </w:pPr>
      <w:r>
        <w:rPr>
          <w:rFonts w:hint="eastAsia" w:ascii="Times New Roman" w:hAnsi="Times New Roman" w:cs="Times New Roman"/>
          <w:b/>
          <w:bCs/>
          <w:color w:val="auto"/>
          <w:szCs w:val="23"/>
          <w:highlight w:val="none"/>
          <w:lang w:val="en-US" w:eastAsia="zh-CN"/>
        </w:rPr>
        <w:t>输水线路及退水区：</w:t>
      </w:r>
      <w:r>
        <w:rPr>
          <w:rFonts w:hint="eastAsia" w:ascii="Times New Roman" w:hAnsi="Times New Roman" w:eastAsia="宋体" w:cs="Times New Roman"/>
          <w:color w:val="auto"/>
          <w:highlight w:val="none"/>
          <w:lang w:val="en-US" w:eastAsia="zh-CN"/>
        </w:rPr>
        <w:t>本工程输水线路及退水涉及的姜驿河、沙沟箐2条季节性河流，为金沙江支流，位于元谋县大湾子下游。对照</w:t>
      </w:r>
      <w:r>
        <w:rPr>
          <w:rFonts w:hint="default" w:ascii="Times New Roman" w:hAnsi="Times New Roman" w:eastAsia="宋体" w:cs="Times New Roman"/>
          <w:color w:val="auto"/>
          <w:highlight w:val="none"/>
          <w:lang w:val="en-US" w:eastAsia="zh-CN"/>
        </w:rPr>
        <w:t>《云南省水功能区划（2014年修订）》</w:t>
      </w:r>
      <w:r>
        <w:rPr>
          <w:rFonts w:hint="eastAsia" w:ascii="Times New Roman" w:hAnsi="Times New Roman" w:eastAsia="宋体" w:cs="Times New Roman"/>
          <w:color w:val="auto"/>
          <w:highlight w:val="none"/>
          <w:lang w:val="en-US" w:eastAsia="zh-CN"/>
        </w:rPr>
        <w:t xml:space="preserve">金沙江元谋保留区：由元谋县大湾子至出省境前 </w:t>
      </w:r>
      <w:r>
        <w:rPr>
          <w:rFonts w:hint="default" w:ascii="Times New Roman" w:hAnsi="Times New Roman" w:eastAsia="宋体" w:cs="Times New Roman"/>
          <w:color w:val="auto"/>
          <w:highlight w:val="none"/>
          <w:lang w:val="en-US" w:eastAsia="zh-CN"/>
        </w:rPr>
        <w:t>5km</w:t>
      </w:r>
      <w:r>
        <w:rPr>
          <w:rFonts w:hint="eastAsia" w:ascii="Times New Roman" w:hAnsi="Times New Roman" w:eastAsia="宋体" w:cs="Times New Roman"/>
          <w:color w:val="auto"/>
          <w:highlight w:val="none"/>
          <w:lang w:val="en-US" w:eastAsia="zh-CN"/>
        </w:rPr>
        <w:t>，全长</w:t>
      </w:r>
      <w:r>
        <w:rPr>
          <w:rFonts w:hint="default" w:ascii="Times New Roman" w:hAnsi="Times New Roman" w:eastAsia="宋体" w:cs="Times New Roman"/>
          <w:color w:val="auto"/>
          <w:highlight w:val="none"/>
          <w:lang w:val="en-US" w:eastAsia="zh-CN"/>
        </w:rPr>
        <w:t>50.7km</w:t>
      </w:r>
      <w:r>
        <w:rPr>
          <w:rFonts w:hint="eastAsia" w:ascii="Times New Roman" w:hAnsi="Times New Roman" w:eastAsia="宋体" w:cs="Times New Roman"/>
          <w:color w:val="auto"/>
          <w:highlight w:val="none"/>
          <w:lang w:val="en-US" w:eastAsia="zh-CN"/>
        </w:rPr>
        <w:t>，现状水质为Ⅱ类，规划水平年水质目标为Ⅱ类。</w:t>
      </w:r>
      <w:r>
        <w:rPr>
          <w:rFonts w:hint="eastAsia" w:cs="Times New Roman"/>
          <w:color w:val="auto"/>
          <w:highlight w:val="none"/>
          <w:lang w:val="en-US" w:eastAsia="zh-CN"/>
        </w:rPr>
        <w:t>因此，姜驿河、沙沟箐参照执行</w:t>
      </w:r>
      <w:r>
        <w:rPr>
          <w:rFonts w:hint="default" w:ascii="Times New Roman" w:hAnsi="Times New Roman" w:cs="Times New Roman"/>
          <w:color w:val="auto"/>
          <w:szCs w:val="23"/>
          <w:highlight w:val="none"/>
        </w:rPr>
        <w:t>《地表水环境质量标准》（GB3838-2002）</w:t>
      </w:r>
      <w:r>
        <w:rPr>
          <w:rFonts w:hint="eastAsia" w:ascii="Times New Roman" w:hAnsi="Times New Roman" w:eastAsia="宋体" w:cs="Times New Roman"/>
          <w:color w:val="auto"/>
          <w:highlight w:val="none"/>
          <w:lang w:val="en-US" w:eastAsia="zh-CN"/>
        </w:rPr>
        <w:t>Ⅱ类</w:t>
      </w:r>
      <w:r>
        <w:rPr>
          <w:rFonts w:hint="eastAsia" w:ascii="Times New Roman" w:hAnsi="Times New Roman" w:cs="Times New Roman"/>
          <w:color w:val="auto"/>
          <w:szCs w:val="23"/>
          <w:highlight w:val="none"/>
          <w:lang w:eastAsia="zh-CN"/>
        </w:rPr>
        <w:t>水质标准。</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eastAsia" w:cs="Times New Roman"/>
          <w:color w:val="auto"/>
          <w:szCs w:val="23"/>
          <w:highlight w:val="none"/>
          <w:lang w:val="en-US" w:eastAsia="zh-CN"/>
        </w:rPr>
        <w:t>受、退水区</w:t>
      </w:r>
      <w:r>
        <w:rPr>
          <w:rFonts w:hint="default" w:ascii="Times New Roman" w:hAnsi="Times New Roman" w:cs="Times New Roman"/>
          <w:color w:val="auto"/>
          <w:highlight w:val="none"/>
        </w:rPr>
        <w:t>地表水体水环境功能区划</w:t>
      </w:r>
      <w:r>
        <w:rPr>
          <w:rFonts w:hint="eastAsia" w:ascii="Times New Roman" w:hAnsi="Times New Roman" w:cs="Times New Roman"/>
          <w:color w:val="auto"/>
          <w:highlight w:val="none"/>
          <w:lang w:val="en-US" w:eastAsia="zh-CN"/>
        </w:rPr>
        <w:t>见表1.3.1-2，</w:t>
      </w:r>
      <w:r>
        <w:rPr>
          <w:rFonts w:hint="eastAsia" w:cs="Times New Roman"/>
          <w:color w:val="auto"/>
          <w:szCs w:val="23"/>
          <w:highlight w:val="none"/>
          <w:lang w:val="en-US" w:eastAsia="zh-CN"/>
        </w:rPr>
        <w:t>地表水环境质量</w:t>
      </w:r>
      <w:r>
        <w:rPr>
          <w:rFonts w:hint="default" w:ascii="Times New Roman" w:hAnsi="Times New Roman" w:cs="Times New Roman"/>
          <w:color w:val="auto"/>
          <w:szCs w:val="23"/>
          <w:highlight w:val="none"/>
        </w:rPr>
        <w:t>具体标准限值</w:t>
      </w:r>
      <w:r>
        <w:rPr>
          <w:rFonts w:hint="eastAsia" w:cs="Times New Roman"/>
          <w:color w:val="auto"/>
          <w:szCs w:val="23"/>
          <w:highlight w:val="none"/>
          <w:lang w:val="en-US" w:eastAsia="zh-CN"/>
        </w:rPr>
        <w:t>见</w:t>
      </w:r>
      <w:r>
        <w:rPr>
          <w:rFonts w:hint="eastAsia" w:ascii="Times New Roman" w:hAnsi="Times New Roman" w:cs="Times New Roman"/>
          <w:color w:val="auto"/>
          <w:highlight w:val="none"/>
          <w:lang w:val="en-US" w:eastAsia="zh-CN"/>
        </w:rPr>
        <w:t>表1.3.1-3</w:t>
      </w:r>
      <w:r>
        <w:rPr>
          <w:rFonts w:hint="default" w:ascii="Times New Roman" w:hAnsi="Times New Roman" w:cs="Times New Roman"/>
          <w:color w:val="auto"/>
          <w:szCs w:val="23"/>
          <w:highlight w:val="none"/>
        </w:rPr>
        <w:t>。</w:t>
      </w:r>
    </w:p>
    <w:p>
      <w:pPr>
        <w:pStyle w:val="40"/>
        <w:ind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1</w:t>
      </w:r>
      <w:r>
        <w:rPr>
          <w:rFonts w:hint="default" w:ascii="Times New Roman" w:hAnsi="Times New Roman" w:cs="Times New Roman"/>
          <w:color w:val="auto"/>
          <w:highlight w:val="none"/>
        </w:rPr>
        <w:t>.3.1-2  评价区地表水体水环境功能区划表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1"/>
        <w:gridCol w:w="1225"/>
        <w:gridCol w:w="1191"/>
        <w:gridCol w:w="2748"/>
        <w:gridCol w:w="905"/>
        <w:gridCol w:w="1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35"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评价</w:t>
            </w:r>
          </w:p>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区域</w:t>
            </w:r>
          </w:p>
        </w:tc>
        <w:tc>
          <w:tcPr>
            <w:tcW w:w="719"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涉及水体名称</w:t>
            </w:r>
          </w:p>
        </w:tc>
        <w:tc>
          <w:tcPr>
            <w:tcW w:w="699"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所属水系</w:t>
            </w:r>
          </w:p>
        </w:tc>
        <w:tc>
          <w:tcPr>
            <w:tcW w:w="1613"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eastAsia="宋体" w:cs="Times New Roman"/>
                <w:color w:val="auto"/>
                <w:kern w:val="21"/>
                <w:sz w:val="21"/>
                <w:szCs w:val="21"/>
                <w:highlight w:val="none"/>
                <w:lang w:val="en-US" w:eastAsia="zh-CN"/>
              </w:rPr>
            </w:pPr>
            <w:r>
              <w:rPr>
                <w:rFonts w:hint="eastAsia" w:ascii="Times New Roman" w:hAnsi="Times New Roman" w:cs="Times New Roman"/>
                <w:color w:val="auto"/>
                <w:kern w:val="21"/>
                <w:sz w:val="21"/>
                <w:szCs w:val="21"/>
                <w:highlight w:val="none"/>
                <w:lang w:val="en-US" w:eastAsia="zh-CN"/>
              </w:rPr>
              <w:t>所属区域</w:t>
            </w:r>
          </w:p>
        </w:tc>
        <w:tc>
          <w:tcPr>
            <w:tcW w:w="531"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水质类别</w:t>
            </w:r>
          </w:p>
        </w:tc>
        <w:tc>
          <w:tcPr>
            <w:tcW w:w="1001"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35" w:type="pct"/>
            <w:vMerge w:val="restar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eastAsia="宋体" w:cs="Times New Roman"/>
                <w:color w:val="auto"/>
                <w:kern w:val="21"/>
                <w:sz w:val="21"/>
                <w:szCs w:val="21"/>
                <w:highlight w:val="none"/>
                <w:lang w:val="en-US" w:eastAsia="zh-CN"/>
              </w:rPr>
            </w:pPr>
            <w:r>
              <w:rPr>
                <w:rFonts w:hint="eastAsia" w:ascii="Times New Roman" w:hAnsi="Times New Roman" w:cs="Times New Roman"/>
                <w:color w:val="auto"/>
                <w:kern w:val="21"/>
                <w:sz w:val="21"/>
                <w:szCs w:val="21"/>
                <w:highlight w:val="none"/>
                <w:lang w:val="en-US" w:eastAsia="zh-CN"/>
              </w:rPr>
              <w:t>受水区</w:t>
            </w:r>
          </w:p>
        </w:tc>
        <w:tc>
          <w:tcPr>
            <w:tcW w:w="719"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eastAsia="宋体" w:cs="Times New Roman"/>
                <w:color w:val="auto"/>
                <w:kern w:val="21"/>
                <w:sz w:val="21"/>
                <w:szCs w:val="21"/>
                <w:highlight w:val="none"/>
                <w:lang w:val="en-US" w:eastAsia="zh-CN"/>
              </w:rPr>
            </w:pPr>
            <w:r>
              <w:rPr>
                <w:rFonts w:hint="eastAsia" w:ascii="Times New Roman" w:hAnsi="Times New Roman" w:cs="Times New Roman"/>
                <w:color w:val="auto"/>
                <w:kern w:val="21"/>
                <w:sz w:val="21"/>
                <w:szCs w:val="21"/>
                <w:highlight w:val="none"/>
                <w:lang w:val="en-US" w:eastAsia="zh-CN"/>
              </w:rPr>
              <w:t>界牌箐水库</w:t>
            </w:r>
          </w:p>
        </w:tc>
        <w:tc>
          <w:tcPr>
            <w:tcW w:w="699"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eastAsia" w:ascii="Times New Roman" w:hAnsi="Times New Roman" w:eastAsia="宋体" w:cs="Times New Roman"/>
                <w:color w:val="auto"/>
                <w:kern w:val="21"/>
                <w:sz w:val="21"/>
                <w:szCs w:val="21"/>
                <w:highlight w:val="none"/>
                <w:lang w:val="en-US" w:eastAsia="zh-CN"/>
              </w:rPr>
            </w:pPr>
            <w:r>
              <w:rPr>
                <w:rFonts w:hint="eastAsia" w:ascii="Times New Roman" w:hAnsi="Times New Roman" w:cs="Times New Roman"/>
                <w:color w:val="auto"/>
                <w:kern w:val="21"/>
                <w:sz w:val="21"/>
                <w:szCs w:val="21"/>
                <w:highlight w:val="none"/>
                <w:lang w:val="en-US" w:eastAsia="zh-CN"/>
              </w:rPr>
              <w:t>金沙江</w:t>
            </w:r>
          </w:p>
        </w:tc>
        <w:tc>
          <w:tcPr>
            <w:tcW w:w="1613" w:type="pct"/>
            <w:vMerge w:val="restar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eastAsia" w:ascii="Times New Roman" w:hAnsi="Times New Roman" w:eastAsia="宋体" w:cs="Times New Roman"/>
                <w:color w:val="auto"/>
                <w:kern w:val="21"/>
                <w:sz w:val="21"/>
                <w:szCs w:val="21"/>
                <w:highlight w:val="none"/>
                <w:lang w:val="en-US" w:eastAsia="zh-CN"/>
              </w:rPr>
            </w:pPr>
            <w:r>
              <w:rPr>
                <w:rFonts w:hint="eastAsia" w:cs="Times New Roman"/>
                <w:color w:val="auto"/>
                <w:sz w:val="21"/>
                <w:szCs w:val="21"/>
                <w:highlight w:val="none"/>
                <w:lang w:val="en-US" w:eastAsia="zh-CN"/>
              </w:rPr>
              <w:t>金沙江滇川3号缓冲区、滇川4号缓冲区</w:t>
            </w:r>
          </w:p>
        </w:tc>
        <w:tc>
          <w:tcPr>
            <w:tcW w:w="531"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Ⅲ</w:t>
            </w:r>
          </w:p>
        </w:tc>
        <w:tc>
          <w:tcPr>
            <w:tcW w:w="1001" w:type="pct"/>
            <w:vMerge w:val="restar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cs="Times New Roman"/>
                <w:color w:val="auto"/>
                <w:kern w:val="21"/>
                <w:sz w:val="21"/>
                <w:szCs w:val="21"/>
                <w:highlight w:val="none"/>
                <w:lang w:val="en-US" w:eastAsia="zh-CN"/>
              </w:rPr>
              <w:t>本项目</w:t>
            </w:r>
            <w:r>
              <w:rPr>
                <w:rFonts w:hint="eastAsia" w:ascii="Times New Roman" w:hAnsi="Times New Roman" w:cs="Times New Roman"/>
                <w:color w:val="auto"/>
                <w:kern w:val="21"/>
                <w:sz w:val="21"/>
                <w:szCs w:val="21"/>
                <w:highlight w:val="none"/>
                <w:lang w:val="en-US" w:eastAsia="zh-CN"/>
              </w:rPr>
              <w:t>补水的受水区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35" w:type="pct"/>
            <w:vMerge w:val="continue"/>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p>
        </w:tc>
        <w:tc>
          <w:tcPr>
            <w:tcW w:w="719"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水平石水库</w:t>
            </w:r>
          </w:p>
        </w:tc>
        <w:tc>
          <w:tcPr>
            <w:tcW w:w="699"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eastAsia" w:ascii="Times New Roman" w:hAnsi="Times New Roman" w:eastAsia="宋体" w:cs="Times New Roman"/>
                <w:color w:val="auto"/>
                <w:kern w:val="21"/>
                <w:sz w:val="21"/>
                <w:szCs w:val="21"/>
                <w:highlight w:val="none"/>
                <w:lang w:val="en-US" w:eastAsia="zh-CN"/>
              </w:rPr>
            </w:pPr>
            <w:r>
              <w:rPr>
                <w:rFonts w:hint="eastAsia" w:ascii="Times New Roman" w:hAnsi="Times New Roman" w:cs="Times New Roman"/>
                <w:color w:val="auto"/>
                <w:kern w:val="21"/>
                <w:sz w:val="21"/>
                <w:szCs w:val="21"/>
                <w:highlight w:val="none"/>
                <w:lang w:val="en-US" w:eastAsia="zh-CN"/>
              </w:rPr>
              <w:t>金沙江</w:t>
            </w:r>
          </w:p>
        </w:tc>
        <w:tc>
          <w:tcPr>
            <w:tcW w:w="1613" w:type="pct"/>
            <w:vMerge w:val="continue"/>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eastAsia" w:ascii="Times New Roman" w:hAnsi="Times New Roman" w:eastAsia="宋体" w:cs="Times New Roman"/>
                <w:color w:val="auto"/>
                <w:kern w:val="21"/>
                <w:sz w:val="21"/>
                <w:szCs w:val="21"/>
                <w:highlight w:val="none"/>
                <w:lang w:val="en-US" w:eastAsia="zh-CN"/>
              </w:rPr>
            </w:pPr>
          </w:p>
        </w:tc>
        <w:tc>
          <w:tcPr>
            <w:tcW w:w="531"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Ⅲ</w:t>
            </w:r>
          </w:p>
        </w:tc>
        <w:tc>
          <w:tcPr>
            <w:tcW w:w="1001" w:type="pct"/>
            <w:vMerge w:val="continue"/>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eastAsia="宋" w:cs="Times New Roman"/>
                <w:color w:val="auto"/>
                <w:kern w:val="21"/>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35" w:type="pct"/>
            <w:vMerge w:val="continue"/>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p>
        </w:tc>
        <w:tc>
          <w:tcPr>
            <w:tcW w:w="719"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eastAsia="宋体" w:cs="Times New Roman"/>
                <w:color w:val="auto"/>
                <w:kern w:val="21"/>
                <w:sz w:val="21"/>
                <w:szCs w:val="21"/>
                <w:highlight w:val="none"/>
                <w:lang w:val="en-US" w:eastAsia="zh-CN"/>
              </w:rPr>
            </w:pPr>
            <w:r>
              <w:rPr>
                <w:rFonts w:hint="eastAsia" w:cs="Times New Roman"/>
                <w:color w:val="auto"/>
                <w:kern w:val="21"/>
                <w:sz w:val="21"/>
                <w:szCs w:val="21"/>
                <w:highlight w:val="none"/>
                <w:lang w:val="en-US" w:eastAsia="zh-CN"/>
              </w:rPr>
              <w:t>姜中水库</w:t>
            </w:r>
          </w:p>
        </w:tc>
        <w:tc>
          <w:tcPr>
            <w:tcW w:w="699"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lang w:val="en-US" w:eastAsia="zh-CN"/>
              </w:rPr>
            </w:pPr>
            <w:r>
              <w:rPr>
                <w:rFonts w:hint="eastAsia" w:cs="Times New Roman"/>
                <w:color w:val="auto"/>
                <w:kern w:val="21"/>
                <w:sz w:val="21"/>
                <w:szCs w:val="21"/>
                <w:highlight w:val="none"/>
                <w:lang w:val="en-US" w:eastAsia="zh-CN"/>
              </w:rPr>
              <w:t>金沙江</w:t>
            </w:r>
          </w:p>
        </w:tc>
        <w:tc>
          <w:tcPr>
            <w:tcW w:w="1613" w:type="pct"/>
            <w:vMerge w:val="continue"/>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eastAsia" w:ascii="Times New Roman" w:hAnsi="Times New Roman" w:eastAsia="宋体" w:cs="Times New Roman"/>
                <w:color w:val="auto"/>
                <w:kern w:val="21"/>
                <w:sz w:val="21"/>
                <w:szCs w:val="21"/>
                <w:highlight w:val="none"/>
                <w:lang w:val="en-US" w:eastAsia="zh-CN"/>
              </w:rPr>
            </w:pPr>
          </w:p>
        </w:tc>
        <w:tc>
          <w:tcPr>
            <w:tcW w:w="531"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Ⅲ</w:t>
            </w:r>
          </w:p>
        </w:tc>
        <w:tc>
          <w:tcPr>
            <w:tcW w:w="1001" w:type="pct"/>
            <w:vMerge w:val="continue"/>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eastAsia="宋" w:cs="Times New Roman"/>
                <w:color w:val="auto"/>
                <w:kern w:val="21"/>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35" w:type="pct"/>
            <w:vMerge w:val="continue"/>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p>
        </w:tc>
        <w:tc>
          <w:tcPr>
            <w:tcW w:w="719"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eastAsia="宋体" w:cs="Times New Roman"/>
                <w:color w:val="auto"/>
                <w:kern w:val="21"/>
                <w:sz w:val="21"/>
                <w:szCs w:val="21"/>
                <w:highlight w:val="none"/>
                <w:lang w:val="en-US" w:eastAsia="zh-CN"/>
              </w:rPr>
            </w:pPr>
            <w:r>
              <w:rPr>
                <w:rFonts w:hint="eastAsia" w:cs="Times New Roman"/>
                <w:color w:val="auto"/>
                <w:kern w:val="21"/>
                <w:sz w:val="21"/>
                <w:szCs w:val="21"/>
                <w:highlight w:val="none"/>
                <w:lang w:val="en-US" w:eastAsia="zh-CN"/>
              </w:rPr>
              <w:t>李官坟水库</w:t>
            </w:r>
          </w:p>
        </w:tc>
        <w:tc>
          <w:tcPr>
            <w:tcW w:w="699"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eastAsia" w:ascii="Times New Roman" w:hAnsi="Times New Roman" w:cs="Times New Roman"/>
                <w:color w:val="auto"/>
                <w:kern w:val="21"/>
                <w:sz w:val="21"/>
                <w:szCs w:val="21"/>
                <w:highlight w:val="none"/>
                <w:lang w:val="en-US" w:eastAsia="zh-CN"/>
              </w:rPr>
            </w:pPr>
            <w:r>
              <w:rPr>
                <w:rFonts w:hint="eastAsia" w:cs="Times New Roman"/>
                <w:color w:val="auto"/>
                <w:kern w:val="21"/>
                <w:sz w:val="21"/>
                <w:szCs w:val="21"/>
                <w:highlight w:val="none"/>
                <w:lang w:val="en-US" w:eastAsia="zh-CN"/>
              </w:rPr>
              <w:t>金沙江</w:t>
            </w:r>
          </w:p>
        </w:tc>
        <w:tc>
          <w:tcPr>
            <w:tcW w:w="1613" w:type="pct"/>
            <w:vMerge w:val="continue"/>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eastAsia" w:ascii="Times New Roman" w:hAnsi="Times New Roman" w:eastAsia="宋体" w:cs="Times New Roman"/>
                <w:color w:val="auto"/>
                <w:kern w:val="21"/>
                <w:sz w:val="21"/>
                <w:szCs w:val="21"/>
                <w:highlight w:val="none"/>
                <w:lang w:val="en-US" w:eastAsia="zh-CN"/>
              </w:rPr>
            </w:pPr>
          </w:p>
        </w:tc>
        <w:tc>
          <w:tcPr>
            <w:tcW w:w="531"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Ⅲ</w:t>
            </w:r>
          </w:p>
        </w:tc>
        <w:tc>
          <w:tcPr>
            <w:tcW w:w="1001" w:type="pct"/>
            <w:vMerge w:val="continue"/>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eastAsia="宋" w:cs="Times New Roman"/>
                <w:color w:val="auto"/>
                <w:kern w:val="21"/>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35" w:type="pct"/>
            <w:vMerge w:val="restar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r>
              <w:rPr>
                <w:rFonts w:hint="eastAsia" w:ascii="Times New Roman" w:hAnsi="Times New Roman" w:cs="Times New Roman"/>
                <w:color w:val="auto"/>
                <w:kern w:val="21"/>
                <w:sz w:val="21"/>
                <w:szCs w:val="21"/>
                <w:highlight w:val="none"/>
                <w:lang w:val="en-US" w:eastAsia="zh-CN"/>
              </w:rPr>
              <w:t>退</w:t>
            </w:r>
            <w:r>
              <w:rPr>
                <w:rFonts w:hint="default" w:ascii="Times New Roman" w:hAnsi="Times New Roman" w:cs="Times New Roman"/>
                <w:color w:val="auto"/>
                <w:kern w:val="21"/>
                <w:sz w:val="21"/>
                <w:szCs w:val="21"/>
                <w:highlight w:val="none"/>
              </w:rPr>
              <w:t>水区</w:t>
            </w:r>
          </w:p>
        </w:tc>
        <w:tc>
          <w:tcPr>
            <w:tcW w:w="719"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姜驿河</w:t>
            </w:r>
          </w:p>
        </w:tc>
        <w:tc>
          <w:tcPr>
            <w:tcW w:w="699" w:type="pct"/>
            <w:noWrap w:val="0"/>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auto"/>
                <w:kern w:val="21"/>
                <w:sz w:val="21"/>
                <w:szCs w:val="21"/>
                <w:highlight w:val="none"/>
              </w:rPr>
            </w:pPr>
            <w:r>
              <w:rPr>
                <w:rFonts w:hint="eastAsia" w:ascii="Times New Roman" w:hAnsi="Times New Roman" w:cs="Times New Roman"/>
                <w:color w:val="auto"/>
                <w:kern w:val="21"/>
                <w:sz w:val="21"/>
                <w:szCs w:val="21"/>
                <w:highlight w:val="none"/>
                <w:lang w:val="en-US" w:eastAsia="zh-CN"/>
              </w:rPr>
              <w:t>金沙江</w:t>
            </w:r>
          </w:p>
        </w:tc>
        <w:tc>
          <w:tcPr>
            <w:tcW w:w="1613" w:type="pct"/>
            <w:vMerge w:val="continue"/>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p>
        </w:tc>
        <w:tc>
          <w:tcPr>
            <w:tcW w:w="531"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r>
              <w:rPr>
                <w:rFonts w:hint="eastAsia" w:ascii="Times New Roman" w:hAnsi="Times New Roman" w:eastAsia="宋体" w:cs="Times New Roman"/>
                <w:color w:val="auto"/>
                <w:sz w:val="21"/>
                <w:szCs w:val="21"/>
                <w:highlight w:val="none"/>
                <w:lang w:val="en-US" w:eastAsia="zh-CN"/>
              </w:rPr>
              <w:t>Ⅱ</w:t>
            </w:r>
          </w:p>
        </w:tc>
        <w:tc>
          <w:tcPr>
            <w:tcW w:w="1001" w:type="pct"/>
            <w:vMerge w:val="restar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eastAsia="宋体" w:cs="Times New Roman"/>
                <w:color w:val="auto"/>
                <w:kern w:val="21"/>
                <w:sz w:val="21"/>
                <w:szCs w:val="21"/>
                <w:highlight w:val="none"/>
                <w:lang w:val="en-US" w:eastAsia="zh-CN"/>
              </w:rPr>
            </w:pPr>
            <w:r>
              <w:rPr>
                <w:rFonts w:hint="eastAsia" w:ascii="Times New Roman" w:hAnsi="Times New Roman" w:cs="Times New Roman"/>
                <w:color w:val="auto"/>
                <w:kern w:val="21"/>
                <w:sz w:val="21"/>
                <w:szCs w:val="21"/>
                <w:highlight w:val="none"/>
                <w:lang w:val="en-US" w:eastAsia="zh-CN"/>
              </w:rPr>
              <w:t>本项目灌溉的退水区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35" w:type="pct"/>
            <w:vMerge w:val="continue"/>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eastAsia" w:ascii="Times New Roman" w:hAnsi="Times New Roman" w:cs="Times New Roman"/>
                <w:color w:val="auto"/>
                <w:kern w:val="21"/>
                <w:sz w:val="21"/>
                <w:szCs w:val="21"/>
                <w:highlight w:val="none"/>
                <w:lang w:val="en-US" w:eastAsia="zh-CN"/>
              </w:rPr>
            </w:pPr>
          </w:p>
        </w:tc>
        <w:tc>
          <w:tcPr>
            <w:tcW w:w="719"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沙沟箐</w:t>
            </w:r>
          </w:p>
        </w:tc>
        <w:tc>
          <w:tcPr>
            <w:tcW w:w="699" w:type="pct"/>
            <w:noWrap w:val="0"/>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auto"/>
                <w:kern w:val="21"/>
                <w:sz w:val="21"/>
                <w:szCs w:val="21"/>
                <w:highlight w:val="none"/>
              </w:rPr>
            </w:pPr>
            <w:r>
              <w:rPr>
                <w:rFonts w:hint="eastAsia" w:ascii="Times New Roman" w:hAnsi="Times New Roman" w:cs="Times New Roman"/>
                <w:color w:val="auto"/>
                <w:kern w:val="21"/>
                <w:sz w:val="21"/>
                <w:szCs w:val="21"/>
                <w:highlight w:val="none"/>
                <w:lang w:val="en-US" w:eastAsia="zh-CN"/>
              </w:rPr>
              <w:t>金沙江</w:t>
            </w:r>
          </w:p>
        </w:tc>
        <w:tc>
          <w:tcPr>
            <w:tcW w:w="1613" w:type="pct"/>
            <w:vMerge w:val="continue"/>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p>
        </w:tc>
        <w:tc>
          <w:tcPr>
            <w:tcW w:w="531" w:type="pct"/>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eastAsia="宋体" w:cs="Times New Roman"/>
                <w:color w:val="auto"/>
                <w:kern w:val="21"/>
                <w:sz w:val="21"/>
                <w:szCs w:val="21"/>
                <w:highlight w:val="none"/>
              </w:rPr>
            </w:pPr>
            <w:r>
              <w:rPr>
                <w:rFonts w:hint="eastAsia" w:ascii="Times New Roman" w:hAnsi="Times New Roman" w:eastAsia="宋体" w:cs="Times New Roman"/>
                <w:color w:val="auto"/>
                <w:sz w:val="21"/>
                <w:szCs w:val="21"/>
                <w:highlight w:val="none"/>
                <w:lang w:val="en-US" w:eastAsia="zh-CN"/>
              </w:rPr>
              <w:t>Ⅱ</w:t>
            </w:r>
          </w:p>
        </w:tc>
        <w:tc>
          <w:tcPr>
            <w:tcW w:w="1001" w:type="pct"/>
            <w:vMerge w:val="continue"/>
            <w:noWrap w:val="0"/>
            <w:vAlign w:val="center"/>
          </w:tcPr>
          <w:p>
            <w:pPr>
              <w:pStyle w:val="42"/>
              <w:keepNext w:val="0"/>
              <w:keepLines w:val="0"/>
              <w:pageBreakBefore w:val="0"/>
              <w:kinsoku/>
              <w:wordWrap w:val="0"/>
              <w:overflowPunct/>
              <w:topLinePunct w:val="0"/>
              <w:autoSpaceDE/>
              <w:autoSpaceDN/>
              <w:bidi w:val="0"/>
              <w:adjustRightInd/>
              <w:snapToGrid w:val="0"/>
              <w:spacing w:line="240" w:lineRule="auto"/>
              <w:rPr>
                <w:rFonts w:hint="default" w:ascii="Times New Roman" w:hAnsi="Times New Roman" w:cs="Times New Roman"/>
                <w:color w:val="auto"/>
                <w:kern w:val="21"/>
                <w:sz w:val="21"/>
                <w:szCs w:val="21"/>
                <w:highlight w:val="none"/>
              </w:rPr>
            </w:pPr>
          </w:p>
        </w:tc>
      </w:tr>
    </w:tbl>
    <w:p>
      <w:pPr>
        <w:pStyle w:val="4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1</w:t>
      </w:r>
      <w:r>
        <w:rPr>
          <w:rFonts w:hint="default" w:ascii="Times New Roman" w:hAnsi="Times New Roman" w:cs="Times New Roman"/>
          <w:color w:val="auto"/>
          <w:highlight w:val="none"/>
        </w:rPr>
        <w:t>.3.1-</w:t>
      </w:r>
      <w:r>
        <w:rPr>
          <w:rFonts w:hint="eastAsia" w:cs="Times New Roman"/>
          <w:color w:val="auto"/>
          <w:highlight w:val="none"/>
          <w:lang w:val="en-US" w:eastAsia="zh-CN"/>
        </w:rPr>
        <w:t>3</w:t>
      </w:r>
      <w:r>
        <w:rPr>
          <w:rFonts w:hint="default" w:ascii="Times New Roman" w:hAnsi="Times New Roman" w:cs="Times New Roman"/>
          <w:color w:val="auto"/>
          <w:highlight w:val="none"/>
        </w:rPr>
        <w:t xml:space="preserve">  地表水环境质量标准   单位：mg/L</w:t>
      </w:r>
    </w:p>
    <w:tbl>
      <w:tblPr>
        <w:tblStyle w:val="57"/>
        <w:tblW w:w="4996"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203"/>
        <w:gridCol w:w="478"/>
        <w:gridCol w:w="932"/>
        <w:gridCol w:w="731"/>
        <w:gridCol w:w="638"/>
        <w:gridCol w:w="741"/>
        <w:gridCol w:w="1598"/>
        <w:gridCol w:w="560"/>
        <w:gridCol w:w="141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72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项目</w:t>
            </w:r>
          </w:p>
        </w:tc>
        <w:tc>
          <w:tcPr>
            <w:tcW w:w="28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pH</w:t>
            </w:r>
          </w:p>
        </w:tc>
        <w:tc>
          <w:tcPr>
            <w:tcW w:w="5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COD</w:t>
            </w:r>
          </w:p>
        </w:tc>
        <w:tc>
          <w:tcPr>
            <w:tcW w:w="44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Cu</w:t>
            </w:r>
          </w:p>
        </w:tc>
        <w:tc>
          <w:tcPr>
            <w:tcW w:w="38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BOD</w:t>
            </w:r>
            <w:r>
              <w:rPr>
                <w:rFonts w:hint="default" w:ascii="Times New Roman" w:hAnsi="Times New Roman" w:eastAsia="Times New Roman" w:cs="Times New Roman"/>
                <w:color w:val="auto"/>
                <w:spacing w:val="-1"/>
                <w:sz w:val="21"/>
                <w:szCs w:val="21"/>
                <w:vertAlign w:val="subscript"/>
              </w:rPr>
              <w:t>5</w:t>
            </w:r>
          </w:p>
        </w:tc>
        <w:tc>
          <w:tcPr>
            <w:tcW w:w="4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NH</w:t>
            </w:r>
            <w:r>
              <w:rPr>
                <w:rFonts w:hint="default" w:ascii="Times New Roman" w:hAnsi="Times New Roman" w:eastAsia="Times New Roman" w:cs="Times New Roman"/>
                <w:color w:val="auto"/>
                <w:spacing w:val="1"/>
                <w:sz w:val="21"/>
                <w:szCs w:val="21"/>
                <w:vertAlign w:val="subscript"/>
              </w:rPr>
              <w:t>3</w:t>
            </w:r>
            <w:r>
              <w:rPr>
                <w:rFonts w:hint="default" w:ascii="Times New Roman" w:hAnsi="Times New Roman" w:eastAsia="Times New Roman" w:cs="Times New Roman"/>
                <w:color w:val="auto"/>
                <w:spacing w:val="1"/>
                <w:sz w:val="21"/>
                <w:szCs w:val="21"/>
              </w:rPr>
              <w:t>-N</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TP</w:t>
            </w:r>
          </w:p>
        </w:tc>
        <w:tc>
          <w:tcPr>
            <w:tcW w:w="3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Pb</w:t>
            </w:r>
          </w:p>
        </w:tc>
        <w:tc>
          <w:tcPr>
            <w:tcW w:w="85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DO</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72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Times New Roman" w:cs="Times New Roman"/>
                <w:color w:val="auto"/>
                <w:spacing w:val="-1"/>
                <w:sz w:val="21"/>
                <w:szCs w:val="21"/>
              </w:rPr>
              <w:t>Ⅱ</w:t>
            </w:r>
            <w:r>
              <w:rPr>
                <w:rFonts w:hint="default" w:ascii="Times New Roman" w:hAnsi="Times New Roman" w:eastAsia="宋体" w:cs="Times New Roman"/>
                <w:color w:val="auto"/>
                <w:spacing w:val="-1"/>
                <w:sz w:val="21"/>
                <w:szCs w:val="21"/>
              </w:rPr>
              <w:t>类标准值</w:t>
            </w:r>
          </w:p>
        </w:tc>
        <w:tc>
          <w:tcPr>
            <w:tcW w:w="28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3"/>
                <w:sz w:val="21"/>
                <w:szCs w:val="21"/>
              </w:rPr>
              <w:t>6</w:t>
            </w:r>
            <w:r>
              <w:rPr>
                <w:rFonts w:hint="default" w:ascii="Times New Roman" w:hAnsi="Times New Roman" w:eastAsia="宋体" w:cs="Times New Roman"/>
                <w:color w:val="auto"/>
                <w:spacing w:val="-3"/>
                <w:sz w:val="21"/>
                <w:szCs w:val="21"/>
              </w:rPr>
              <w:t>～</w:t>
            </w:r>
            <w:r>
              <w:rPr>
                <w:rFonts w:hint="default" w:ascii="Times New Roman" w:hAnsi="Times New Roman" w:eastAsia="Times New Roman" w:cs="Times New Roman"/>
                <w:color w:val="auto"/>
                <w:spacing w:val="-3"/>
                <w:sz w:val="21"/>
                <w:szCs w:val="21"/>
              </w:rPr>
              <w:t>9</w:t>
            </w:r>
          </w:p>
        </w:tc>
        <w:tc>
          <w:tcPr>
            <w:tcW w:w="5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15</w:t>
            </w:r>
          </w:p>
        </w:tc>
        <w:tc>
          <w:tcPr>
            <w:tcW w:w="44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1.0</w:t>
            </w:r>
          </w:p>
        </w:tc>
        <w:tc>
          <w:tcPr>
            <w:tcW w:w="38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3</w:t>
            </w:r>
          </w:p>
        </w:tc>
        <w:tc>
          <w:tcPr>
            <w:tcW w:w="4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0.5</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eastAsia" w:eastAsia="宋体" w:cs="Times New Roman"/>
                <w:color w:val="0000FF"/>
                <w:sz w:val="21"/>
                <w:szCs w:val="21"/>
                <w:lang w:val="en-US" w:eastAsia="zh-CN"/>
              </w:rPr>
            </w:pPr>
            <w:r>
              <w:rPr>
                <w:rFonts w:hint="eastAsia" w:eastAsia="宋体" w:cs="Times New Roman"/>
                <w:color w:val="0000FF"/>
                <w:sz w:val="21"/>
                <w:szCs w:val="21"/>
                <w:lang w:val="en-US" w:eastAsia="zh-CN"/>
              </w:rPr>
              <w:t>0.1</w:t>
            </w:r>
          </w:p>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Times New Roman" w:cs="Times New Roman"/>
                <w:color w:val="0000FF"/>
                <w:sz w:val="21"/>
                <w:szCs w:val="21"/>
              </w:rPr>
              <w:t>0.025</w:t>
            </w:r>
            <w:r>
              <w:rPr>
                <w:rFonts w:hint="default" w:ascii="Times New Roman" w:hAnsi="Times New Roman" w:eastAsia="宋体" w:cs="Times New Roman"/>
                <w:color w:val="0000FF"/>
                <w:spacing w:val="-7"/>
                <w:sz w:val="21"/>
                <w:szCs w:val="21"/>
              </w:rPr>
              <w:t>（湖库）</w:t>
            </w:r>
          </w:p>
        </w:tc>
        <w:tc>
          <w:tcPr>
            <w:tcW w:w="3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0.01</w:t>
            </w:r>
          </w:p>
        </w:tc>
        <w:tc>
          <w:tcPr>
            <w:tcW w:w="85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72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Times New Roman" w:cs="Times New Roman"/>
                <w:color w:val="auto"/>
                <w:spacing w:val="-1"/>
                <w:sz w:val="21"/>
                <w:szCs w:val="21"/>
              </w:rPr>
              <w:t>Ⅲ</w:t>
            </w:r>
            <w:r>
              <w:rPr>
                <w:rFonts w:hint="default" w:ascii="Times New Roman" w:hAnsi="Times New Roman" w:eastAsia="宋体" w:cs="Times New Roman"/>
                <w:color w:val="auto"/>
                <w:spacing w:val="-1"/>
                <w:sz w:val="21"/>
                <w:szCs w:val="21"/>
              </w:rPr>
              <w:t>类标准值</w:t>
            </w:r>
          </w:p>
        </w:tc>
        <w:tc>
          <w:tcPr>
            <w:tcW w:w="28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3"/>
                <w:sz w:val="21"/>
                <w:szCs w:val="21"/>
              </w:rPr>
              <w:t>6</w:t>
            </w:r>
            <w:r>
              <w:rPr>
                <w:rFonts w:hint="default" w:ascii="Times New Roman" w:hAnsi="Times New Roman" w:eastAsia="宋体" w:cs="Times New Roman"/>
                <w:color w:val="auto"/>
                <w:spacing w:val="-3"/>
                <w:sz w:val="21"/>
                <w:szCs w:val="21"/>
              </w:rPr>
              <w:t>～</w:t>
            </w:r>
            <w:r>
              <w:rPr>
                <w:rFonts w:hint="default" w:ascii="Times New Roman" w:hAnsi="Times New Roman" w:eastAsia="Times New Roman" w:cs="Times New Roman"/>
                <w:color w:val="auto"/>
                <w:spacing w:val="-3"/>
                <w:sz w:val="21"/>
                <w:szCs w:val="21"/>
              </w:rPr>
              <w:t>9</w:t>
            </w:r>
          </w:p>
        </w:tc>
        <w:tc>
          <w:tcPr>
            <w:tcW w:w="5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20</w:t>
            </w:r>
          </w:p>
        </w:tc>
        <w:tc>
          <w:tcPr>
            <w:tcW w:w="44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1.0</w:t>
            </w:r>
          </w:p>
        </w:tc>
        <w:tc>
          <w:tcPr>
            <w:tcW w:w="38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4</w:t>
            </w:r>
          </w:p>
        </w:tc>
        <w:tc>
          <w:tcPr>
            <w:tcW w:w="4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1.0</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5"/>
                <w:sz w:val="21"/>
                <w:szCs w:val="21"/>
                <w:lang w:val="en-US" w:eastAsia="zh-CN"/>
              </w:rPr>
            </w:pPr>
            <w:r>
              <w:rPr>
                <w:rFonts w:hint="eastAsia" w:eastAsia="宋体" w:cs="Times New Roman"/>
                <w:color w:val="0000FF"/>
                <w:spacing w:val="-5"/>
                <w:sz w:val="21"/>
                <w:szCs w:val="21"/>
                <w:lang w:val="en-US" w:eastAsia="zh-CN"/>
              </w:rPr>
              <w:t>0.2</w:t>
            </w:r>
          </w:p>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Times New Roman" w:cs="Times New Roman"/>
                <w:color w:val="0000FF"/>
                <w:spacing w:val="-5"/>
                <w:sz w:val="21"/>
                <w:szCs w:val="21"/>
              </w:rPr>
              <w:t>0.05</w:t>
            </w:r>
            <w:r>
              <w:rPr>
                <w:rFonts w:hint="default" w:ascii="Times New Roman" w:hAnsi="Times New Roman" w:eastAsia="宋体" w:cs="Times New Roman"/>
                <w:color w:val="0000FF"/>
                <w:spacing w:val="-5"/>
                <w:sz w:val="21"/>
                <w:szCs w:val="21"/>
              </w:rPr>
              <w:t>（湖</w:t>
            </w:r>
            <w:r>
              <w:rPr>
                <w:rFonts w:hint="default" w:ascii="Times New Roman" w:hAnsi="Times New Roman" w:eastAsia="宋体" w:cs="Times New Roman"/>
                <w:color w:val="0000FF"/>
                <w:spacing w:val="-6"/>
                <w:sz w:val="21"/>
                <w:szCs w:val="21"/>
              </w:rPr>
              <w:t>库）</w:t>
            </w:r>
          </w:p>
        </w:tc>
        <w:tc>
          <w:tcPr>
            <w:tcW w:w="3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0.05</w:t>
            </w:r>
          </w:p>
        </w:tc>
        <w:tc>
          <w:tcPr>
            <w:tcW w:w="85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72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项目</w:t>
            </w:r>
          </w:p>
        </w:tc>
        <w:tc>
          <w:tcPr>
            <w:tcW w:w="28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Zn</w:t>
            </w:r>
          </w:p>
        </w:tc>
        <w:tc>
          <w:tcPr>
            <w:tcW w:w="5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Hg</w:t>
            </w:r>
          </w:p>
        </w:tc>
        <w:tc>
          <w:tcPr>
            <w:tcW w:w="44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Cd</w:t>
            </w:r>
          </w:p>
        </w:tc>
        <w:tc>
          <w:tcPr>
            <w:tcW w:w="38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As</w:t>
            </w:r>
          </w:p>
        </w:tc>
        <w:tc>
          <w:tcPr>
            <w:tcW w:w="4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六价铬</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硫化物</w:t>
            </w:r>
          </w:p>
        </w:tc>
        <w:tc>
          <w:tcPr>
            <w:tcW w:w="3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position w:val="7"/>
                <w:sz w:val="21"/>
                <w:szCs w:val="21"/>
              </w:rPr>
              <w:t>氟化</w:t>
            </w:r>
          </w:p>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物</w:t>
            </w:r>
          </w:p>
        </w:tc>
        <w:tc>
          <w:tcPr>
            <w:tcW w:w="85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氰化物</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72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Times New Roman" w:cs="Times New Roman"/>
                <w:color w:val="auto"/>
                <w:spacing w:val="-1"/>
                <w:sz w:val="21"/>
                <w:szCs w:val="21"/>
              </w:rPr>
              <w:t>Ⅱ</w:t>
            </w:r>
            <w:r>
              <w:rPr>
                <w:rFonts w:hint="default" w:ascii="Times New Roman" w:hAnsi="Times New Roman" w:eastAsia="宋体" w:cs="Times New Roman"/>
                <w:color w:val="auto"/>
                <w:spacing w:val="-1"/>
                <w:sz w:val="21"/>
                <w:szCs w:val="21"/>
              </w:rPr>
              <w:t>类标准值</w:t>
            </w:r>
          </w:p>
        </w:tc>
        <w:tc>
          <w:tcPr>
            <w:tcW w:w="28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1.0</w:t>
            </w:r>
          </w:p>
        </w:tc>
        <w:tc>
          <w:tcPr>
            <w:tcW w:w="5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0.00005</w:t>
            </w:r>
          </w:p>
        </w:tc>
        <w:tc>
          <w:tcPr>
            <w:tcW w:w="44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0.005</w:t>
            </w:r>
          </w:p>
        </w:tc>
        <w:tc>
          <w:tcPr>
            <w:tcW w:w="38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0.05</w:t>
            </w:r>
          </w:p>
        </w:tc>
        <w:tc>
          <w:tcPr>
            <w:tcW w:w="4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0.05</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0.1</w:t>
            </w:r>
          </w:p>
        </w:tc>
        <w:tc>
          <w:tcPr>
            <w:tcW w:w="3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1.0</w:t>
            </w:r>
          </w:p>
        </w:tc>
        <w:tc>
          <w:tcPr>
            <w:tcW w:w="85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0.05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72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Times New Roman" w:cs="Times New Roman"/>
                <w:color w:val="auto"/>
                <w:spacing w:val="-1"/>
                <w:sz w:val="21"/>
                <w:szCs w:val="21"/>
              </w:rPr>
              <w:t>Ⅲ</w:t>
            </w:r>
            <w:r>
              <w:rPr>
                <w:rFonts w:hint="default" w:ascii="Times New Roman" w:hAnsi="Times New Roman" w:eastAsia="宋体" w:cs="Times New Roman"/>
                <w:color w:val="auto"/>
                <w:spacing w:val="-1"/>
                <w:sz w:val="21"/>
                <w:szCs w:val="21"/>
              </w:rPr>
              <w:t>类标准值</w:t>
            </w:r>
          </w:p>
        </w:tc>
        <w:tc>
          <w:tcPr>
            <w:tcW w:w="28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1.0</w:t>
            </w:r>
          </w:p>
        </w:tc>
        <w:tc>
          <w:tcPr>
            <w:tcW w:w="5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0.0001</w:t>
            </w:r>
          </w:p>
        </w:tc>
        <w:tc>
          <w:tcPr>
            <w:tcW w:w="44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0.005</w:t>
            </w:r>
          </w:p>
        </w:tc>
        <w:tc>
          <w:tcPr>
            <w:tcW w:w="38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0.05</w:t>
            </w:r>
          </w:p>
        </w:tc>
        <w:tc>
          <w:tcPr>
            <w:tcW w:w="4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0.05</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0.2</w:t>
            </w:r>
          </w:p>
        </w:tc>
        <w:tc>
          <w:tcPr>
            <w:tcW w:w="3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1.0</w:t>
            </w:r>
          </w:p>
        </w:tc>
        <w:tc>
          <w:tcPr>
            <w:tcW w:w="85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72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项目</w:t>
            </w:r>
          </w:p>
        </w:tc>
        <w:tc>
          <w:tcPr>
            <w:tcW w:w="28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LAS</w:t>
            </w:r>
          </w:p>
        </w:tc>
        <w:tc>
          <w:tcPr>
            <w:tcW w:w="5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石油类</w:t>
            </w:r>
          </w:p>
        </w:tc>
        <w:tc>
          <w:tcPr>
            <w:tcW w:w="44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挥发酚</w:t>
            </w:r>
          </w:p>
        </w:tc>
        <w:tc>
          <w:tcPr>
            <w:tcW w:w="38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Zn</w:t>
            </w:r>
          </w:p>
        </w:tc>
        <w:tc>
          <w:tcPr>
            <w:tcW w:w="4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硒</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粪大肠菌</w:t>
            </w:r>
            <w:r>
              <w:rPr>
                <w:rFonts w:hint="default" w:ascii="Times New Roman" w:hAnsi="Times New Roman" w:eastAsia="宋体" w:cs="Times New Roman"/>
                <w:color w:val="auto"/>
                <w:sz w:val="21"/>
                <w:szCs w:val="21"/>
              </w:rPr>
              <w:t>群</w:t>
            </w:r>
          </w:p>
        </w:tc>
        <w:tc>
          <w:tcPr>
            <w:tcW w:w="3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TN</w:t>
            </w:r>
          </w:p>
        </w:tc>
        <w:tc>
          <w:tcPr>
            <w:tcW w:w="85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高锰酸</w:t>
            </w:r>
            <w:r>
              <w:rPr>
                <w:rFonts w:hint="default" w:ascii="Times New Roman" w:hAnsi="Times New Roman" w:eastAsia="宋体" w:cs="Times New Roman"/>
                <w:color w:val="auto"/>
                <w:spacing w:val="-3"/>
                <w:sz w:val="21"/>
                <w:szCs w:val="21"/>
              </w:rPr>
              <w:t>盐指数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72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Times New Roman" w:cs="Times New Roman"/>
                <w:color w:val="auto"/>
                <w:spacing w:val="-1"/>
                <w:sz w:val="21"/>
                <w:szCs w:val="21"/>
              </w:rPr>
              <w:t>Ⅱ</w:t>
            </w:r>
            <w:r>
              <w:rPr>
                <w:rFonts w:hint="default" w:ascii="Times New Roman" w:hAnsi="Times New Roman" w:eastAsia="宋体" w:cs="Times New Roman"/>
                <w:color w:val="auto"/>
                <w:spacing w:val="-1"/>
                <w:sz w:val="21"/>
                <w:szCs w:val="21"/>
              </w:rPr>
              <w:t>类标准值</w:t>
            </w:r>
          </w:p>
        </w:tc>
        <w:tc>
          <w:tcPr>
            <w:tcW w:w="28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0.2</w:t>
            </w:r>
          </w:p>
        </w:tc>
        <w:tc>
          <w:tcPr>
            <w:tcW w:w="5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0.05</w:t>
            </w:r>
          </w:p>
        </w:tc>
        <w:tc>
          <w:tcPr>
            <w:tcW w:w="44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0.002</w:t>
            </w:r>
          </w:p>
        </w:tc>
        <w:tc>
          <w:tcPr>
            <w:tcW w:w="38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1.0</w:t>
            </w:r>
          </w:p>
        </w:tc>
        <w:tc>
          <w:tcPr>
            <w:tcW w:w="4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0.01</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2000</w:t>
            </w:r>
            <w:r>
              <w:rPr>
                <w:rFonts w:hint="default" w:ascii="Times New Roman" w:hAnsi="Times New Roman" w:eastAsia="宋体" w:cs="Times New Roman"/>
                <w:color w:val="auto"/>
                <w:spacing w:val="-1"/>
                <w:sz w:val="21"/>
                <w:szCs w:val="21"/>
              </w:rPr>
              <w:t>个</w:t>
            </w:r>
            <w:r>
              <w:rPr>
                <w:rFonts w:hint="default" w:ascii="Times New Roman" w:hAnsi="Times New Roman" w:eastAsia="Times New Roman" w:cs="Times New Roman"/>
                <w:color w:val="auto"/>
                <w:spacing w:val="1"/>
                <w:sz w:val="21"/>
                <w:szCs w:val="21"/>
              </w:rPr>
              <w:t>/L</w:t>
            </w:r>
          </w:p>
        </w:tc>
        <w:tc>
          <w:tcPr>
            <w:tcW w:w="3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0.5</w:t>
            </w:r>
          </w:p>
        </w:tc>
        <w:tc>
          <w:tcPr>
            <w:tcW w:w="85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72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Times New Roman" w:cs="Times New Roman"/>
                <w:color w:val="auto"/>
                <w:spacing w:val="-1"/>
                <w:sz w:val="21"/>
                <w:szCs w:val="21"/>
              </w:rPr>
              <w:t>Ⅲ</w:t>
            </w:r>
            <w:r>
              <w:rPr>
                <w:rFonts w:hint="default" w:ascii="Times New Roman" w:hAnsi="Times New Roman" w:eastAsia="宋体" w:cs="Times New Roman"/>
                <w:color w:val="auto"/>
                <w:spacing w:val="-1"/>
                <w:sz w:val="21"/>
                <w:szCs w:val="21"/>
              </w:rPr>
              <w:t>类标准值</w:t>
            </w:r>
          </w:p>
        </w:tc>
        <w:tc>
          <w:tcPr>
            <w:tcW w:w="28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0.2</w:t>
            </w:r>
          </w:p>
        </w:tc>
        <w:tc>
          <w:tcPr>
            <w:tcW w:w="5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0.05</w:t>
            </w:r>
          </w:p>
        </w:tc>
        <w:tc>
          <w:tcPr>
            <w:tcW w:w="44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z w:val="21"/>
                <w:szCs w:val="21"/>
              </w:rPr>
              <w:t>0.005</w:t>
            </w:r>
          </w:p>
        </w:tc>
        <w:tc>
          <w:tcPr>
            <w:tcW w:w="38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1.0</w:t>
            </w:r>
          </w:p>
        </w:tc>
        <w:tc>
          <w:tcPr>
            <w:tcW w:w="4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0.01</w:t>
            </w:r>
          </w:p>
        </w:tc>
        <w:tc>
          <w:tcPr>
            <w:tcW w:w="96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10000</w:t>
            </w:r>
            <w:r>
              <w:rPr>
                <w:rFonts w:hint="default" w:ascii="Times New Roman" w:hAnsi="Times New Roman" w:eastAsia="宋体" w:cs="Times New Roman"/>
                <w:color w:val="auto"/>
                <w:spacing w:val="-2"/>
                <w:sz w:val="21"/>
                <w:szCs w:val="21"/>
              </w:rPr>
              <w:t>个</w:t>
            </w:r>
            <w:r>
              <w:rPr>
                <w:rFonts w:hint="default" w:ascii="Times New Roman" w:hAnsi="Times New Roman" w:eastAsia="Times New Roman" w:cs="Times New Roman"/>
                <w:color w:val="auto"/>
                <w:spacing w:val="1"/>
                <w:sz w:val="21"/>
                <w:szCs w:val="21"/>
              </w:rPr>
              <w:t>/L</w:t>
            </w:r>
          </w:p>
        </w:tc>
        <w:tc>
          <w:tcPr>
            <w:tcW w:w="3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1.0</w:t>
            </w:r>
          </w:p>
        </w:tc>
        <w:tc>
          <w:tcPr>
            <w:tcW w:w="85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6</w:t>
            </w:r>
          </w:p>
        </w:tc>
      </w:tr>
    </w:tbl>
    <w:p>
      <w:pPr>
        <w:pStyle w:val="5"/>
        <w:tabs>
          <w:tab w:val="clear" w:pos="420"/>
        </w:tabs>
        <w:bidi w:val="0"/>
        <w:ind w:left="480" w:leftChars="0" w:firstLineChars="0"/>
        <w:rPr>
          <w:rFonts w:hint="default"/>
          <w:color w:val="auto"/>
        </w:rPr>
      </w:pPr>
      <w:r>
        <w:rPr>
          <w:rFonts w:hint="default"/>
          <w:color w:val="auto"/>
        </w:rPr>
        <w:t>地下水质量标准</w:t>
      </w:r>
    </w:p>
    <w:p>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区域地下水执行《地下水质量标准》（GB/T14848-2017）III类标准，标准值详见下表。</w:t>
      </w:r>
    </w:p>
    <w:p>
      <w:pPr>
        <w:pStyle w:val="40"/>
        <w:rPr>
          <w:rFonts w:hint="default" w:ascii="Times New Roman" w:hAnsi="Times New Roman" w:cs="Times New Roman"/>
          <w:color w:val="auto"/>
          <w:highlight w:val="none"/>
        </w:rPr>
      </w:pPr>
    </w:p>
    <w:p>
      <w:pPr>
        <w:pStyle w:val="4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1</w:t>
      </w:r>
      <w:r>
        <w:rPr>
          <w:rFonts w:hint="default" w:ascii="Times New Roman" w:hAnsi="Times New Roman" w:cs="Times New Roman"/>
          <w:color w:val="auto"/>
          <w:highlight w:val="none"/>
        </w:rPr>
        <w:t>.3.1-</w:t>
      </w:r>
      <w:r>
        <w:rPr>
          <w:rFonts w:hint="eastAsia" w:cs="Times New Roman"/>
          <w:color w:val="auto"/>
          <w:highlight w:val="none"/>
          <w:lang w:val="en-US" w:eastAsia="zh-CN"/>
        </w:rPr>
        <w:t>4</w:t>
      </w:r>
      <w:r>
        <w:rPr>
          <w:rFonts w:hint="default" w:ascii="Times New Roman" w:hAnsi="Times New Roman" w:cs="Times New Roman"/>
          <w:color w:val="auto"/>
          <w:highlight w:val="none"/>
        </w:rPr>
        <w:t xml:space="preserve">  评价区地下水质量标准 单位：mg/L</w:t>
      </w:r>
    </w:p>
    <w:tbl>
      <w:tblPr>
        <w:tblStyle w:val="2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64"/>
        <w:gridCol w:w="2414"/>
        <w:gridCol w:w="1243"/>
        <w:gridCol w:w="749"/>
        <w:gridCol w:w="2506"/>
        <w:gridCol w:w="93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trPr>
        <w:tc>
          <w:tcPr>
            <w:tcW w:w="66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b/>
                <w:bCs/>
                <w:color w:val="auto"/>
                <w:highlight w:val="none"/>
              </w:rPr>
            </w:pPr>
            <w:r>
              <w:rPr>
                <w:rFonts w:hint="default"/>
                <w:b/>
                <w:bCs/>
                <w:color w:val="auto"/>
                <w:highlight w:val="none"/>
              </w:rPr>
              <w:t>序号</w:t>
            </w:r>
          </w:p>
        </w:tc>
        <w:tc>
          <w:tcPr>
            <w:tcW w:w="241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b/>
                <w:bCs/>
                <w:color w:val="auto"/>
                <w:highlight w:val="none"/>
              </w:rPr>
            </w:pPr>
            <w:r>
              <w:rPr>
                <w:rFonts w:hint="default"/>
                <w:b/>
                <w:bCs/>
                <w:color w:val="auto"/>
                <w:highlight w:val="none"/>
              </w:rPr>
              <w:t>指标</w:t>
            </w:r>
          </w:p>
        </w:tc>
        <w:tc>
          <w:tcPr>
            <w:tcW w:w="1243"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b/>
                <w:bCs/>
                <w:color w:val="auto"/>
                <w:highlight w:val="none"/>
              </w:rPr>
            </w:pPr>
            <w:r>
              <w:rPr>
                <w:rFonts w:hint="default"/>
                <w:b/>
                <w:bCs/>
                <w:color w:val="auto"/>
                <w:highlight w:val="none"/>
              </w:rPr>
              <w:t>Ⅲ类</w:t>
            </w:r>
          </w:p>
        </w:tc>
        <w:tc>
          <w:tcPr>
            <w:tcW w:w="749"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b/>
                <w:bCs/>
                <w:color w:val="auto"/>
                <w:highlight w:val="none"/>
              </w:rPr>
            </w:pPr>
            <w:r>
              <w:rPr>
                <w:rFonts w:hint="default"/>
                <w:b/>
                <w:bCs/>
                <w:color w:val="auto"/>
                <w:highlight w:val="none"/>
              </w:rPr>
              <w:t>序号</w:t>
            </w:r>
          </w:p>
        </w:tc>
        <w:tc>
          <w:tcPr>
            <w:tcW w:w="2505"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b/>
                <w:bCs/>
                <w:color w:val="auto"/>
                <w:highlight w:val="none"/>
              </w:rPr>
            </w:pPr>
            <w:r>
              <w:rPr>
                <w:rFonts w:hint="default"/>
                <w:b/>
                <w:bCs/>
                <w:color w:val="auto"/>
                <w:highlight w:val="none"/>
              </w:rPr>
              <w:t>指标</w:t>
            </w:r>
          </w:p>
        </w:tc>
        <w:tc>
          <w:tcPr>
            <w:tcW w:w="938"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b/>
                <w:bCs/>
                <w:color w:val="auto"/>
                <w:highlight w:val="none"/>
              </w:rPr>
            </w:pPr>
            <w:r>
              <w:rPr>
                <w:rFonts w:hint="default"/>
                <w:b/>
                <w:bCs/>
                <w:color w:val="auto"/>
                <w:highlight w:val="none"/>
              </w:rPr>
              <w:t>Ⅲ类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6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1</w:t>
            </w:r>
          </w:p>
        </w:tc>
        <w:tc>
          <w:tcPr>
            <w:tcW w:w="241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pH（无量纲）</w:t>
            </w:r>
          </w:p>
        </w:tc>
        <w:tc>
          <w:tcPr>
            <w:tcW w:w="1243"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6.5-8.5</w:t>
            </w:r>
          </w:p>
        </w:tc>
        <w:tc>
          <w:tcPr>
            <w:tcW w:w="749"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12</w:t>
            </w:r>
          </w:p>
        </w:tc>
        <w:tc>
          <w:tcPr>
            <w:tcW w:w="2505"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镉</w:t>
            </w:r>
          </w:p>
        </w:tc>
        <w:tc>
          <w:tcPr>
            <w:tcW w:w="938"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≤0.005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trPr>
        <w:tc>
          <w:tcPr>
            <w:tcW w:w="66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2</w:t>
            </w:r>
          </w:p>
        </w:tc>
        <w:tc>
          <w:tcPr>
            <w:tcW w:w="241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氨氮</w:t>
            </w:r>
          </w:p>
        </w:tc>
        <w:tc>
          <w:tcPr>
            <w:tcW w:w="1243"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≤0.5</w:t>
            </w:r>
          </w:p>
        </w:tc>
        <w:tc>
          <w:tcPr>
            <w:tcW w:w="749"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13</w:t>
            </w:r>
          </w:p>
        </w:tc>
        <w:tc>
          <w:tcPr>
            <w:tcW w:w="2505"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铁</w:t>
            </w:r>
          </w:p>
        </w:tc>
        <w:tc>
          <w:tcPr>
            <w:tcW w:w="938"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trPr>
        <w:tc>
          <w:tcPr>
            <w:tcW w:w="66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3</w:t>
            </w:r>
          </w:p>
        </w:tc>
        <w:tc>
          <w:tcPr>
            <w:tcW w:w="241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硝酸盐</w:t>
            </w:r>
          </w:p>
        </w:tc>
        <w:tc>
          <w:tcPr>
            <w:tcW w:w="1243"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≤20</w:t>
            </w:r>
          </w:p>
        </w:tc>
        <w:tc>
          <w:tcPr>
            <w:tcW w:w="749"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14</w:t>
            </w:r>
          </w:p>
        </w:tc>
        <w:tc>
          <w:tcPr>
            <w:tcW w:w="2505"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锰</w:t>
            </w:r>
          </w:p>
        </w:tc>
        <w:tc>
          <w:tcPr>
            <w:tcW w:w="938"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trPr>
        <w:tc>
          <w:tcPr>
            <w:tcW w:w="66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4</w:t>
            </w:r>
          </w:p>
        </w:tc>
        <w:tc>
          <w:tcPr>
            <w:tcW w:w="241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亚硝酸盐</w:t>
            </w:r>
          </w:p>
        </w:tc>
        <w:tc>
          <w:tcPr>
            <w:tcW w:w="1243"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≤1.0</w:t>
            </w:r>
          </w:p>
        </w:tc>
        <w:tc>
          <w:tcPr>
            <w:tcW w:w="749"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15</w:t>
            </w:r>
          </w:p>
        </w:tc>
        <w:tc>
          <w:tcPr>
            <w:tcW w:w="2505"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溶解性总固体</w:t>
            </w:r>
          </w:p>
        </w:tc>
        <w:tc>
          <w:tcPr>
            <w:tcW w:w="938"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≤1000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1" w:hRule="atLeast"/>
        </w:trPr>
        <w:tc>
          <w:tcPr>
            <w:tcW w:w="66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5</w:t>
            </w:r>
          </w:p>
        </w:tc>
        <w:tc>
          <w:tcPr>
            <w:tcW w:w="241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挥发性酚类</w:t>
            </w:r>
          </w:p>
        </w:tc>
        <w:tc>
          <w:tcPr>
            <w:tcW w:w="1243"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≤0.002</w:t>
            </w:r>
          </w:p>
        </w:tc>
        <w:tc>
          <w:tcPr>
            <w:tcW w:w="749"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16</w:t>
            </w:r>
          </w:p>
        </w:tc>
        <w:tc>
          <w:tcPr>
            <w:tcW w:w="2505"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耗氧量</w:t>
            </w:r>
          </w:p>
        </w:tc>
        <w:tc>
          <w:tcPr>
            <w:tcW w:w="938"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trPr>
        <w:tc>
          <w:tcPr>
            <w:tcW w:w="66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6</w:t>
            </w:r>
          </w:p>
        </w:tc>
        <w:tc>
          <w:tcPr>
            <w:tcW w:w="241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氰化物</w:t>
            </w:r>
          </w:p>
        </w:tc>
        <w:tc>
          <w:tcPr>
            <w:tcW w:w="1243"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≤0.05</w:t>
            </w:r>
          </w:p>
        </w:tc>
        <w:tc>
          <w:tcPr>
            <w:tcW w:w="749"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17</w:t>
            </w:r>
          </w:p>
        </w:tc>
        <w:tc>
          <w:tcPr>
            <w:tcW w:w="2505"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硫酸盐</w:t>
            </w:r>
          </w:p>
        </w:tc>
        <w:tc>
          <w:tcPr>
            <w:tcW w:w="938"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≤250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trPr>
        <w:tc>
          <w:tcPr>
            <w:tcW w:w="66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7</w:t>
            </w:r>
          </w:p>
        </w:tc>
        <w:tc>
          <w:tcPr>
            <w:tcW w:w="241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砷</w:t>
            </w:r>
          </w:p>
        </w:tc>
        <w:tc>
          <w:tcPr>
            <w:tcW w:w="1243"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≤0.01</w:t>
            </w:r>
          </w:p>
        </w:tc>
        <w:tc>
          <w:tcPr>
            <w:tcW w:w="749"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18</w:t>
            </w:r>
          </w:p>
        </w:tc>
        <w:tc>
          <w:tcPr>
            <w:tcW w:w="2505"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氯化物</w:t>
            </w:r>
          </w:p>
        </w:tc>
        <w:tc>
          <w:tcPr>
            <w:tcW w:w="938"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≤250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trPr>
        <w:tc>
          <w:tcPr>
            <w:tcW w:w="66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8</w:t>
            </w:r>
          </w:p>
        </w:tc>
        <w:tc>
          <w:tcPr>
            <w:tcW w:w="241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汞</w:t>
            </w:r>
          </w:p>
        </w:tc>
        <w:tc>
          <w:tcPr>
            <w:tcW w:w="1243"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≤0.001</w:t>
            </w:r>
          </w:p>
        </w:tc>
        <w:tc>
          <w:tcPr>
            <w:tcW w:w="749"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19</w:t>
            </w:r>
          </w:p>
        </w:tc>
        <w:tc>
          <w:tcPr>
            <w:tcW w:w="2505"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总大肠菌（MPN/100mL）</w:t>
            </w:r>
          </w:p>
        </w:tc>
        <w:tc>
          <w:tcPr>
            <w:tcW w:w="938"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trPr>
        <w:tc>
          <w:tcPr>
            <w:tcW w:w="66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9</w:t>
            </w:r>
          </w:p>
        </w:tc>
        <w:tc>
          <w:tcPr>
            <w:tcW w:w="241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六价铬</w:t>
            </w:r>
          </w:p>
        </w:tc>
        <w:tc>
          <w:tcPr>
            <w:tcW w:w="1243"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≤0.05</w:t>
            </w:r>
          </w:p>
        </w:tc>
        <w:tc>
          <w:tcPr>
            <w:tcW w:w="749"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20</w:t>
            </w:r>
          </w:p>
        </w:tc>
        <w:tc>
          <w:tcPr>
            <w:tcW w:w="2505"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菌落总数(CFU/mL)</w:t>
            </w:r>
          </w:p>
        </w:tc>
        <w:tc>
          <w:tcPr>
            <w:tcW w:w="938"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trPr>
        <w:tc>
          <w:tcPr>
            <w:tcW w:w="66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10</w:t>
            </w:r>
          </w:p>
        </w:tc>
        <w:tc>
          <w:tcPr>
            <w:tcW w:w="241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总硬度</w:t>
            </w:r>
          </w:p>
        </w:tc>
        <w:tc>
          <w:tcPr>
            <w:tcW w:w="1243"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≤450</w:t>
            </w:r>
          </w:p>
        </w:tc>
        <w:tc>
          <w:tcPr>
            <w:tcW w:w="749"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21</w:t>
            </w:r>
          </w:p>
        </w:tc>
        <w:tc>
          <w:tcPr>
            <w:tcW w:w="2505"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氟化物</w:t>
            </w:r>
          </w:p>
        </w:tc>
        <w:tc>
          <w:tcPr>
            <w:tcW w:w="938"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4" w:hRule="atLeast"/>
        </w:trPr>
        <w:tc>
          <w:tcPr>
            <w:tcW w:w="66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11</w:t>
            </w:r>
          </w:p>
        </w:tc>
        <w:tc>
          <w:tcPr>
            <w:tcW w:w="2414"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铅</w:t>
            </w:r>
          </w:p>
        </w:tc>
        <w:tc>
          <w:tcPr>
            <w:tcW w:w="1243"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≤0.01</w:t>
            </w:r>
          </w:p>
        </w:tc>
        <w:tc>
          <w:tcPr>
            <w:tcW w:w="749"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w:t>
            </w:r>
          </w:p>
        </w:tc>
        <w:tc>
          <w:tcPr>
            <w:tcW w:w="2505"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w:t>
            </w:r>
          </w:p>
        </w:tc>
        <w:tc>
          <w:tcPr>
            <w:tcW w:w="938" w:type="dxa"/>
            <w:noWrap w:val="0"/>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olor w:val="auto"/>
                <w:highlight w:val="none"/>
              </w:rPr>
            </w:pPr>
            <w:r>
              <w:rPr>
                <w:rFonts w:hint="default"/>
                <w:color w:val="auto"/>
                <w:highlight w:val="none"/>
              </w:rPr>
              <w:t>--</w:t>
            </w:r>
          </w:p>
        </w:tc>
      </w:tr>
    </w:tbl>
    <w:p>
      <w:pPr>
        <w:pStyle w:val="5"/>
        <w:numPr>
          <w:ilvl w:val="3"/>
          <w:numId w:val="0"/>
        </w:numPr>
        <w:tabs>
          <w:tab w:val="clear" w:pos="420"/>
        </w:tabs>
        <w:bidi w:val="0"/>
        <w:ind w:leftChars="0"/>
        <w:rPr>
          <w:rFonts w:hint="default"/>
          <w:color w:val="auto"/>
        </w:rPr>
      </w:pPr>
      <w:r>
        <w:rPr>
          <w:rFonts w:hint="default"/>
          <w:color w:val="auto"/>
          <w:lang w:val="en-US" w:eastAsia="zh-CN"/>
        </w:rPr>
        <w:t>1.3.1.4</w:t>
      </w:r>
      <w:r>
        <w:rPr>
          <w:rFonts w:hint="default"/>
          <w:color w:val="auto"/>
        </w:rPr>
        <w:t>声环境质量标准</w:t>
      </w:r>
    </w:p>
    <w:p>
      <w:pPr>
        <w:ind w:firstLine="480" w:firstLineChars="200"/>
        <w:rPr>
          <w:rFonts w:hint="default" w:ascii="Times New Roman" w:hAnsi="Times New Roman" w:cs="Times New Roman"/>
          <w:color w:val="0000FF"/>
          <w:highlight w:val="none"/>
        </w:rPr>
      </w:pPr>
      <w:r>
        <w:rPr>
          <w:rFonts w:hint="default" w:ascii="Times New Roman" w:hAnsi="Times New Roman" w:cs="Times New Roman"/>
          <w:color w:val="0000FF"/>
          <w:highlight w:val="none"/>
          <w:lang w:val="en-US" w:eastAsia="zh-CN"/>
        </w:rPr>
        <w:t>项目区所处区域</w:t>
      </w:r>
      <w:r>
        <w:rPr>
          <w:rFonts w:hint="eastAsia" w:cs="Times New Roman"/>
          <w:color w:val="0000FF"/>
          <w:highlight w:val="none"/>
          <w:lang w:val="en-US" w:eastAsia="zh-CN"/>
        </w:rPr>
        <w:t>为农村地区，</w:t>
      </w:r>
      <w:r>
        <w:rPr>
          <w:rFonts w:hint="default" w:ascii="Times New Roman" w:hAnsi="Times New Roman" w:cs="Times New Roman"/>
          <w:color w:val="0000FF"/>
          <w:highlight w:val="none"/>
          <w:lang w:val="en-US" w:eastAsia="zh-CN"/>
        </w:rPr>
        <w:t>属于</w:t>
      </w:r>
      <w:r>
        <w:rPr>
          <w:rFonts w:hint="eastAsia" w:cs="Times New Roman"/>
          <w:color w:val="0000FF"/>
          <w:highlight w:val="none"/>
          <w:lang w:val="en-US" w:eastAsia="zh-CN"/>
        </w:rPr>
        <w:t>1</w:t>
      </w:r>
      <w:r>
        <w:rPr>
          <w:rFonts w:hint="default" w:ascii="Times New Roman" w:hAnsi="Times New Roman" w:cs="Times New Roman"/>
          <w:color w:val="0000FF"/>
          <w:highlight w:val="none"/>
          <w:lang w:val="en-US" w:eastAsia="zh-CN"/>
        </w:rPr>
        <w:t>类</w:t>
      </w:r>
      <w:r>
        <w:rPr>
          <w:rFonts w:hint="eastAsia" w:cs="Times New Roman"/>
          <w:color w:val="0000FF"/>
          <w:highlight w:val="none"/>
          <w:lang w:val="en-US" w:eastAsia="zh-CN"/>
        </w:rPr>
        <w:t>声环境功能</w:t>
      </w:r>
      <w:r>
        <w:rPr>
          <w:rFonts w:hint="default" w:ascii="Times New Roman" w:hAnsi="Times New Roman" w:cs="Times New Roman"/>
          <w:color w:val="0000FF"/>
          <w:highlight w:val="none"/>
          <w:lang w:val="en-US" w:eastAsia="zh-CN"/>
        </w:rPr>
        <w:t>区，执行《声环境质量标准》</w:t>
      </w:r>
      <w:r>
        <w:rPr>
          <w:rFonts w:hint="eastAsia" w:cs="Times New Roman"/>
          <w:color w:val="0000FF"/>
          <w:highlight w:val="none"/>
          <w:lang w:val="en-US" w:eastAsia="zh-CN"/>
        </w:rPr>
        <w:t>（</w:t>
      </w:r>
      <w:r>
        <w:rPr>
          <w:rFonts w:hint="default" w:ascii="Times New Roman" w:hAnsi="Times New Roman" w:cs="Times New Roman"/>
          <w:color w:val="0000FF"/>
          <w:highlight w:val="none"/>
          <w:lang w:val="en-US" w:eastAsia="zh-CN"/>
        </w:rPr>
        <w:t>GB3096-2008</w:t>
      </w:r>
      <w:r>
        <w:rPr>
          <w:rFonts w:hint="eastAsia" w:cs="Times New Roman"/>
          <w:color w:val="0000FF"/>
          <w:highlight w:val="none"/>
          <w:lang w:val="en-US" w:eastAsia="zh-CN"/>
        </w:rPr>
        <w:t>）1</w:t>
      </w:r>
      <w:r>
        <w:rPr>
          <w:rFonts w:hint="default" w:ascii="Times New Roman" w:hAnsi="Times New Roman" w:cs="Times New Roman"/>
          <w:color w:val="0000FF"/>
          <w:highlight w:val="none"/>
          <w:lang w:val="en-US" w:eastAsia="zh-CN"/>
        </w:rPr>
        <w:t>类区标准。</w:t>
      </w:r>
      <w:r>
        <w:rPr>
          <w:rFonts w:hint="default" w:ascii="Times New Roman" w:hAnsi="Times New Roman" w:cs="Times New Roman"/>
          <w:color w:val="0000FF"/>
          <w:highlight w:val="none"/>
        </w:rPr>
        <w:t>标准值详见下表。</w:t>
      </w:r>
    </w:p>
    <w:p>
      <w:pPr>
        <w:pStyle w:val="40"/>
        <w:rPr>
          <w:rFonts w:hint="default" w:ascii="Times New Roman" w:hAnsi="Times New Roman" w:eastAsia="宋体" w:cs="Times New Roman"/>
          <w:color w:val="0000FF"/>
          <w:highlight w:val="none"/>
          <w:lang w:val="en-US" w:eastAsia="zh-CN"/>
        </w:rPr>
      </w:pPr>
      <w:r>
        <w:rPr>
          <w:rFonts w:hint="default" w:ascii="Times New Roman" w:hAnsi="Times New Roman" w:cs="Times New Roman"/>
          <w:color w:val="0000FF"/>
          <w:highlight w:val="none"/>
        </w:rPr>
        <w:t>表</w:t>
      </w:r>
      <w:r>
        <w:rPr>
          <w:rFonts w:hint="eastAsia" w:ascii="Times New Roman" w:hAnsi="Times New Roman" w:cs="Times New Roman"/>
          <w:color w:val="0000FF"/>
          <w:highlight w:val="none"/>
          <w:lang w:val="en-US" w:eastAsia="zh-CN"/>
        </w:rPr>
        <w:t>1</w:t>
      </w:r>
      <w:r>
        <w:rPr>
          <w:rFonts w:hint="default" w:ascii="Times New Roman" w:hAnsi="Times New Roman" w:cs="Times New Roman"/>
          <w:color w:val="0000FF"/>
          <w:highlight w:val="none"/>
        </w:rPr>
        <w:t>.3.1-</w:t>
      </w:r>
      <w:r>
        <w:rPr>
          <w:rFonts w:hint="eastAsia" w:cs="Times New Roman"/>
          <w:color w:val="0000FF"/>
          <w:highlight w:val="none"/>
          <w:lang w:val="en-US" w:eastAsia="zh-CN"/>
        </w:rPr>
        <w:t>5</w:t>
      </w:r>
      <w:r>
        <w:rPr>
          <w:rFonts w:hint="default" w:ascii="Times New Roman" w:hAnsi="Times New Roman" w:cs="Times New Roman"/>
          <w:color w:val="0000FF"/>
          <w:highlight w:val="none"/>
        </w:rPr>
        <w:t xml:space="preserve">  声环境质量标准值</w:t>
      </w:r>
      <w:r>
        <w:rPr>
          <w:rFonts w:hint="eastAsia" w:ascii="Times New Roman" w:hAnsi="Times New Roman" w:cs="Times New Roman"/>
          <w:color w:val="0000FF"/>
          <w:highlight w:val="none"/>
          <w:lang w:val="en-US" w:eastAsia="zh-CN"/>
        </w:rPr>
        <w:t xml:space="preserve">  单位：dB（A）</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64"/>
        <w:gridCol w:w="3476"/>
        <w:gridCol w:w="32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noWrap w:val="0"/>
            <w:vAlign w:val="center"/>
          </w:tcPr>
          <w:p>
            <w:pPr>
              <w:pStyle w:val="42"/>
              <w:bidi w:val="0"/>
              <w:rPr>
                <w:rFonts w:hint="default"/>
                <w:b/>
                <w:bCs/>
                <w:color w:val="0000FF"/>
                <w:highlight w:val="none"/>
              </w:rPr>
            </w:pPr>
            <w:r>
              <w:rPr>
                <w:rFonts w:hint="default"/>
                <w:b/>
                <w:bCs/>
                <w:color w:val="0000FF"/>
                <w:highlight w:val="none"/>
              </w:rPr>
              <w:t>类别</w:t>
            </w:r>
          </w:p>
        </w:tc>
        <w:tc>
          <w:tcPr>
            <w:tcW w:w="2041" w:type="pct"/>
            <w:noWrap w:val="0"/>
            <w:vAlign w:val="center"/>
          </w:tcPr>
          <w:p>
            <w:pPr>
              <w:pStyle w:val="42"/>
              <w:bidi w:val="0"/>
              <w:rPr>
                <w:rFonts w:hint="default" w:ascii="Times New Roman" w:hAnsi="Times New Roman" w:eastAsia="宋" w:cs="Times New Roman"/>
                <w:b/>
                <w:bCs/>
                <w:color w:val="0000FF"/>
                <w:kern w:val="0"/>
                <w:sz w:val="21"/>
                <w:szCs w:val="21"/>
                <w:highlight w:val="none"/>
                <w:lang w:val="en-US" w:eastAsia="zh-CN" w:bidi="ar-SA"/>
              </w:rPr>
            </w:pPr>
            <w:r>
              <w:rPr>
                <w:rFonts w:hint="default"/>
                <w:b/>
                <w:bCs/>
                <w:color w:val="0000FF"/>
                <w:highlight w:val="none"/>
              </w:rPr>
              <w:t>昼间</w:t>
            </w:r>
          </w:p>
        </w:tc>
        <w:tc>
          <w:tcPr>
            <w:tcW w:w="1922" w:type="pct"/>
            <w:noWrap w:val="0"/>
            <w:vAlign w:val="center"/>
          </w:tcPr>
          <w:p>
            <w:pPr>
              <w:pStyle w:val="42"/>
              <w:bidi w:val="0"/>
              <w:rPr>
                <w:rFonts w:hint="default" w:ascii="Times New Roman" w:hAnsi="Times New Roman" w:eastAsia="宋" w:cs="Times New Roman"/>
                <w:b/>
                <w:bCs/>
                <w:color w:val="0000FF"/>
                <w:kern w:val="0"/>
                <w:sz w:val="21"/>
                <w:szCs w:val="21"/>
                <w:highlight w:val="none"/>
                <w:lang w:val="en-US" w:eastAsia="zh-CN" w:bidi="ar-SA"/>
              </w:rPr>
            </w:pPr>
            <w:r>
              <w:rPr>
                <w:rFonts w:hint="default"/>
                <w:b/>
                <w:bCs/>
                <w:color w:val="0000FF"/>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6" w:type="pct"/>
            <w:noWrap w:val="0"/>
            <w:vAlign w:val="center"/>
          </w:tcPr>
          <w:p>
            <w:pPr>
              <w:pStyle w:val="42"/>
              <w:bidi w:val="0"/>
              <w:rPr>
                <w:rFonts w:hint="default"/>
                <w:color w:val="0000FF"/>
                <w:highlight w:val="none"/>
              </w:rPr>
            </w:pPr>
            <w:r>
              <w:rPr>
                <w:rFonts w:hint="eastAsia"/>
                <w:color w:val="0000FF"/>
                <w:highlight w:val="none"/>
                <w:lang w:val="en-US" w:eastAsia="zh-CN"/>
              </w:rPr>
              <w:t>1</w:t>
            </w:r>
            <w:r>
              <w:rPr>
                <w:rFonts w:hint="default"/>
                <w:color w:val="0000FF"/>
                <w:highlight w:val="none"/>
              </w:rPr>
              <w:t>类</w:t>
            </w:r>
          </w:p>
        </w:tc>
        <w:tc>
          <w:tcPr>
            <w:tcW w:w="2041" w:type="pct"/>
            <w:noWrap w:val="0"/>
            <w:vAlign w:val="center"/>
          </w:tcPr>
          <w:p>
            <w:pPr>
              <w:pStyle w:val="42"/>
              <w:bidi w:val="0"/>
              <w:rPr>
                <w:rFonts w:hint="default" w:eastAsia="宋体"/>
                <w:color w:val="0000FF"/>
                <w:highlight w:val="none"/>
                <w:lang w:val="en-US" w:eastAsia="zh-CN"/>
              </w:rPr>
            </w:pPr>
            <w:r>
              <w:rPr>
                <w:rFonts w:hint="eastAsia"/>
                <w:color w:val="0000FF"/>
                <w:highlight w:val="none"/>
                <w:lang w:val="en-US" w:eastAsia="zh-CN"/>
              </w:rPr>
              <w:t>55</w:t>
            </w:r>
          </w:p>
        </w:tc>
        <w:tc>
          <w:tcPr>
            <w:tcW w:w="1922" w:type="pct"/>
            <w:noWrap w:val="0"/>
            <w:vAlign w:val="center"/>
          </w:tcPr>
          <w:p>
            <w:pPr>
              <w:pStyle w:val="42"/>
              <w:bidi w:val="0"/>
              <w:rPr>
                <w:rFonts w:hint="default" w:eastAsia="宋体"/>
                <w:color w:val="0000FF"/>
                <w:highlight w:val="none"/>
                <w:lang w:val="en-US" w:eastAsia="zh-CN"/>
              </w:rPr>
            </w:pPr>
            <w:r>
              <w:rPr>
                <w:rFonts w:hint="eastAsia"/>
                <w:color w:val="0000FF"/>
                <w:highlight w:val="none"/>
                <w:lang w:val="en-US" w:eastAsia="zh-CN"/>
              </w:rPr>
              <w:t>45</w:t>
            </w:r>
          </w:p>
        </w:tc>
      </w:tr>
    </w:tbl>
    <w:p>
      <w:pPr>
        <w:pStyle w:val="5"/>
        <w:tabs>
          <w:tab w:val="clear" w:pos="420"/>
        </w:tabs>
        <w:bidi w:val="0"/>
        <w:ind w:left="480" w:leftChars="0" w:firstLineChars="0"/>
        <w:rPr>
          <w:rFonts w:hint="default"/>
          <w:color w:val="auto"/>
        </w:rPr>
      </w:pPr>
      <w:bookmarkStart w:id="165" w:name="_Toc32629"/>
      <w:bookmarkStart w:id="166" w:name="_Toc25397"/>
      <w:bookmarkStart w:id="167" w:name="_Toc17313"/>
      <w:bookmarkStart w:id="168" w:name="_Toc477"/>
      <w:r>
        <w:rPr>
          <w:rFonts w:hint="default"/>
          <w:color w:val="auto"/>
          <w:lang w:val="en-US" w:eastAsia="zh-CN"/>
        </w:rPr>
        <w:t>土壤环境质量标准</w:t>
      </w:r>
    </w:p>
    <w:p>
      <w:pPr>
        <w:bidi w:val="0"/>
        <w:rPr>
          <w:color w:val="0000FF"/>
        </w:rPr>
      </w:pPr>
      <w:r>
        <w:rPr>
          <w:rFonts w:hint="eastAsia"/>
          <w:b w:val="0"/>
          <w:bCs w:val="0"/>
          <w:color w:val="0000FF"/>
          <w:lang w:val="en-US" w:eastAsia="zh-CN"/>
        </w:rPr>
        <w:t>项目占地范围内为建设用地，执行</w:t>
      </w:r>
      <w:r>
        <w:rPr>
          <w:rFonts w:ascii="Times New Roman" w:hAnsi="Times New Roman"/>
          <w:color w:val="0000FF"/>
          <w:highlight w:val="none"/>
        </w:rPr>
        <w:t>《土壤环境质量 建设用地土壤污染风险管控标准（试行）》（GB36600-2018）第二类用地</w:t>
      </w:r>
      <w:r>
        <w:rPr>
          <w:rFonts w:hint="eastAsia" w:ascii="Times New Roman" w:hAnsi="Times New Roman"/>
          <w:color w:val="0000FF"/>
          <w:highlight w:val="none"/>
          <w:lang w:val="en-US" w:eastAsia="zh-CN"/>
        </w:rPr>
        <w:t>标准限制</w:t>
      </w:r>
      <w:r>
        <w:rPr>
          <w:color w:val="0000FF"/>
        </w:rPr>
        <w:t>，具体标见表1.</w:t>
      </w:r>
      <w:r>
        <w:rPr>
          <w:rFonts w:hint="eastAsia"/>
          <w:color w:val="0000FF"/>
          <w:lang w:val="en-US" w:eastAsia="zh-CN"/>
        </w:rPr>
        <w:t>6</w:t>
      </w:r>
      <w:r>
        <w:rPr>
          <w:color w:val="0000FF"/>
        </w:rPr>
        <w:t>-5。</w:t>
      </w:r>
    </w:p>
    <w:p>
      <w:pPr>
        <w:bidi w:val="0"/>
        <w:spacing w:line="240" w:lineRule="auto"/>
        <w:jc w:val="center"/>
        <w:rPr>
          <w:b/>
          <w:bCs/>
          <w:color w:val="0000FF"/>
          <w:sz w:val="21"/>
          <w:szCs w:val="21"/>
        </w:rPr>
      </w:pPr>
      <w:r>
        <w:rPr>
          <w:b/>
          <w:bCs/>
          <w:color w:val="0000FF"/>
          <w:sz w:val="21"/>
          <w:szCs w:val="21"/>
        </w:rPr>
        <w:t>表 1.</w:t>
      </w:r>
      <w:r>
        <w:rPr>
          <w:rFonts w:hint="eastAsia"/>
          <w:b/>
          <w:bCs/>
          <w:color w:val="0000FF"/>
          <w:sz w:val="21"/>
          <w:szCs w:val="21"/>
          <w:lang w:val="en-US" w:eastAsia="zh-CN"/>
        </w:rPr>
        <w:t>3.1</w:t>
      </w:r>
      <w:r>
        <w:rPr>
          <w:b/>
          <w:bCs/>
          <w:color w:val="0000FF"/>
          <w:sz w:val="21"/>
          <w:szCs w:val="21"/>
        </w:rPr>
        <w:t>-</w:t>
      </w:r>
      <w:r>
        <w:rPr>
          <w:rFonts w:hint="eastAsia"/>
          <w:b/>
          <w:bCs/>
          <w:color w:val="0000FF"/>
          <w:sz w:val="21"/>
          <w:szCs w:val="21"/>
          <w:lang w:val="en-US" w:eastAsia="zh-CN"/>
        </w:rPr>
        <w:t>6</w:t>
      </w:r>
      <w:r>
        <w:rPr>
          <w:b/>
          <w:bCs/>
          <w:color w:val="0000FF"/>
          <w:sz w:val="21"/>
          <w:szCs w:val="21"/>
        </w:rPr>
        <w:t xml:space="preserve">   建设用地土壤污染风险筛选值和管制值一览表 </w:t>
      </w:r>
      <w:r>
        <w:rPr>
          <w:rFonts w:hint="eastAsia"/>
          <w:b/>
          <w:bCs/>
          <w:color w:val="0000FF"/>
          <w:sz w:val="21"/>
          <w:szCs w:val="21"/>
          <w:lang w:val="en-US" w:eastAsia="zh-CN"/>
        </w:rPr>
        <w:t xml:space="preserve"> </w:t>
      </w:r>
      <w:r>
        <w:rPr>
          <w:b/>
          <w:bCs/>
          <w:color w:val="0000FF"/>
          <w:sz w:val="21"/>
          <w:szCs w:val="21"/>
        </w:rPr>
        <w:t xml:space="preserve">  单位：mg/kg</w:t>
      </w:r>
    </w:p>
    <w:tbl>
      <w:tblPr>
        <w:tblStyle w:val="29"/>
        <w:tblW w:w="5000" w:type="pct"/>
        <w:tblInd w:w="0" w:type="dxa"/>
        <w:tblLayout w:type="autofit"/>
        <w:tblCellMar>
          <w:top w:w="0" w:type="dxa"/>
          <w:left w:w="0" w:type="dxa"/>
          <w:bottom w:w="0" w:type="dxa"/>
          <w:right w:w="0" w:type="dxa"/>
        </w:tblCellMar>
      </w:tblPr>
      <w:tblGrid>
        <w:gridCol w:w="680"/>
        <w:gridCol w:w="2546"/>
        <w:gridCol w:w="1950"/>
        <w:gridCol w:w="1514"/>
        <w:gridCol w:w="1620"/>
      </w:tblGrid>
      <w:tr>
        <w:tblPrEx>
          <w:tblCellMar>
            <w:top w:w="0" w:type="dxa"/>
            <w:left w:w="0" w:type="dxa"/>
            <w:bottom w:w="0" w:type="dxa"/>
            <w:right w:w="0" w:type="dxa"/>
          </w:tblCellMar>
        </w:tblPrEx>
        <w:trPr>
          <w:trHeight w:val="306" w:hRule="atLeast"/>
        </w:trPr>
        <w:tc>
          <w:tcPr>
            <w:tcW w:w="5000" w:type="pct"/>
            <w:gridSpan w:val="5"/>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pacing w:val="-5"/>
                <w:sz w:val="21"/>
                <w:szCs w:val="21"/>
                <w:highlight w:val="none"/>
              </w:rPr>
              <w:t>建设用地土壤污染风险筛选值和管制值（基本项目）（mg/kg）</w:t>
            </w:r>
          </w:p>
        </w:tc>
      </w:tr>
      <w:tr>
        <w:tblPrEx>
          <w:tblCellMar>
            <w:top w:w="0" w:type="dxa"/>
            <w:left w:w="0" w:type="dxa"/>
            <w:bottom w:w="0" w:type="dxa"/>
            <w:right w:w="0" w:type="dxa"/>
          </w:tblCellMar>
        </w:tblPrEx>
        <w:trPr>
          <w:trHeight w:val="306" w:hRule="atLeast"/>
        </w:trPr>
        <w:tc>
          <w:tcPr>
            <w:tcW w:w="409" w:type="pct"/>
            <w:vMerge w:val="restart"/>
            <w:tcBorders>
              <w:top w:val="single" w:color="000000" w:sz="4" w:space="0"/>
              <w:left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序号</w:t>
            </w:r>
          </w:p>
        </w:tc>
        <w:tc>
          <w:tcPr>
            <w:tcW w:w="1532" w:type="pct"/>
            <w:vMerge w:val="restart"/>
            <w:tcBorders>
              <w:top w:val="single" w:color="000000" w:sz="4" w:space="0"/>
              <w:left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污染物项目</w:t>
            </w:r>
          </w:p>
        </w:tc>
        <w:tc>
          <w:tcPr>
            <w:tcW w:w="1173" w:type="pct"/>
            <w:vMerge w:val="restart"/>
            <w:tcBorders>
              <w:top w:val="single" w:color="000000" w:sz="4" w:space="0"/>
              <w:left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CAS编号</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筛选值</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管制值</w:t>
            </w:r>
          </w:p>
        </w:tc>
      </w:tr>
      <w:tr>
        <w:tblPrEx>
          <w:tblCellMar>
            <w:top w:w="0" w:type="dxa"/>
            <w:left w:w="0" w:type="dxa"/>
            <w:bottom w:w="0" w:type="dxa"/>
            <w:right w:w="0" w:type="dxa"/>
          </w:tblCellMar>
        </w:tblPrEx>
        <w:trPr>
          <w:trHeight w:val="306" w:hRule="atLeast"/>
        </w:trPr>
        <w:tc>
          <w:tcPr>
            <w:tcW w:w="409" w:type="pct"/>
            <w:vMerge w:val="continue"/>
            <w:tcBorders>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p>
        </w:tc>
        <w:tc>
          <w:tcPr>
            <w:tcW w:w="1532" w:type="pct"/>
            <w:vMerge w:val="continue"/>
            <w:tcBorders>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p>
        </w:tc>
        <w:tc>
          <w:tcPr>
            <w:tcW w:w="1173" w:type="pct"/>
            <w:vMerge w:val="continue"/>
            <w:tcBorders>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第二类用地</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第二类用地</w:t>
            </w:r>
          </w:p>
        </w:tc>
      </w:tr>
      <w:tr>
        <w:tblPrEx>
          <w:tblCellMar>
            <w:top w:w="0" w:type="dxa"/>
            <w:left w:w="0" w:type="dxa"/>
            <w:bottom w:w="0" w:type="dxa"/>
            <w:right w:w="0" w:type="dxa"/>
          </w:tblCellMar>
        </w:tblPrEx>
        <w:trPr>
          <w:trHeight w:val="306" w:hRule="atLeast"/>
        </w:trPr>
        <w:tc>
          <w:tcPr>
            <w:tcW w:w="5000" w:type="pct"/>
            <w:gridSpan w:val="5"/>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重金属和无机物</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砷</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7440-38-2</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60</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140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镉</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7440-43-9</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65</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172</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3</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铬（六价）</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18540-29-9</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5.7</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78</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4</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铜</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7440-50-8</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18000</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36000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铅</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7439-92-1</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800</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2500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6</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汞</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7439-97-6</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38</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82</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镍</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7440-02-0</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900</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2000</w:t>
            </w:r>
          </w:p>
        </w:tc>
      </w:tr>
      <w:tr>
        <w:tblPrEx>
          <w:tblCellMar>
            <w:top w:w="0" w:type="dxa"/>
            <w:left w:w="0" w:type="dxa"/>
            <w:bottom w:w="0" w:type="dxa"/>
            <w:right w:w="0" w:type="dxa"/>
          </w:tblCellMar>
        </w:tblPrEx>
        <w:trPr>
          <w:trHeight w:val="306" w:hRule="atLeast"/>
        </w:trPr>
        <w:tc>
          <w:tcPr>
            <w:tcW w:w="5000" w:type="pct"/>
            <w:gridSpan w:val="5"/>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挥发性有机污染物</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8</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四氯化碳</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56-23-5</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2.8</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36</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9</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氯仿</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67-66-3</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0.9</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10</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氯甲烷</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74-87-3</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37</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120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11</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1,1-二氯乙烷</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75-34-3</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9</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100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12</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1,2-二氯乙烷</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107-06-2</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21</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13</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1,1-二氯乙烯</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75-35-4</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66</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200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14</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顺-1,2-二氯乙烯</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156-59-2</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596</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2000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15</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反-1,2-二氯乙烯</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156-60-5</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54</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163</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16</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二氯甲烷</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75-09-2</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616</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2000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17</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1,2-二氯丙烷</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78-87-5</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47</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18</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1,1,1,2-四氯乙烷</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630-20-6</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10</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100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19</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1,1,2,2-四氯乙烷</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79-34-5</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6.8</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20</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四氯乙烯</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127-18-4</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53</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183</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21</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1,1,1-三氯乙烷</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71-55-6</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840</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840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22</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1,1,2-三氯乙烷</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79-00-5</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2.8</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15</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23</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三氯乙烯</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79-01-6</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2.8</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24</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1,2,3-三氯丙烷</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96-18-4</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0.5</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25</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氯乙烯</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75-01-4</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0.43</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4.3</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26</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苯</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71-43-2</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4</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40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27</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氯苯</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108-90-7</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270</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1000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28</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1,2-二氯苯</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95-50-1</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560</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560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29</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1,4-二氯苯</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106-46-7</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20</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200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30</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乙苯</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100-41-4</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28</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280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31</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苯乙烯</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100-42-5</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1290</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1290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32</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甲苯</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108-88-3</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1200</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1200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33</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间二甲苯+对二甲苯</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108-38-3，106-42-3</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570</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570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34</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邻二甲苯</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95-47-6</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640</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640</w:t>
            </w:r>
          </w:p>
        </w:tc>
      </w:tr>
      <w:tr>
        <w:tblPrEx>
          <w:tblCellMar>
            <w:top w:w="0" w:type="dxa"/>
            <w:left w:w="0" w:type="dxa"/>
            <w:bottom w:w="0" w:type="dxa"/>
            <w:right w:w="0" w:type="dxa"/>
          </w:tblCellMar>
        </w:tblPrEx>
        <w:trPr>
          <w:trHeight w:val="90" w:hRule="atLeast"/>
        </w:trPr>
        <w:tc>
          <w:tcPr>
            <w:tcW w:w="5000" w:type="pct"/>
            <w:gridSpan w:val="5"/>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半挥发性有机物</w:t>
            </w:r>
          </w:p>
        </w:tc>
      </w:tr>
      <w:tr>
        <w:tblPrEx>
          <w:tblCellMar>
            <w:top w:w="0" w:type="dxa"/>
            <w:left w:w="0" w:type="dxa"/>
            <w:bottom w:w="0" w:type="dxa"/>
            <w:right w:w="0" w:type="dxa"/>
          </w:tblCellMar>
        </w:tblPrEx>
        <w:trPr>
          <w:trHeight w:val="90"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35</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硝基苯</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98-95-3</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76</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760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36</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苯胺</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62-53-3</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260</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663</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37</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2-氯酚</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95-57-8</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2256</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4500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38</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苯并[a]蒽</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56-55-3</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15</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151</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39</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苯并[a]芘</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50-32-8</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1.5</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15</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40</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苯并[b]荧蒽</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205-99-2</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15</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151</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41</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苯并[k]荧蒽</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207-08-9</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151</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1500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42</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䓛</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218-01-9</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1293</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12900</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43</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二苯并[a,h]蒽</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53-70-3</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1.5</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15</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44</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茚并[1,2,3-cd]芘</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193-39-5</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15</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151</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45</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萘</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91-20-3</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70</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rPr>
              <w:t>700</w:t>
            </w:r>
          </w:p>
        </w:tc>
      </w:tr>
      <w:tr>
        <w:tblPrEx>
          <w:tblCellMar>
            <w:top w:w="0" w:type="dxa"/>
            <w:left w:w="0" w:type="dxa"/>
            <w:bottom w:w="0" w:type="dxa"/>
            <w:right w:w="0" w:type="dxa"/>
          </w:tblCellMar>
        </w:tblPrEx>
        <w:trPr>
          <w:trHeight w:val="306" w:hRule="atLeast"/>
        </w:trPr>
        <w:tc>
          <w:tcPr>
            <w:tcW w:w="5000" w:type="pct"/>
            <w:gridSpan w:val="5"/>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lang w:val="en-US"/>
              </w:rPr>
              <w:t xml:space="preserve">多氯联苯、多溴苯和二噁英类 </w:t>
            </w:r>
          </w:p>
        </w:tc>
      </w:tr>
      <w:tr>
        <w:tblPrEx>
          <w:tblCellMar>
            <w:top w:w="0" w:type="dxa"/>
            <w:left w:w="0" w:type="dxa"/>
            <w:bottom w:w="0" w:type="dxa"/>
            <w:right w:w="0" w:type="dxa"/>
          </w:tblCellMar>
        </w:tblPrEx>
        <w:trPr>
          <w:trHeight w:val="306" w:hRule="atLeast"/>
        </w:trPr>
        <w:tc>
          <w:tcPr>
            <w:tcW w:w="40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lang w:val="en-US"/>
              </w:rPr>
            </w:pPr>
            <w:r>
              <w:rPr>
                <w:rFonts w:ascii="Times New Roman" w:hAnsi="Times New Roman"/>
                <w:color w:val="0000FF"/>
                <w:sz w:val="21"/>
                <w:szCs w:val="21"/>
                <w:highlight w:val="none"/>
                <w:lang w:val="en-US"/>
              </w:rPr>
              <w:t>46</w:t>
            </w:r>
          </w:p>
        </w:tc>
        <w:tc>
          <w:tcPr>
            <w:tcW w:w="153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lang w:val="en-US"/>
              </w:rPr>
              <w:t xml:space="preserve">二噁英类（总毒性当量） </w:t>
            </w:r>
          </w:p>
        </w:tc>
        <w:tc>
          <w:tcPr>
            <w:tcW w:w="1173"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eastAsia="宋体"/>
                <w:color w:val="0000FF"/>
                <w:sz w:val="21"/>
                <w:szCs w:val="21"/>
                <w:highlight w:val="none"/>
                <w:lang w:val="en-US"/>
              </w:rPr>
            </w:pPr>
            <w:r>
              <w:rPr>
                <w:rFonts w:ascii="Times New Roman" w:hAnsi="Times New Roman" w:eastAsia="宋体"/>
                <w:color w:val="0000FF"/>
                <w:sz w:val="21"/>
                <w:szCs w:val="21"/>
                <w:highlight w:val="none"/>
                <w:lang w:val="en-US"/>
              </w:rPr>
              <w:t>-</w:t>
            </w:r>
          </w:p>
        </w:tc>
        <w:tc>
          <w:tcPr>
            <w:tcW w:w="91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lang w:val="en-US"/>
              </w:rPr>
              <w:t>4×10</w:t>
            </w:r>
            <w:r>
              <w:rPr>
                <w:rFonts w:ascii="Times New Roman" w:hAnsi="Times New Roman"/>
                <w:color w:val="0000FF"/>
                <w:sz w:val="21"/>
                <w:szCs w:val="21"/>
                <w:highlight w:val="none"/>
                <w:vertAlign w:val="superscript"/>
                <w:lang w:val="en-US"/>
              </w:rPr>
              <w:t>-5</w:t>
            </w:r>
            <w:r>
              <w:rPr>
                <w:rFonts w:ascii="Times New Roman" w:hAnsi="Times New Roman"/>
                <w:color w:val="0000FF"/>
                <w:sz w:val="21"/>
                <w:szCs w:val="21"/>
                <w:highlight w:val="none"/>
                <w:lang w:val="en-US"/>
              </w:rPr>
              <w:t xml:space="preserve"> </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firstLine="0" w:firstLineChars="0"/>
              <w:jc w:val="center"/>
              <w:textAlignment w:val="auto"/>
              <w:rPr>
                <w:rFonts w:ascii="Times New Roman" w:hAnsi="Times New Roman"/>
                <w:color w:val="0000FF"/>
                <w:sz w:val="21"/>
                <w:szCs w:val="21"/>
                <w:highlight w:val="none"/>
              </w:rPr>
            </w:pPr>
            <w:r>
              <w:rPr>
                <w:rFonts w:ascii="Times New Roman" w:hAnsi="Times New Roman"/>
                <w:color w:val="0000FF"/>
                <w:sz w:val="21"/>
                <w:szCs w:val="21"/>
                <w:highlight w:val="none"/>
                <w:lang w:val="en-US"/>
              </w:rPr>
              <w:t>4×10</w:t>
            </w:r>
            <w:r>
              <w:rPr>
                <w:rFonts w:ascii="Times New Roman" w:hAnsi="Times New Roman"/>
                <w:color w:val="0000FF"/>
                <w:sz w:val="21"/>
                <w:szCs w:val="21"/>
                <w:highlight w:val="none"/>
                <w:vertAlign w:val="superscript"/>
                <w:lang w:val="en-US"/>
              </w:rPr>
              <w:t>-4</w:t>
            </w:r>
          </w:p>
        </w:tc>
      </w:tr>
    </w:tbl>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项目区</w:t>
      </w:r>
      <w:r>
        <w:rPr>
          <w:rFonts w:hint="eastAsia" w:cs="Times New Roman"/>
          <w:color w:val="auto"/>
          <w:highlight w:val="none"/>
          <w:lang w:val="en-US" w:eastAsia="zh-CN"/>
        </w:rPr>
        <w:t>主要为农村地区，</w:t>
      </w:r>
      <w:r>
        <w:rPr>
          <w:rFonts w:hint="default" w:ascii="Times New Roman" w:hAnsi="Times New Roman" w:cs="Times New Roman"/>
          <w:color w:val="auto"/>
          <w:highlight w:val="none"/>
          <w:lang w:val="en-US" w:eastAsia="zh-CN"/>
        </w:rPr>
        <w:t>周围土壤主要为林地、耕地，按照《土壤环境质量 农用地土壤污染风险管控标准（试行）》（GB15618-2018）中污染风险筛选值要求执行，标准见下表。</w:t>
      </w:r>
    </w:p>
    <w:p>
      <w:pPr>
        <w:pStyle w:val="40"/>
        <w:rPr>
          <w:rFonts w:hint="default" w:ascii="Times New Roman" w:hAnsi="Times New Roman" w:eastAsia="宋体" w:cs="Times New Roman"/>
          <w:b/>
          <w:color w:val="auto"/>
          <w:highlight w:val="none"/>
        </w:rPr>
      </w:pPr>
    </w:p>
    <w:p>
      <w:pPr>
        <w:pStyle w:val="40"/>
        <w:rPr>
          <w:rFonts w:hint="default" w:ascii="Times New Roman" w:hAnsi="Times New Roman" w:eastAsia="宋体" w:cs="Times New Roman"/>
          <w:b/>
          <w:color w:val="auto"/>
          <w:highlight w:val="none"/>
        </w:rPr>
      </w:pPr>
    </w:p>
    <w:p>
      <w:pPr>
        <w:pStyle w:val="40"/>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eastAsia" w:ascii="Times New Roman" w:hAnsi="Times New Roman" w:eastAsia="宋体" w:cs="Times New Roman"/>
          <w:b/>
          <w:color w:val="auto"/>
          <w:sz w:val="21"/>
          <w:szCs w:val="21"/>
          <w:highlight w:val="none"/>
          <w:lang w:val="en-US" w:eastAsia="zh-CN"/>
        </w:rPr>
        <w:t>1</w:t>
      </w:r>
      <w:r>
        <w:rPr>
          <w:rFonts w:hint="default" w:ascii="Times New Roman" w:hAnsi="Times New Roman" w:eastAsia="宋体" w:cs="Times New Roman"/>
          <w:b/>
          <w:color w:val="auto"/>
          <w:sz w:val="21"/>
          <w:szCs w:val="21"/>
          <w:highlight w:val="none"/>
          <w:lang w:val="en-US" w:eastAsia="zh-CN"/>
        </w:rPr>
        <w:t>.3.1-</w:t>
      </w:r>
      <w:r>
        <w:rPr>
          <w:rFonts w:hint="eastAsia" w:cs="Times New Roman"/>
          <w:b/>
          <w:color w:val="auto"/>
          <w:sz w:val="21"/>
          <w:szCs w:val="21"/>
          <w:highlight w:val="none"/>
          <w:lang w:val="en-US" w:eastAsia="zh-CN"/>
        </w:rPr>
        <w:t>7</w:t>
      </w:r>
      <w:r>
        <w:rPr>
          <w:rFonts w:hint="default" w:ascii="Times New Roman" w:hAnsi="Times New Roman" w:eastAsia="宋体" w:cs="Times New Roman"/>
          <w:b/>
          <w:color w:val="auto"/>
          <w:sz w:val="21"/>
          <w:szCs w:val="21"/>
          <w:highlight w:val="none"/>
          <w:lang w:val="en-US" w:eastAsia="zh-CN"/>
        </w:rPr>
        <w:t xml:space="preserve"> </w:t>
      </w:r>
      <w:r>
        <w:rPr>
          <w:rFonts w:hint="eastAsia" w:ascii="Times New Roman" w:hAnsi="Times New Roman" w:eastAsia="宋体"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rPr>
        <w:t>《土壤环境质量 农用地土壤污染风险管控标准》（GB15618-2018）（筛选值</w:t>
      </w:r>
      <w:r>
        <w:rPr>
          <w:rFonts w:hint="eastAsia" w:ascii="Times New Roman" w:hAnsi="Times New Roman" w:eastAsia="宋体" w:cs="Times New Roman"/>
          <w:b/>
          <w:color w:val="auto"/>
          <w:sz w:val="21"/>
          <w:szCs w:val="21"/>
          <w:highlight w:val="none"/>
          <w:lang w:eastAsia="zh-CN"/>
        </w:rPr>
        <w:t>和管制值</w:t>
      </w:r>
      <w:r>
        <w:rPr>
          <w:rFonts w:hint="default" w:ascii="Times New Roman" w:hAnsi="Times New Roman" w:eastAsia="宋体" w:cs="Times New Roman"/>
          <w:b/>
          <w:color w:val="auto"/>
          <w:sz w:val="21"/>
          <w:szCs w:val="21"/>
          <w:highlight w:val="none"/>
        </w:rPr>
        <w:t>） 单位：mg/kg</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4"/>
        <w:gridCol w:w="1777"/>
        <w:gridCol w:w="1020"/>
        <w:gridCol w:w="900"/>
        <w:gridCol w:w="975"/>
        <w:gridCol w:w="915"/>
        <w:gridCol w:w="960"/>
        <w:gridCol w:w="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41" w:type="dxa"/>
            <w:gridSpan w:val="2"/>
            <w:vMerge w:val="restart"/>
            <w:vAlign w:val="center"/>
            <mc:AlternateContent>
              <mc:Choice Requires="wpsCustomData">
                <wpsCustomData:diagonals>
                  <wpsCustomData:diagonal from="10000" to="30000">
                    <wpsCustomData:border w:val="single" w:color="auto" w:sz="4" w:space="0"/>
                  </wpsCustomData:diagonal>
                </wpsCustomData:diagonals>
              </mc:Choice>
            </mc:AlternateContent>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right"/>
              <w:rPr>
                <w:rFonts w:hint="default"/>
                <w:b/>
                <w:bCs/>
                <w:color w:val="auto"/>
                <w:highlight w:val="none"/>
                <w:lang w:val="en-US" w:eastAsia="zh-CN"/>
              </w:rPr>
            </w:pPr>
            <w:r>
              <w:rPr>
                <w:rFonts w:hint="eastAsia"/>
                <w:b/>
                <w:bCs/>
                <w:color w:val="auto"/>
                <w:highlight w:val="none"/>
                <w:lang w:val="en-US" w:eastAsia="zh-CN"/>
              </w:rPr>
              <w:t xml:space="preserve">        </w:t>
            </w:r>
          </w:p>
          <w:p>
            <w:pPr>
              <w:keepNext w:val="0"/>
              <w:keepLines w:val="0"/>
              <w:pageBreakBefore w:val="0"/>
              <w:kinsoku/>
              <w:wordWrap/>
              <w:overflowPunct/>
              <w:topLinePunct w:val="0"/>
              <w:autoSpaceDE/>
              <w:autoSpaceDN/>
              <w:bidi w:val="0"/>
              <w:adjustRightInd/>
              <w:snapToGrid w:val="0"/>
              <w:spacing w:line="240" w:lineRule="auto"/>
              <w:ind w:firstLine="0" w:firstLineChars="0"/>
              <w:jc w:val="left"/>
              <w:rPr>
                <w:rFonts w:hint="default"/>
                <w:b/>
                <w:bCs/>
                <w:color w:val="auto"/>
                <w:sz w:val="22"/>
                <w:szCs w:val="20"/>
                <w:highlight w:val="none"/>
                <w:lang w:val="en-US" w:eastAsia="zh-CN"/>
              </w:rPr>
            </w:pPr>
            <w:r>
              <w:rPr>
                <w:rFonts w:hint="eastAsia"/>
                <w:b/>
                <w:bCs/>
                <w:color w:val="auto"/>
                <w:sz w:val="22"/>
                <w:szCs w:val="20"/>
                <w:highlight w:val="none"/>
                <w:lang w:val="en-US" w:eastAsia="zh-CN"/>
              </w:rPr>
              <w:t>污染物</w:t>
            </w:r>
          </w:p>
          <w:p>
            <w:pPr>
              <w:keepNext w:val="0"/>
              <w:keepLines w:val="0"/>
              <w:pageBreakBefore w:val="0"/>
              <w:kinsoku/>
              <w:wordWrap/>
              <w:overflowPunct/>
              <w:topLinePunct w:val="0"/>
              <w:autoSpaceDE/>
              <w:autoSpaceDN/>
              <w:bidi w:val="0"/>
              <w:adjustRightInd/>
              <w:snapToGrid w:val="0"/>
              <w:spacing w:line="240" w:lineRule="auto"/>
              <w:ind w:firstLine="0" w:firstLineChars="0"/>
              <mc:AlternateContent>
                <mc:Choice Requires="wpsCustomData">
                  <wpsCustomData:diagonalParaType/>
                </mc:Choice>
              </mc:AlternateContent>
              <w:rPr>
                <w:rFonts w:hint="default"/>
                <w:b/>
                <w:bCs/>
                <w:color w:val="auto"/>
                <w:highlight w:val="none"/>
                <w:lang w:val="en-US" w:eastAsia="zh-CN"/>
              </w:rPr>
            </w:pPr>
          </w:p>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b/>
                <w:bCs/>
                <w:color w:val="auto"/>
                <w:highlight w:val="none"/>
              </w:rPr>
            </w:pPr>
            <w:r>
              <w:rPr>
                <w:rFonts w:hint="eastAsia"/>
                <w:b/>
                <w:bCs/>
                <w:color w:val="auto"/>
                <w:highlight w:val="none"/>
                <w:lang w:val="en-US" w:eastAsia="zh-CN"/>
              </w:rPr>
              <w:t>pH</w:t>
            </w:r>
          </w:p>
        </w:tc>
        <w:tc>
          <w:tcPr>
            <w:tcW w:w="1920" w:type="dxa"/>
            <w:gridSpan w:val="2"/>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b/>
                <w:bCs/>
                <w:color w:val="auto"/>
                <w:highlight w:val="none"/>
                <w:lang w:val="en-US" w:eastAsia="zh-CN"/>
              </w:rPr>
            </w:pPr>
            <w:r>
              <w:rPr>
                <w:rFonts w:hint="default"/>
                <w:b/>
                <w:bCs/>
                <w:color w:val="auto"/>
                <w:highlight w:val="none"/>
                <w:lang w:val="en-US" w:eastAsia="zh-CN"/>
              </w:rPr>
              <w:t>5.5＜pH≤6.5</w:t>
            </w:r>
          </w:p>
        </w:tc>
        <w:tc>
          <w:tcPr>
            <w:tcW w:w="1890" w:type="dxa"/>
            <w:gridSpan w:val="2"/>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b/>
                <w:bCs/>
                <w:color w:val="auto"/>
                <w:highlight w:val="none"/>
                <w:lang w:val="en-US" w:eastAsia="zh-CN"/>
              </w:rPr>
            </w:pPr>
            <w:r>
              <w:rPr>
                <w:rFonts w:hint="default"/>
                <w:b/>
                <w:bCs/>
                <w:color w:val="auto"/>
                <w:highlight w:val="none"/>
                <w:lang w:val="en-US" w:eastAsia="zh-CN"/>
              </w:rPr>
              <w:t>6.5＜pH≤7.5</w:t>
            </w:r>
          </w:p>
        </w:tc>
        <w:tc>
          <w:tcPr>
            <w:tcW w:w="1865" w:type="dxa"/>
            <w:gridSpan w:val="2"/>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b/>
                <w:bCs/>
                <w:color w:val="auto"/>
                <w:highlight w:val="none"/>
                <w:lang w:val="en-US" w:eastAsia="zh-CN"/>
              </w:rPr>
            </w:pPr>
            <w:r>
              <w:rPr>
                <w:rFonts w:hint="default"/>
                <w:b/>
                <w:bCs/>
                <w:color w:val="auto"/>
                <w:highlight w:val="none"/>
                <w:lang w:val="en-US" w:eastAsia="zh-CN"/>
              </w:rPr>
              <w:t>pH&gt;7.5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41" w:type="dxa"/>
            <w:gridSpan w:val="2"/>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b/>
                <w:bCs/>
                <w:color w:val="auto"/>
                <w:highlight w:val="none"/>
              </w:rPr>
            </w:pPr>
          </w:p>
        </w:tc>
        <w:tc>
          <w:tcPr>
            <w:tcW w:w="102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b/>
                <w:bCs/>
                <w:color w:val="auto"/>
                <w:highlight w:val="none"/>
              </w:rPr>
            </w:pPr>
            <w:r>
              <w:rPr>
                <w:rFonts w:hint="default"/>
                <w:b/>
                <w:bCs/>
                <w:color w:val="auto"/>
                <w:highlight w:val="none"/>
              </w:rPr>
              <w:t>风险筛</w:t>
            </w:r>
          </w:p>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b/>
                <w:bCs/>
                <w:color w:val="auto"/>
                <w:highlight w:val="none"/>
              </w:rPr>
            </w:pPr>
            <w:r>
              <w:rPr>
                <w:rFonts w:hint="default"/>
                <w:b/>
                <w:bCs/>
                <w:color w:val="auto"/>
                <w:highlight w:val="none"/>
              </w:rPr>
              <w:t>选值</w:t>
            </w:r>
          </w:p>
        </w:tc>
        <w:tc>
          <w:tcPr>
            <w:tcW w:w="90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b/>
                <w:bCs/>
                <w:color w:val="auto"/>
                <w:highlight w:val="none"/>
              </w:rPr>
            </w:pPr>
            <w:r>
              <w:rPr>
                <w:rFonts w:hint="default"/>
                <w:b/>
                <w:bCs/>
                <w:color w:val="auto"/>
                <w:highlight w:val="none"/>
              </w:rPr>
              <w:t>风险管制值</w:t>
            </w:r>
          </w:p>
        </w:tc>
        <w:tc>
          <w:tcPr>
            <w:tcW w:w="97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b/>
                <w:bCs/>
                <w:color w:val="auto"/>
                <w:highlight w:val="none"/>
              </w:rPr>
            </w:pPr>
            <w:r>
              <w:rPr>
                <w:rFonts w:hint="default"/>
                <w:b/>
                <w:bCs/>
                <w:color w:val="auto"/>
                <w:highlight w:val="none"/>
              </w:rPr>
              <w:t>风险筛</w:t>
            </w:r>
          </w:p>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b/>
                <w:bCs/>
                <w:color w:val="auto"/>
                <w:highlight w:val="none"/>
                <w:lang w:val="en-US" w:eastAsia="zh-CN"/>
              </w:rPr>
            </w:pPr>
            <w:r>
              <w:rPr>
                <w:rFonts w:hint="default"/>
                <w:b/>
                <w:bCs/>
                <w:color w:val="auto"/>
                <w:highlight w:val="none"/>
              </w:rPr>
              <w:t>选值</w:t>
            </w:r>
          </w:p>
        </w:tc>
        <w:tc>
          <w:tcPr>
            <w:tcW w:w="91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b/>
                <w:bCs/>
                <w:color w:val="auto"/>
                <w:highlight w:val="none"/>
                <w:lang w:val="en-US" w:eastAsia="zh-CN"/>
              </w:rPr>
            </w:pPr>
            <w:r>
              <w:rPr>
                <w:rFonts w:hint="default"/>
                <w:b/>
                <w:bCs/>
                <w:color w:val="auto"/>
                <w:highlight w:val="none"/>
              </w:rPr>
              <w:t>风险管制值</w:t>
            </w:r>
          </w:p>
        </w:tc>
        <w:tc>
          <w:tcPr>
            <w:tcW w:w="96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b/>
                <w:bCs/>
                <w:color w:val="auto"/>
                <w:highlight w:val="none"/>
              </w:rPr>
            </w:pPr>
            <w:r>
              <w:rPr>
                <w:rFonts w:hint="default"/>
                <w:b/>
                <w:bCs/>
                <w:color w:val="auto"/>
                <w:highlight w:val="none"/>
              </w:rPr>
              <w:t>风险筛</w:t>
            </w:r>
          </w:p>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b/>
                <w:bCs/>
                <w:color w:val="auto"/>
                <w:highlight w:val="none"/>
                <w:lang w:val="en-US" w:eastAsia="zh-CN"/>
              </w:rPr>
            </w:pPr>
            <w:r>
              <w:rPr>
                <w:rFonts w:hint="default"/>
                <w:b/>
                <w:bCs/>
                <w:color w:val="auto"/>
                <w:highlight w:val="none"/>
              </w:rPr>
              <w:t>选值</w:t>
            </w:r>
          </w:p>
        </w:tc>
        <w:tc>
          <w:tcPr>
            <w:tcW w:w="90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b/>
                <w:bCs/>
                <w:color w:val="auto"/>
                <w:highlight w:val="none"/>
                <w:lang w:val="en-US" w:eastAsia="zh-CN"/>
              </w:rPr>
            </w:pPr>
            <w:r>
              <w:rPr>
                <w:rFonts w:hint="default"/>
                <w:b/>
                <w:bCs/>
                <w:color w:val="auto"/>
                <w:highlight w:val="none"/>
              </w:rPr>
              <w:t>风险管制值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64"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r>
              <w:rPr>
                <w:rFonts w:hint="default"/>
                <w:color w:val="auto"/>
                <w:highlight w:val="none"/>
              </w:rPr>
              <w:t>镉≤</w:t>
            </w:r>
          </w:p>
        </w:tc>
        <w:tc>
          <w:tcPr>
            <w:tcW w:w="1777"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color w:val="auto"/>
                <w:highlight w:val="none"/>
                <w:lang w:eastAsia="zh-CN"/>
              </w:rPr>
            </w:pPr>
            <w:r>
              <w:rPr>
                <w:rFonts w:hint="eastAsia"/>
                <w:color w:val="auto"/>
                <w:highlight w:val="none"/>
                <w:lang w:eastAsia="zh-CN"/>
              </w:rPr>
              <w:t>水田</w:t>
            </w:r>
          </w:p>
        </w:tc>
        <w:tc>
          <w:tcPr>
            <w:tcW w:w="102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0.4</w:t>
            </w:r>
          </w:p>
        </w:tc>
        <w:tc>
          <w:tcPr>
            <w:tcW w:w="900"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2.0</w:t>
            </w:r>
          </w:p>
        </w:tc>
        <w:tc>
          <w:tcPr>
            <w:tcW w:w="97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0.6</w:t>
            </w:r>
          </w:p>
        </w:tc>
        <w:tc>
          <w:tcPr>
            <w:tcW w:w="915"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3.0</w:t>
            </w:r>
          </w:p>
        </w:tc>
        <w:tc>
          <w:tcPr>
            <w:tcW w:w="96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0.8</w:t>
            </w:r>
          </w:p>
        </w:tc>
        <w:tc>
          <w:tcPr>
            <w:tcW w:w="905"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64"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1777"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color w:val="auto"/>
                <w:highlight w:val="none"/>
                <w:lang w:eastAsia="zh-CN"/>
              </w:rPr>
            </w:pPr>
            <w:r>
              <w:rPr>
                <w:rFonts w:hint="eastAsia"/>
                <w:color w:val="auto"/>
                <w:highlight w:val="none"/>
                <w:lang w:eastAsia="zh-CN"/>
              </w:rPr>
              <w:t>其他</w:t>
            </w:r>
          </w:p>
        </w:tc>
        <w:tc>
          <w:tcPr>
            <w:tcW w:w="102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0.3</w:t>
            </w:r>
          </w:p>
        </w:tc>
        <w:tc>
          <w:tcPr>
            <w:tcW w:w="900"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97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0.3</w:t>
            </w:r>
          </w:p>
        </w:tc>
        <w:tc>
          <w:tcPr>
            <w:tcW w:w="915"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96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0.6</w:t>
            </w:r>
          </w:p>
        </w:tc>
        <w:tc>
          <w:tcPr>
            <w:tcW w:w="905"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64"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r>
              <w:rPr>
                <w:rFonts w:hint="default"/>
                <w:color w:val="auto"/>
                <w:highlight w:val="none"/>
              </w:rPr>
              <w:t>汞≤</w:t>
            </w:r>
          </w:p>
        </w:tc>
        <w:tc>
          <w:tcPr>
            <w:tcW w:w="1777"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eastAsia="zh-CN"/>
              </w:rPr>
              <w:t>水田</w:t>
            </w:r>
          </w:p>
        </w:tc>
        <w:tc>
          <w:tcPr>
            <w:tcW w:w="102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0.5</w:t>
            </w:r>
          </w:p>
        </w:tc>
        <w:tc>
          <w:tcPr>
            <w:tcW w:w="900"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2.5</w:t>
            </w:r>
          </w:p>
        </w:tc>
        <w:tc>
          <w:tcPr>
            <w:tcW w:w="97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0.6</w:t>
            </w:r>
          </w:p>
        </w:tc>
        <w:tc>
          <w:tcPr>
            <w:tcW w:w="915"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4.0</w:t>
            </w:r>
          </w:p>
        </w:tc>
        <w:tc>
          <w:tcPr>
            <w:tcW w:w="96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1.0</w:t>
            </w:r>
          </w:p>
        </w:tc>
        <w:tc>
          <w:tcPr>
            <w:tcW w:w="905"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64"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1777"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eastAsia="zh-CN"/>
              </w:rPr>
              <w:t>其他</w:t>
            </w:r>
          </w:p>
        </w:tc>
        <w:tc>
          <w:tcPr>
            <w:tcW w:w="102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1.8</w:t>
            </w:r>
          </w:p>
        </w:tc>
        <w:tc>
          <w:tcPr>
            <w:tcW w:w="900"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97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2.4</w:t>
            </w:r>
          </w:p>
        </w:tc>
        <w:tc>
          <w:tcPr>
            <w:tcW w:w="915"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96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3.4</w:t>
            </w:r>
          </w:p>
        </w:tc>
        <w:tc>
          <w:tcPr>
            <w:tcW w:w="905"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64"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r>
              <w:rPr>
                <w:rFonts w:hint="default"/>
                <w:color w:val="auto"/>
                <w:highlight w:val="none"/>
              </w:rPr>
              <w:t>砷≤</w:t>
            </w:r>
          </w:p>
        </w:tc>
        <w:tc>
          <w:tcPr>
            <w:tcW w:w="1777"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eastAsia="zh-CN"/>
              </w:rPr>
              <w:t>水田</w:t>
            </w:r>
          </w:p>
        </w:tc>
        <w:tc>
          <w:tcPr>
            <w:tcW w:w="102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30</w:t>
            </w:r>
          </w:p>
        </w:tc>
        <w:tc>
          <w:tcPr>
            <w:tcW w:w="900"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150</w:t>
            </w:r>
          </w:p>
        </w:tc>
        <w:tc>
          <w:tcPr>
            <w:tcW w:w="97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25</w:t>
            </w:r>
          </w:p>
        </w:tc>
        <w:tc>
          <w:tcPr>
            <w:tcW w:w="915"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120</w:t>
            </w:r>
          </w:p>
        </w:tc>
        <w:tc>
          <w:tcPr>
            <w:tcW w:w="96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20</w:t>
            </w:r>
          </w:p>
        </w:tc>
        <w:tc>
          <w:tcPr>
            <w:tcW w:w="905"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64"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1777"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eastAsia="zh-CN"/>
              </w:rPr>
              <w:t>其他</w:t>
            </w:r>
          </w:p>
        </w:tc>
        <w:tc>
          <w:tcPr>
            <w:tcW w:w="102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40</w:t>
            </w:r>
          </w:p>
        </w:tc>
        <w:tc>
          <w:tcPr>
            <w:tcW w:w="900"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p>
        </w:tc>
        <w:tc>
          <w:tcPr>
            <w:tcW w:w="97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30</w:t>
            </w:r>
          </w:p>
        </w:tc>
        <w:tc>
          <w:tcPr>
            <w:tcW w:w="915"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96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25</w:t>
            </w:r>
          </w:p>
        </w:tc>
        <w:tc>
          <w:tcPr>
            <w:tcW w:w="905"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64"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r>
              <w:rPr>
                <w:rFonts w:hint="default"/>
                <w:color w:val="auto"/>
                <w:highlight w:val="none"/>
              </w:rPr>
              <w:t>铅≤</w:t>
            </w:r>
          </w:p>
        </w:tc>
        <w:tc>
          <w:tcPr>
            <w:tcW w:w="1777"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color w:val="auto"/>
                <w:highlight w:val="none"/>
                <w:lang w:val="en-US" w:eastAsia="zh-CN"/>
              </w:rPr>
            </w:pPr>
            <w:r>
              <w:rPr>
                <w:rFonts w:hint="eastAsia"/>
                <w:color w:val="auto"/>
                <w:highlight w:val="none"/>
                <w:lang w:eastAsia="zh-CN"/>
              </w:rPr>
              <w:t>水田</w:t>
            </w:r>
          </w:p>
        </w:tc>
        <w:tc>
          <w:tcPr>
            <w:tcW w:w="102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100</w:t>
            </w:r>
          </w:p>
        </w:tc>
        <w:tc>
          <w:tcPr>
            <w:tcW w:w="900"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500</w:t>
            </w:r>
          </w:p>
        </w:tc>
        <w:tc>
          <w:tcPr>
            <w:tcW w:w="97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140</w:t>
            </w:r>
          </w:p>
        </w:tc>
        <w:tc>
          <w:tcPr>
            <w:tcW w:w="915"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700</w:t>
            </w:r>
          </w:p>
        </w:tc>
        <w:tc>
          <w:tcPr>
            <w:tcW w:w="96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240</w:t>
            </w:r>
          </w:p>
        </w:tc>
        <w:tc>
          <w:tcPr>
            <w:tcW w:w="905"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64"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1777"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color w:val="auto"/>
                <w:highlight w:val="none"/>
                <w:lang w:val="en-US" w:eastAsia="zh-CN"/>
              </w:rPr>
            </w:pPr>
            <w:r>
              <w:rPr>
                <w:rFonts w:hint="eastAsia"/>
                <w:color w:val="auto"/>
                <w:highlight w:val="none"/>
                <w:lang w:eastAsia="zh-CN"/>
              </w:rPr>
              <w:t>其他</w:t>
            </w:r>
          </w:p>
        </w:tc>
        <w:tc>
          <w:tcPr>
            <w:tcW w:w="102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90</w:t>
            </w:r>
          </w:p>
        </w:tc>
        <w:tc>
          <w:tcPr>
            <w:tcW w:w="900"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97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120</w:t>
            </w:r>
          </w:p>
        </w:tc>
        <w:tc>
          <w:tcPr>
            <w:tcW w:w="915"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96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170</w:t>
            </w:r>
          </w:p>
        </w:tc>
        <w:tc>
          <w:tcPr>
            <w:tcW w:w="905"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64"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r>
              <w:rPr>
                <w:rFonts w:hint="default"/>
                <w:color w:val="auto"/>
                <w:highlight w:val="none"/>
              </w:rPr>
              <w:t>铬≤</w:t>
            </w:r>
          </w:p>
        </w:tc>
        <w:tc>
          <w:tcPr>
            <w:tcW w:w="1777"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color w:val="auto"/>
                <w:highlight w:val="none"/>
                <w:lang w:val="en-US" w:eastAsia="zh-CN"/>
              </w:rPr>
            </w:pPr>
            <w:r>
              <w:rPr>
                <w:rFonts w:hint="eastAsia"/>
                <w:color w:val="auto"/>
                <w:highlight w:val="none"/>
                <w:lang w:eastAsia="zh-CN"/>
              </w:rPr>
              <w:t>水田</w:t>
            </w:r>
          </w:p>
        </w:tc>
        <w:tc>
          <w:tcPr>
            <w:tcW w:w="102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250</w:t>
            </w:r>
          </w:p>
        </w:tc>
        <w:tc>
          <w:tcPr>
            <w:tcW w:w="900"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850</w:t>
            </w:r>
          </w:p>
        </w:tc>
        <w:tc>
          <w:tcPr>
            <w:tcW w:w="97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300</w:t>
            </w:r>
          </w:p>
        </w:tc>
        <w:tc>
          <w:tcPr>
            <w:tcW w:w="915"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1000</w:t>
            </w:r>
          </w:p>
        </w:tc>
        <w:tc>
          <w:tcPr>
            <w:tcW w:w="96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350</w:t>
            </w:r>
          </w:p>
        </w:tc>
        <w:tc>
          <w:tcPr>
            <w:tcW w:w="905"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1300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64"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1777"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color w:val="auto"/>
                <w:highlight w:val="none"/>
                <w:lang w:val="en-US" w:eastAsia="zh-CN"/>
              </w:rPr>
            </w:pPr>
            <w:r>
              <w:rPr>
                <w:rFonts w:hint="eastAsia"/>
                <w:color w:val="auto"/>
                <w:highlight w:val="none"/>
                <w:lang w:eastAsia="zh-CN"/>
              </w:rPr>
              <w:t>其他</w:t>
            </w:r>
          </w:p>
        </w:tc>
        <w:tc>
          <w:tcPr>
            <w:tcW w:w="102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150</w:t>
            </w:r>
          </w:p>
        </w:tc>
        <w:tc>
          <w:tcPr>
            <w:tcW w:w="900"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97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200</w:t>
            </w:r>
          </w:p>
        </w:tc>
        <w:tc>
          <w:tcPr>
            <w:tcW w:w="915"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96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250</w:t>
            </w:r>
          </w:p>
        </w:tc>
        <w:tc>
          <w:tcPr>
            <w:tcW w:w="905"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64"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r>
              <w:rPr>
                <w:rFonts w:hint="default"/>
                <w:color w:val="auto"/>
                <w:highlight w:val="none"/>
              </w:rPr>
              <w:t>铜≤</w:t>
            </w:r>
          </w:p>
        </w:tc>
        <w:tc>
          <w:tcPr>
            <w:tcW w:w="1777"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color w:val="auto"/>
                <w:highlight w:val="none"/>
                <w:lang w:val="en-US" w:eastAsia="zh-CN"/>
              </w:rPr>
            </w:pPr>
            <w:r>
              <w:rPr>
                <w:rFonts w:hint="eastAsia"/>
                <w:color w:val="auto"/>
                <w:highlight w:val="none"/>
                <w:lang w:eastAsia="zh-CN"/>
              </w:rPr>
              <w:t>果园</w:t>
            </w:r>
          </w:p>
        </w:tc>
        <w:tc>
          <w:tcPr>
            <w:tcW w:w="102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150</w:t>
            </w:r>
          </w:p>
        </w:tc>
        <w:tc>
          <w:tcPr>
            <w:tcW w:w="900"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eastAsia="宋"/>
                <w:color w:val="auto"/>
                <w:highlight w:val="none"/>
                <w:lang w:val="en-US" w:eastAsia="zh-CN"/>
              </w:rPr>
            </w:pPr>
            <w:r>
              <w:rPr>
                <w:rFonts w:hint="eastAsia"/>
                <w:color w:val="auto"/>
                <w:highlight w:val="none"/>
                <w:lang w:val="en-US" w:eastAsia="zh-CN"/>
              </w:rPr>
              <w:t>/</w:t>
            </w:r>
          </w:p>
        </w:tc>
        <w:tc>
          <w:tcPr>
            <w:tcW w:w="97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200</w:t>
            </w:r>
          </w:p>
        </w:tc>
        <w:tc>
          <w:tcPr>
            <w:tcW w:w="915"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r>
              <w:rPr>
                <w:rFonts w:hint="eastAsia"/>
                <w:color w:val="auto"/>
                <w:highlight w:val="none"/>
                <w:lang w:val="en-US" w:eastAsia="zh-CN"/>
              </w:rPr>
              <w:t>/</w:t>
            </w:r>
          </w:p>
        </w:tc>
        <w:tc>
          <w:tcPr>
            <w:tcW w:w="96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200</w:t>
            </w:r>
          </w:p>
        </w:tc>
        <w:tc>
          <w:tcPr>
            <w:tcW w:w="905" w:type="dxa"/>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r>
              <w:rPr>
                <w:rFonts w:hint="eastAsia"/>
                <w:color w:val="auto"/>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64"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1777"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color w:val="auto"/>
                <w:highlight w:val="none"/>
                <w:lang w:val="en-US" w:eastAsia="zh-CN"/>
              </w:rPr>
            </w:pPr>
            <w:r>
              <w:rPr>
                <w:rFonts w:hint="eastAsia"/>
                <w:color w:val="auto"/>
                <w:highlight w:val="none"/>
                <w:lang w:eastAsia="zh-CN"/>
              </w:rPr>
              <w:t>其他</w:t>
            </w:r>
          </w:p>
        </w:tc>
        <w:tc>
          <w:tcPr>
            <w:tcW w:w="102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50</w:t>
            </w:r>
          </w:p>
        </w:tc>
        <w:tc>
          <w:tcPr>
            <w:tcW w:w="900"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97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100</w:t>
            </w:r>
          </w:p>
        </w:tc>
        <w:tc>
          <w:tcPr>
            <w:tcW w:w="915"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c>
          <w:tcPr>
            <w:tcW w:w="96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100</w:t>
            </w:r>
          </w:p>
        </w:tc>
        <w:tc>
          <w:tcPr>
            <w:tcW w:w="905" w:type="dxa"/>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41" w:type="dxa"/>
            <w:gridSpan w:val="2"/>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color w:val="auto"/>
                <w:highlight w:val="none"/>
                <w:lang w:eastAsia="zh-CN"/>
              </w:rPr>
            </w:pPr>
            <w:r>
              <w:rPr>
                <w:rFonts w:hint="eastAsia"/>
                <w:color w:val="auto"/>
                <w:highlight w:val="none"/>
                <w:lang w:eastAsia="zh-CN"/>
              </w:rPr>
              <w:t>镍≤</w:t>
            </w:r>
          </w:p>
        </w:tc>
        <w:tc>
          <w:tcPr>
            <w:tcW w:w="102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70</w:t>
            </w:r>
          </w:p>
        </w:tc>
        <w:tc>
          <w:tcPr>
            <w:tcW w:w="90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r>
              <w:rPr>
                <w:rFonts w:hint="eastAsia"/>
                <w:color w:val="auto"/>
                <w:highlight w:val="none"/>
                <w:lang w:val="en-US" w:eastAsia="zh-CN"/>
              </w:rPr>
              <w:t>/</w:t>
            </w:r>
          </w:p>
        </w:tc>
        <w:tc>
          <w:tcPr>
            <w:tcW w:w="97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100</w:t>
            </w:r>
          </w:p>
        </w:tc>
        <w:tc>
          <w:tcPr>
            <w:tcW w:w="91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r>
              <w:rPr>
                <w:rFonts w:hint="eastAsia"/>
                <w:color w:val="auto"/>
                <w:highlight w:val="none"/>
                <w:lang w:val="en-US" w:eastAsia="zh-CN"/>
              </w:rPr>
              <w:t>/</w:t>
            </w:r>
          </w:p>
        </w:tc>
        <w:tc>
          <w:tcPr>
            <w:tcW w:w="96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190</w:t>
            </w:r>
          </w:p>
        </w:tc>
        <w:tc>
          <w:tcPr>
            <w:tcW w:w="90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r>
              <w:rPr>
                <w:rFonts w:hint="eastAsia"/>
                <w:color w:val="auto"/>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841" w:type="dxa"/>
            <w:gridSpan w:val="2"/>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color w:val="auto"/>
                <w:highlight w:val="none"/>
                <w:lang w:eastAsia="zh-CN"/>
              </w:rPr>
            </w:pPr>
            <w:r>
              <w:rPr>
                <w:rFonts w:hint="eastAsia"/>
                <w:color w:val="auto"/>
                <w:highlight w:val="none"/>
                <w:lang w:eastAsia="zh-CN"/>
              </w:rPr>
              <w:t>锌≤</w:t>
            </w:r>
          </w:p>
        </w:tc>
        <w:tc>
          <w:tcPr>
            <w:tcW w:w="102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200</w:t>
            </w:r>
          </w:p>
        </w:tc>
        <w:tc>
          <w:tcPr>
            <w:tcW w:w="90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r>
              <w:rPr>
                <w:rFonts w:hint="eastAsia"/>
                <w:color w:val="auto"/>
                <w:highlight w:val="none"/>
                <w:lang w:val="en-US" w:eastAsia="zh-CN"/>
              </w:rPr>
              <w:t>/</w:t>
            </w:r>
          </w:p>
        </w:tc>
        <w:tc>
          <w:tcPr>
            <w:tcW w:w="97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250</w:t>
            </w:r>
          </w:p>
        </w:tc>
        <w:tc>
          <w:tcPr>
            <w:tcW w:w="91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r>
              <w:rPr>
                <w:rFonts w:hint="eastAsia"/>
                <w:color w:val="auto"/>
                <w:highlight w:val="none"/>
                <w:lang w:val="en-US" w:eastAsia="zh-CN"/>
              </w:rPr>
              <w:t>/</w:t>
            </w:r>
          </w:p>
        </w:tc>
        <w:tc>
          <w:tcPr>
            <w:tcW w:w="960"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300</w:t>
            </w:r>
          </w:p>
        </w:tc>
        <w:tc>
          <w:tcPr>
            <w:tcW w:w="90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color w:val="auto"/>
                <w:highlight w:val="none"/>
              </w:rPr>
            </w:pPr>
            <w:r>
              <w:rPr>
                <w:rFonts w:hint="eastAsia"/>
                <w:color w:val="auto"/>
                <w:highlight w:val="none"/>
                <w:lang w:val="en-US" w:eastAsia="zh-CN"/>
              </w:rPr>
              <w:t>/</w:t>
            </w:r>
          </w:p>
        </w:tc>
      </w:tr>
    </w:tbl>
    <w:p>
      <w:pPr>
        <w:pStyle w:val="4"/>
        <w:bidi w:val="0"/>
        <w:rPr>
          <w:rFonts w:hint="default"/>
          <w:color w:val="auto"/>
        </w:rPr>
      </w:pPr>
      <w:bookmarkStart w:id="169" w:name="_Toc3786"/>
      <w:bookmarkStart w:id="170" w:name="_Toc1656"/>
      <w:bookmarkStart w:id="171" w:name="_Toc26478"/>
      <w:bookmarkStart w:id="172" w:name="_Toc19691"/>
      <w:r>
        <w:rPr>
          <w:rFonts w:hint="default"/>
          <w:color w:val="auto"/>
        </w:rPr>
        <w:t>污染物排放标准</w:t>
      </w:r>
      <w:bookmarkEnd w:id="165"/>
      <w:bookmarkEnd w:id="166"/>
      <w:bookmarkEnd w:id="167"/>
      <w:bookmarkEnd w:id="168"/>
      <w:bookmarkEnd w:id="169"/>
      <w:bookmarkEnd w:id="170"/>
      <w:bookmarkEnd w:id="171"/>
      <w:bookmarkEnd w:id="172"/>
    </w:p>
    <w:p>
      <w:pPr>
        <w:pStyle w:val="5"/>
        <w:numPr>
          <w:ilvl w:val="3"/>
          <w:numId w:val="5"/>
        </w:numPr>
        <w:bidi w:val="0"/>
        <w:ind w:left="480" w:leftChars="0" w:firstLineChars="0"/>
        <w:rPr>
          <w:rFonts w:hint="default"/>
          <w:color w:val="auto"/>
        </w:rPr>
      </w:pPr>
      <w:r>
        <w:rPr>
          <w:rFonts w:hint="default"/>
          <w:color w:val="auto"/>
        </w:rPr>
        <w:t>大气污染物排放标准</w:t>
      </w:r>
    </w:p>
    <w:p>
      <w:pPr>
        <w:tabs>
          <w:tab w:val="left" w:pos="0"/>
          <w:tab w:val="left" w:pos="283"/>
        </w:tabs>
        <w:bidi w:val="0"/>
        <w:outlineLvl w:val="9"/>
        <w:rPr>
          <w:rFonts w:hint="default" w:ascii="Times New Roman" w:hAnsi="Times New Roman" w:cs="Times New Roman"/>
          <w:color w:val="auto"/>
          <w:highlight w:val="none"/>
        </w:rPr>
      </w:pPr>
      <w:r>
        <w:rPr>
          <w:rFonts w:hint="eastAsia"/>
          <w:color w:val="auto"/>
          <w:lang w:val="en-US" w:eastAsia="zh-CN"/>
        </w:rPr>
        <w:t>项目运营期无废气排放，不设置大气排放标准；</w:t>
      </w:r>
      <w:r>
        <w:rPr>
          <w:rFonts w:hint="default" w:ascii="Times New Roman" w:hAnsi="Times New Roman" w:cs="Times New Roman"/>
          <w:color w:val="auto"/>
          <w:highlight w:val="none"/>
        </w:rPr>
        <w:t>施工期产生的大气污染物主要为</w:t>
      </w:r>
      <w:r>
        <w:rPr>
          <w:rFonts w:hint="eastAsia" w:ascii="Times New Roman" w:hAnsi="Times New Roman" w:cs="Times New Roman"/>
          <w:color w:val="auto"/>
          <w:highlight w:val="none"/>
          <w:lang w:eastAsia="zh-CN"/>
        </w:rPr>
        <w:t>颗粒物</w:t>
      </w:r>
      <w:r>
        <w:rPr>
          <w:rFonts w:hint="default" w:ascii="Times New Roman" w:hAnsi="Times New Roman" w:cs="Times New Roman"/>
          <w:color w:val="auto"/>
          <w:highlight w:val="none"/>
        </w:rPr>
        <w:t>，执行《大气污染物综合排放标准》（GB16297-1996）中的无组织排放监控浓度限值，具体限值详见下表。</w:t>
      </w:r>
    </w:p>
    <w:p>
      <w:pPr>
        <w:pStyle w:val="4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ascii="Times New Roman" w:hAnsi="Times New Roman" w:cs="Times New Roman"/>
          <w:color w:val="auto"/>
          <w:highlight w:val="none"/>
          <w:lang w:val="en-US" w:eastAsia="zh-CN"/>
        </w:rPr>
        <w:t>1</w:t>
      </w:r>
      <w:r>
        <w:rPr>
          <w:rFonts w:hint="default" w:ascii="Times New Roman" w:hAnsi="Times New Roman" w:cs="Times New Roman"/>
          <w:color w:val="auto"/>
          <w:highlight w:val="none"/>
        </w:rPr>
        <w:t>.3.2-1  施工期大气污染物综合排放标准</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83"/>
        <w:gridCol w:w="3803"/>
        <w:gridCol w:w="19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83" w:type="dxa"/>
            <w:noWrap w:val="0"/>
            <w:vAlign w:val="center"/>
          </w:tcPr>
          <w:p>
            <w:pPr>
              <w:pStyle w:val="42"/>
              <w:bidi w:val="0"/>
              <w:rPr>
                <w:rFonts w:hint="default"/>
                <w:b/>
                <w:bCs/>
                <w:color w:val="auto"/>
                <w:highlight w:val="none"/>
              </w:rPr>
            </w:pPr>
            <w:r>
              <w:rPr>
                <w:rFonts w:hint="default"/>
                <w:b/>
                <w:bCs/>
                <w:color w:val="auto"/>
                <w:highlight w:val="none"/>
              </w:rPr>
              <w:t>污染物名称</w:t>
            </w:r>
          </w:p>
        </w:tc>
        <w:tc>
          <w:tcPr>
            <w:tcW w:w="5733" w:type="dxa"/>
            <w:gridSpan w:val="2"/>
            <w:noWrap w:val="0"/>
            <w:vAlign w:val="center"/>
          </w:tcPr>
          <w:p>
            <w:pPr>
              <w:pStyle w:val="42"/>
              <w:bidi w:val="0"/>
              <w:rPr>
                <w:rFonts w:hint="default"/>
                <w:b/>
                <w:bCs/>
                <w:color w:val="auto"/>
                <w:highlight w:val="none"/>
              </w:rPr>
            </w:pPr>
            <w:r>
              <w:rPr>
                <w:rFonts w:hint="default"/>
                <w:b/>
                <w:bCs/>
                <w:color w:val="auto"/>
                <w:highlight w:val="none"/>
              </w:rPr>
              <w:t>无组织排放监控浓度限值（mg/m</w:t>
            </w:r>
            <w:r>
              <w:rPr>
                <w:rFonts w:hint="default"/>
                <w:b/>
                <w:bCs/>
                <w:color w:val="auto"/>
                <w:highlight w:val="none"/>
                <w:vertAlign w:val="superscript"/>
              </w:rPr>
              <w:t>3</w:t>
            </w:r>
            <w:r>
              <w:rPr>
                <w:rFonts w:hint="default"/>
                <w:b/>
                <w:bCs/>
                <w:color w:val="auto"/>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83" w:type="dxa"/>
            <w:noWrap w:val="0"/>
            <w:vAlign w:val="center"/>
          </w:tcPr>
          <w:p>
            <w:pPr>
              <w:pStyle w:val="42"/>
              <w:bidi w:val="0"/>
              <w:rPr>
                <w:rFonts w:hint="default"/>
                <w:color w:val="auto"/>
                <w:highlight w:val="none"/>
              </w:rPr>
            </w:pPr>
            <w:r>
              <w:rPr>
                <w:rFonts w:hint="default"/>
                <w:color w:val="auto"/>
                <w:highlight w:val="none"/>
              </w:rPr>
              <w:t>颗粒物</w:t>
            </w:r>
          </w:p>
        </w:tc>
        <w:tc>
          <w:tcPr>
            <w:tcW w:w="3803" w:type="dxa"/>
            <w:noWrap w:val="0"/>
            <w:vAlign w:val="center"/>
          </w:tcPr>
          <w:p>
            <w:pPr>
              <w:pStyle w:val="42"/>
              <w:bidi w:val="0"/>
              <w:rPr>
                <w:rFonts w:hint="default"/>
                <w:color w:val="auto"/>
                <w:highlight w:val="none"/>
              </w:rPr>
            </w:pPr>
            <w:r>
              <w:rPr>
                <w:rFonts w:hint="default"/>
                <w:color w:val="auto"/>
                <w:highlight w:val="none"/>
              </w:rPr>
              <w:t>周界外浓度最高点</w:t>
            </w:r>
          </w:p>
        </w:tc>
        <w:tc>
          <w:tcPr>
            <w:tcW w:w="1930" w:type="dxa"/>
            <w:noWrap w:val="0"/>
            <w:vAlign w:val="center"/>
          </w:tcPr>
          <w:p>
            <w:pPr>
              <w:pStyle w:val="42"/>
              <w:bidi w:val="0"/>
              <w:rPr>
                <w:rFonts w:hint="default"/>
                <w:color w:val="auto"/>
                <w:highlight w:val="none"/>
              </w:rPr>
            </w:pPr>
            <w:r>
              <w:rPr>
                <w:rFonts w:hint="default"/>
                <w:color w:val="auto"/>
                <w:highlight w:val="none"/>
              </w:rPr>
              <w:t>1.0</w:t>
            </w:r>
          </w:p>
        </w:tc>
      </w:tr>
    </w:tbl>
    <w:p>
      <w:pPr>
        <w:pStyle w:val="5"/>
        <w:tabs>
          <w:tab w:val="clear" w:pos="420"/>
        </w:tabs>
        <w:bidi w:val="0"/>
        <w:ind w:left="480" w:leftChars="0" w:firstLineChars="0"/>
        <w:rPr>
          <w:rFonts w:hint="default"/>
          <w:color w:val="auto"/>
        </w:rPr>
      </w:pPr>
      <w:r>
        <w:rPr>
          <w:rFonts w:hint="default"/>
          <w:color w:val="auto"/>
        </w:rPr>
        <w:t>水污染物排放标准</w:t>
      </w:r>
    </w:p>
    <w:p>
      <w:pPr>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项目施工期产生的生产废水处理后全部回用于施工场地洒水降尘及施工生产用水，不外排；生活污水经处理后回用于洒水降尘，不外排</w:t>
      </w:r>
      <w:r>
        <w:rPr>
          <w:rFonts w:hint="eastAsia" w:ascii="Times New Roman" w:hAnsi="Times New Roman" w:eastAsia="宋体" w:cs="Times New Roman"/>
          <w:color w:val="auto"/>
          <w:highlight w:val="none"/>
          <w:lang w:val="en-US" w:eastAsia="zh-CN"/>
        </w:rPr>
        <w:t>，不设置废水排放标准。</w:t>
      </w:r>
    </w:p>
    <w:p>
      <w:pPr>
        <w:keepNext w:val="0"/>
        <w:keepLines w:val="0"/>
        <w:pageBreakBefore w:val="0"/>
        <w:widowControl w:val="0"/>
        <w:kinsoku/>
        <w:wordWrap w:val="0"/>
        <w:overflowPunct/>
        <w:topLinePunct w:val="0"/>
        <w:autoSpaceDE/>
        <w:autoSpaceDN/>
        <w:bidi w:val="0"/>
        <w:adjustRightInd/>
        <w:snapToGrid w:val="0"/>
        <w:ind w:firstLine="480" w:firstLineChars="200"/>
        <w:textAlignment w:val="auto"/>
        <w:rPr>
          <w:rFonts w:hint="default" w:ascii="Times New Roman" w:hAnsi="Times New Roman" w:cs="Times New Roman"/>
          <w:color w:val="0000FF"/>
          <w:highlight w:val="none"/>
          <w:lang w:val="en-US" w:eastAsia="zh-CN"/>
        </w:rPr>
      </w:pPr>
      <w:r>
        <w:rPr>
          <w:rFonts w:hint="eastAsia" w:cs="Times New Roman"/>
          <w:color w:val="0000FF"/>
          <w:highlight w:val="none"/>
          <w:lang w:val="en-US" w:eastAsia="zh-CN"/>
        </w:rPr>
        <w:t>根据</w:t>
      </w:r>
      <w:r>
        <w:rPr>
          <w:rFonts w:hint="eastAsia" w:ascii="Times New Roman" w:hAnsi="Times New Roman" w:eastAsia="宋体" w:cs="Times New Roman"/>
          <w:color w:val="0000FF"/>
          <w:highlight w:val="none"/>
          <w:lang w:val="en-US" w:eastAsia="zh-CN"/>
        </w:rPr>
        <w:t>云南省生态环境厅</w:t>
      </w:r>
      <w:r>
        <w:rPr>
          <w:rFonts w:hint="eastAsia" w:cs="Times New Roman"/>
          <w:color w:val="0000FF"/>
          <w:highlight w:val="none"/>
          <w:lang w:val="en-US" w:eastAsia="zh-CN"/>
        </w:rPr>
        <w:t>发布的</w:t>
      </w:r>
      <w:r>
        <w:rPr>
          <w:rFonts w:hint="eastAsia" w:ascii="Times New Roman" w:hAnsi="Times New Roman" w:eastAsia="宋体" w:cs="Times New Roman"/>
          <w:color w:val="0000FF"/>
          <w:highlight w:val="none"/>
          <w:lang w:val="en-US" w:eastAsia="zh-CN"/>
        </w:rPr>
        <w:t>《农村生活污水治理技术指南》(DB53/T·1163-2023 )</w:t>
      </w:r>
      <w:r>
        <w:rPr>
          <w:rFonts w:hint="eastAsia" w:cs="Times New Roman"/>
          <w:color w:val="0000FF"/>
          <w:highlight w:val="none"/>
          <w:lang w:val="en-US" w:eastAsia="zh-CN"/>
        </w:rPr>
        <w:t>，本项目运营期管理人员生活污水</w:t>
      </w:r>
      <w:r>
        <w:rPr>
          <w:rFonts w:hint="eastAsia" w:ascii="Times New Roman" w:hAnsi="Times New Roman" w:eastAsia="宋体" w:cs="Times New Roman"/>
          <w:color w:val="0000FF"/>
          <w:highlight w:val="none"/>
          <w:lang w:val="en-US" w:eastAsia="zh-CN"/>
        </w:rPr>
        <w:t>经隔油池、化粪池处理后委托当地村民定期</w:t>
      </w:r>
      <w:r>
        <w:rPr>
          <w:rFonts w:hint="eastAsia" w:cs="Times New Roman"/>
          <w:color w:val="0000FF"/>
          <w:highlight w:val="none"/>
          <w:lang w:val="en-US" w:eastAsia="zh-CN"/>
        </w:rPr>
        <w:t>清掏用于农田施肥。符合该指南中简单模式的处理技术工艺及去向。</w:t>
      </w:r>
      <w:r>
        <w:rPr>
          <w:rFonts w:hint="eastAsia" w:cs="Times New Roman"/>
          <w:color w:val="0000FF"/>
          <w:sz w:val="24"/>
          <w:szCs w:val="24"/>
          <w:lang w:val="en-US" w:eastAsia="zh-CN"/>
        </w:rPr>
        <w:t>生活污水不</w:t>
      </w:r>
      <w:r>
        <w:rPr>
          <w:rFonts w:hint="eastAsia" w:ascii="Times New Roman" w:hAnsi="Times New Roman" w:eastAsia="宋体" w:cs="Times New Roman"/>
          <w:color w:val="0000FF"/>
          <w:sz w:val="24"/>
          <w:szCs w:val="24"/>
          <w:lang w:eastAsia="zh-CN"/>
        </w:rPr>
        <w:t>外排，</w:t>
      </w:r>
      <w:r>
        <w:rPr>
          <w:rFonts w:ascii="Times New Roman" w:hAnsi="Times New Roman" w:eastAsia="宋体" w:cs="Times New Roman"/>
          <w:color w:val="0000FF"/>
          <w:sz w:val="24"/>
          <w:szCs w:val="24"/>
        </w:rPr>
        <w:t>不设置</w:t>
      </w:r>
      <w:r>
        <w:rPr>
          <w:rFonts w:hint="eastAsia" w:cs="Times New Roman"/>
          <w:color w:val="0000FF"/>
          <w:sz w:val="24"/>
          <w:szCs w:val="24"/>
          <w:lang w:val="en-US" w:eastAsia="zh-CN"/>
        </w:rPr>
        <w:t>废水</w:t>
      </w:r>
      <w:r>
        <w:rPr>
          <w:rFonts w:ascii="Times New Roman" w:hAnsi="Times New Roman" w:eastAsia="宋体" w:cs="Times New Roman"/>
          <w:color w:val="0000FF"/>
          <w:sz w:val="24"/>
          <w:szCs w:val="24"/>
        </w:rPr>
        <w:t>排放标准。</w:t>
      </w:r>
    </w:p>
    <w:p>
      <w:pPr>
        <w:pStyle w:val="5"/>
        <w:tabs>
          <w:tab w:val="clear" w:pos="420"/>
        </w:tabs>
        <w:bidi w:val="0"/>
        <w:ind w:left="480" w:leftChars="0" w:firstLineChars="0"/>
        <w:rPr>
          <w:rFonts w:hint="default"/>
          <w:color w:val="auto"/>
        </w:rPr>
      </w:pPr>
      <w:r>
        <w:rPr>
          <w:rFonts w:hint="default"/>
          <w:color w:val="auto"/>
        </w:rPr>
        <w:t>噪声排放标准</w:t>
      </w:r>
    </w:p>
    <w:p>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施工期噪声执行《建筑施工场界环境噪声排放标准》（GB12523-2011）标准，具体标准限值详见下表。</w:t>
      </w:r>
      <w:bookmarkStart w:id="173" w:name="OLE_LINK60"/>
    </w:p>
    <w:p>
      <w:pPr>
        <w:pStyle w:val="4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cs="Times New Roman"/>
          <w:color w:val="auto"/>
          <w:highlight w:val="none"/>
          <w:lang w:val="en-US" w:eastAsia="zh-CN"/>
        </w:rPr>
        <w:t>1</w:t>
      </w:r>
      <w:r>
        <w:rPr>
          <w:rFonts w:hint="default" w:ascii="Times New Roman" w:hAnsi="Times New Roman" w:cs="Times New Roman"/>
          <w:color w:val="auto"/>
          <w:highlight w:val="none"/>
        </w:rPr>
        <w:t>.3.2</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 xml:space="preserve">2 </w:t>
      </w:r>
      <w:r>
        <w:rPr>
          <w:rFonts w:hint="default" w:ascii="Times New Roman" w:hAnsi="Times New Roman" w:cs="Times New Roman"/>
          <w:color w:val="auto"/>
          <w:highlight w:val="none"/>
        </w:rPr>
        <w:t xml:space="preserve"> 建筑施工场界环境噪声排放标准    单位：dB（A）</w:t>
      </w:r>
    </w:p>
    <w:bookmarkEnd w:id="173"/>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21"/>
        <w:gridCol w:w="4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24" w:type="dxa"/>
            <w:noWrap w:val="0"/>
            <w:vAlign w:val="center"/>
          </w:tcPr>
          <w:p>
            <w:pPr>
              <w:pStyle w:val="42"/>
              <w:bidi w:val="0"/>
              <w:spacing w:line="240" w:lineRule="auto"/>
              <w:rPr>
                <w:rFonts w:hint="default"/>
                <w:b/>
                <w:bCs/>
                <w:color w:val="auto"/>
                <w:highlight w:val="none"/>
              </w:rPr>
            </w:pPr>
            <w:r>
              <w:rPr>
                <w:rFonts w:hint="default"/>
                <w:b/>
                <w:bCs/>
                <w:color w:val="auto"/>
                <w:highlight w:val="none"/>
              </w:rPr>
              <w:t>昼间</w:t>
            </w:r>
          </w:p>
        </w:tc>
        <w:tc>
          <w:tcPr>
            <w:tcW w:w="4198" w:type="dxa"/>
            <w:noWrap w:val="0"/>
            <w:vAlign w:val="center"/>
          </w:tcPr>
          <w:p>
            <w:pPr>
              <w:pStyle w:val="42"/>
              <w:bidi w:val="0"/>
              <w:rPr>
                <w:rFonts w:hint="default"/>
                <w:b/>
                <w:bCs/>
                <w:color w:val="auto"/>
                <w:highlight w:val="none"/>
              </w:rPr>
            </w:pPr>
            <w:r>
              <w:rPr>
                <w:rFonts w:hint="default"/>
                <w:b/>
                <w:bCs/>
                <w:color w:val="auto"/>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4324" w:type="dxa"/>
            <w:noWrap w:val="0"/>
            <w:vAlign w:val="center"/>
          </w:tcPr>
          <w:p>
            <w:pPr>
              <w:pStyle w:val="42"/>
              <w:bidi w:val="0"/>
              <w:spacing w:line="240" w:lineRule="auto"/>
              <w:rPr>
                <w:rFonts w:hint="default"/>
                <w:color w:val="auto"/>
                <w:highlight w:val="none"/>
              </w:rPr>
            </w:pPr>
            <w:r>
              <w:rPr>
                <w:rFonts w:hint="default"/>
                <w:color w:val="auto"/>
                <w:highlight w:val="none"/>
              </w:rPr>
              <w:t>70</w:t>
            </w:r>
          </w:p>
        </w:tc>
        <w:tc>
          <w:tcPr>
            <w:tcW w:w="4198" w:type="dxa"/>
            <w:noWrap w:val="0"/>
            <w:vAlign w:val="center"/>
          </w:tcPr>
          <w:p>
            <w:pPr>
              <w:pStyle w:val="42"/>
              <w:bidi w:val="0"/>
              <w:rPr>
                <w:rFonts w:hint="default"/>
                <w:color w:val="auto"/>
                <w:highlight w:val="none"/>
              </w:rPr>
            </w:pPr>
            <w:r>
              <w:rPr>
                <w:rFonts w:hint="default"/>
                <w:color w:val="auto"/>
                <w:highlight w:val="none"/>
              </w:rPr>
              <w:t>55</w:t>
            </w:r>
          </w:p>
        </w:tc>
      </w:tr>
    </w:tbl>
    <w:p>
      <w:pPr>
        <w:adjustRightInd/>
        <w:snapToGrid/>
        <w:ind w:firstLine="480"/>
        <w:rPr>
          <w:rFonts w:hint="default" w:ascii="Times New Roman" w:hAnsi="Times New Roman" w:cs="Times New Roman"/>
          <w:color w:val="0000FF"/>
          <w:kern w:val="28"/>
          <w:highlight w:val="none"/>
        </w:rPr>
      </w:pPr>
      <w:r>
        <w:rPr>
          <w:rFonts w:hint="default" w:ascii="Times New Roman" w:hAnsi="Times New Roman" w:cs="Times New Roman"/>
          <w:color w:val="0000FF"/>
          <w:highlight w:val="none"/>
        </w:rPr>
        <w:t>运营期噪声主要为泵站水泵运行噪声，执行《工业企业厂界环境噪声排放标准》（GB12348-2008）</w:t>
      </w:r>
      <w:r>
        <w:rPr>
          <w:rFonts w:hint="eastAsia" w:cs="Times New Roman"/>
          <w:color w:val="0000FF"/>
          <w:highlight w:val="none"/>
          <w:lang w:val="en-US" w:eastAsia="zh-CN"/>
        </w:rPr>
        <w:t>1</w:t>
      </w:r>
      <w:r>
        <w:rPr>
          <w:rFonts w:hint="default" w:ascii="Times New Roman" w:hAnsi="Times New Roman" w:cs="Times New Roman"/>
          <w:color w:val="0000FF"/>
          <w:highlight w:val="none"/>
        </w:rPr>
        <w:t>类区标准，具体标准限值详见下表。</w:t>
      </w:r>
    </w:p>
    <w:p>
      <w:pPr>
        <w:pStyle w:val="40"/>
        <w:ind w:firstLine="482"/>
        <w:rPr>
          <w:rFonts w:hint="default" w:ascii="Times New Roman" w:hAnsi="Times New Roman" w:cs="Times New Roman"/>
          <w:color w:val="0000FF"/>
          <w:kern w:val="28"/>
          <w:highlight w:val="none"/>
        </w:rPr>
      </w:pPr>
      <w:r>
        <w:rPr>
          <w:rFonts w:hint="default" w:ascii="Times New Roman" w:hAnsi="Times New Roman" w:cs="Times New Roman"/>
          <w:color w:val="0000FF"/>
          <w:kern w:val="28"/>
          <w:highlight w:val="none"/>
        </w:rPr>
        <w:t>表</w:t>
      </w:r>
      <w:r>
        <w:rPr>
          <w:rFonts w:hint="eastAsia" w:ascii="Times New Roman" w:hAnsi="Times New Roman" w:cs="Times New Roman"/>
          <w:color w:val="0000FF"/>
          <w:kern w:val="28"/>
          <w:highlight w:val="none"/>
          <w:lang w:val="en-US" w:eastAsia="zh-CN"/>
        </w:rPr>
        <w:t>1</w:t>
      </w:r>
      <w:r>
        <w:rPr>
          <w:rFonts w:hint="default" w:ascii="Times New Roman" w:hAnsi="Times New Roman" w:cs="Times New Roman"/>
          <w:color w:val="0000FF"/>
          <w:kern w:val="28"/>
          <w:highlight w:val="none"/>
        </w:rPr>
        <w:t>.3.2-</w:t>
      </w:r>
      <w:r>
        <w:rPr>
          <w:rFonts w:hint="default" w:ascii="Times New Roman" w:hAnsi="Times New Roman" w:cs="Times New Roman"/>
          <w:color w:val="0000FF"/>
          <w:kern w:val="28"/>
          <w:highlight w:val="none"/>
          <w:lang w:val="en-US" w:eastAsia="zh-CN"/>
        </w:rPr>
        <w:t>3</w:t>
      </w:r>
      <w:r>
        <w:rPr>
          <w:rFonts w:hint="default" w:ascii="Times New Roman" w:hAnsi="Times New Roman" w:cs="Times New Roman"/>
          <w:color w:val="0000FF"/>
          <w:kern w:val="28"/>
          <w:highlight w:val="none"/>
        </w:rPr>
        <w:t xml:space="preserve">  《工业企业厂界环境噪声排放标准》标准限值   单位：dB（A）</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3102"/>
        <w:gridCol w:w="2860"/>
        <w:gridCol w:w="256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102" w:type="dxa"/>
            <w:noWrap w:val="0"/>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类别</w:t>
            </w:r>
          </w:p>
        </w:tc>
        <w:tc>
          <w:tcPr>
            <w:tcW w:w="2860" w:type="dxa"/>
            <w:noWrap w:val="0"/>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昼间</w:t>
            </w:r>
          </w:p>
        </w:tc>
        <w:tc>
          <w:tcPr>
            <w:tcW w:w="2560" w:type="dxa"/>
            <w:noWrap w:val="0"/>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夜间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102" w:type="dxa"/>
            <w:noWrap w:val="0"/>
            <w:vAlign w:val="center"/>
          </w:tcPr>
          <w:p>
            <w:pPr>
              <w:pStyle w:val="42"/>
              <w:rPr>
                <w:rFonts w:hint="eastAsia" w:ascii="Times New Roman" w:hAnsi="Times New Roman" w:eastAsia="宋体" w:cs="Times New Roman"/>
                <w:color w:val="0000FF"/>
                <w:highlight w:val="none"/>
                <w:lang w:eastAsia="zh-CN"/>
              </w:rPr>
            </w:pPr>
            <w:r>
              <w:rPr>
                <w:rFonts w:hint="eastAsia" w:cs="Times New Roman"/>
                <w:color w:val="0000FF"/>
                <w:highlight w:val="none"/>
                <w:lang w:val="en-US" w:eastAsia="zh-CN"/>
              </w:rPr>
              <w:t>1</w:t>
            </w:r>
          </w:p>
        </w:tc>
        <w:tc>
          <w:tcPr>
            <w:tcW w:w="2860" w:type="dxa"/>
            <w:noWrap w:val="0"/>
            <w:vAlign w:val="center"/>
          </w:tcPr>
          <w:p>
            <w:pPr>
              <w:pStyle w:val="42"/>
              <w:rPr>
                <w:rFonts w:hint="default" w:ascii="Times New Roman" w:hAnsi="Times New Roman" w:eastAsia="宋体" w:cs="Times New Roman"/>
                <w:color w:val="0000FF"/>
                <w:highlight w:val="none"/>
                <w:lang w:val="en-US" w:eastAsia="zh-CN"/>
              </w:rPr>
            </w:pPr>
            <w:r>
              <w:rPr>
                <w:rFonts w:hint="eastAsia" w:cs="Times New Roman"/>
                <w:color w:val="0000FF"/>
                <w:highlight w:val="none"/>
                <w:lang w:val="en-US" w:eastAsia="zh-CN"/>
              </w:rPr>
              <w:t>55</w:t>
            </w:r>
          </w:p>
        </w:tc>
        <w:tc>
          <w:tcPr>
            <w:tcW w:w="2560" w:type="dxa"/>
            <w:noWrap w:val="0"/>
            <w:vAlign w:val="center"/>
          </w:tcPr>
          <w:p>
            <w:pPr>
              <w:pStyle w:val="42"/>
              <w:rPr>
                <w:rFonts w:hint="default" w:ascii="Times New Roman" w:hAnsi="Times New Roman" w:eastAsia="宋体" w:cs="Times New Roman"/>
                <w:color w:val="0000FF"/>
                <w:highlight w:val="none"/>
                <w:lang w:val="en-US" w:eastAsia="zh-CN"/>
              </w:rPr>
            </w:pPr>
            <w:r>
              <w:rPr>
                <w:rFonts w:hint="eastAsia" w:cs="Times New Roman"/>
                <w:color w:val="0000FF"/>
                <w:highlight w:val="none"/>
                <w:lang w:val="en-US" w:eastAsia="zh-CN"/>
              </w:rPr>
              <w:t>45</w:t>
            </w:r>
          </w:p>
        </w:tc>
      </w:tr>
    </w:tbl>
    <w:p>
      <w:pPr>
        <w:pStyle w:val="5"/>
        <w:tabs>
          <w:tab w:val="clear" w:pos="420"/>
        </w:tabs>
        <w:bidi w:val="0"/>
        <w:ind w:left="480" w:leftChars="0" w:firstLineChars="0"/>
        <w:rPr>
          <w:rFonts w:hint="default"/>
          <w:color w:val="auto"/>
        </w:rPr>
      </w:pPr>
      <w:r>
        <w:rPr>
          <w:rFonts w:hint="default"/>
          <w:color w:val="auto"/>
        </w:rPr>
        <w:t>固体废弃物</w:t>
      </w:r>
    </w:p>
    <w:p>
      <w:pPr>
        <w:bidi w:val="0"/>
        <w:rPr>
          <w:rFonts w:hint="default" w:ascii="Times New Roman" w:hAnsi="Times New Roman" w:cs="Times New Roman"/>
          <w:color w:val="auto"/>
          <w:highlight w:val="none"/>
        </w:rPr>
      </w:pPr>
      <w:r>
        <w:rPr>
          <w:rFonts w:hint="default" w:ascii="Times New Roman" w:hAnsi="Times New Roman" w:cs="Times New Roman"/>
          <w:color w:val="auto"/>
          <w:kern w:val="28"/>
          <w:highlight w:val="none"/>
        </w:rPr>
        <w:t>一般固体废物的贮存参照</w:t>
      </w:r>
      <w:r>
        <w:rPr>
          <w:rFonts w:hint="default" w:ascii="Times New Roman" w:hAnsi="Times New Roman" w:cs="Times New Roman"/>
          <w:color w:val="auto"/>
          <w:kern w:val="28"/>
          <w:highlight w:val="none"/>
          <w:lang w:eastAsia="zh-CN"/>
        </w:rPr>
        <w:t>《</w:t>
      </w:r>
      <w:r>
        <w:rPr>
          <w:rFonts w:hint="default" w:ascii="Times New Roman" w:hAnsi="Times New Roman" w:cs="Times New Roman"/>
          <w:color w:val="auto"/>
          <w:kern w:val="28"/>
          <w:highlight w:val="none"/>
        </w:rPr>
        <w:t>一般工业固体废物贮存和填埋污染控制标准</w:t>
      </w:r>
      <w:r>
        <w:rPr>
          <w:rFonts w:hint="default" w:ascii="Times New Roman" w:hAnsi="Times New Roman" w:cs="Times New Roman"/>
          <w:color w:val="auto"/>
          <w:kern w:val="28"/>
          <w:highlight w:val="none"/>
          <w:lang w:eastAsia="zh-CN"/>
        </w:rPr>
        <w:t>》</w:t>
      </w:r>
      <w:r>
        <w:rPr>
          <w:rFonts w:hint="default" w:ascii="Times New Roman" w:hAnsi="Times New Roman" w:cs="Times New Roman"/>
          <w:color w:val="auto"/>
          <w:kern w:val="28"/>
          <w:highlight w:val="none"/>
        </w:rPr>
        <w:t>（GB 18599-2020）</w:t>
      </w:r>
      <w:r>
        <w:rPr>
          <w:rFonts w:hint="default" w:ascii="Times New Roman" w:hAnsi="Times New Roman" w:cs="Times New Roman"/>
          <w:color w:val="auto"/>
          <w:kern w:val="28"/>
          <w:highlight w:val="none"/>
          <w:lang w:eastAsia="zh-CN"/>
        </w:rPr>
        <w:t>。</w:t>
      </w:r>
      <w:r>
        <w:rPr>
          <w:rFonts w:hint="default" w:ascii="Times New Roman" w:hAnsi="Times New Roman" w:cs="Times New Roman"/>
          <w:color w:val="auto"/>
          <w:kern w:val="28"/>
          <w:highlight w:val="none"/>
        </w:rPr>
        <w:t>危险废物</w:t>
      </w:r>
      <w:r>
        <w:rPr>
          <w:rFonts w:hint="default" w:ascii="Times New Roman" w:hAnsi="Times New Roman" w:cs="Times New Roman"/>
          <w:color w:val="auto"/>
          <w:highlight w:val="none"/>
        </w:rPr>
        <w:t>《危险废物贮存污染控制标准》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GB 18597-2023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中的相关规定。</w:t>
      </w:r>
    </w:p>
    <w:p>
      <w:pPr>
        <w:pStyle w:val="3"/>
        <w:bidi w:val="0"/>
        <w:rPr>
          <w:rFonts w:hint="default"/>
          <w:color w:val="auto"/>
          <w:highlight w:val="none"/>
        </w:rPr>
      </w:pPr>
      <w:bookmarkStart w:id="174" w:name="_Toc19569"/>
      <w:bookmarkStart w:id="175" w:name="_Toc4175"/>
      <w:bookmarkStart w:id="176" w:name="_Toc28075"/>
      <w:bookmarkStart w:id="177" w:name="_Toc7701"/>
      <w:bookmarkStart w:id="178" w:name="_Toc14361"/>
      <w:bookmarkStart w:id="179" w:name="_Toc15197"/>
      <w:bookmarkStart w:id="180" w:name="_Toc349"/>
      <w:bookmarkStart w:id="181" w:name="_Toc10859"/>
      <w:bookmarkStart w:id="182" w:name="_Toc5802"/>
      <w:bookmarkStart w:id="183" w:name="_Toc9685"/>
      <w:r>
        <w:rPr>
          <w:rFonts w:hint="default"/>
          <w:color w:val="auto"/>
          <w:highlight w:val="none"/>
        </w:rPr>
        <w:t>环境影响</w:t>
      </w:r>
      <w:bookmarkEnd w:id="174"/>
      <w:r>
        <w:rPr>
          <w:rFonts w:hint="default"/>
          <w:color w:val="auto"/>
          <w:highlight w:val="none"/>
        </w:rPr>
        <w:t>因素识别与评价因子筛选</w:t>
      </w:r>
      <w:bookmarkEnd w:id="175"/>
      <w:bookmarkEnd w:id="176"/>
      <w:bookmarkEnd w:id="177"/>
      <w:bookmarkEnd w:id="178"/>
      <w:bookmarkEnd w:id="179"/>
      <w:bookmarkEnd w:id="180"/>
      <w:bookmarkEnd w:id="181"/>
      <w:bookmarkEnd w:id="182"/>
      <w:bookmarkEnd w:id="183"/>
    </w:p>
    <w:p>
      <w:pPr>
        <w:pStyle w:val="4"/>
        <w:bidi w:val="0"/>
        <w:rPr>
          <w:rFonts w:hint="default"/>
          <w:color w:val="auto"/>
          <w:highlight w:val="none"/>
        </w:rPr>
      </w:pPr>
      <w:bookmarkStart w:id="184" w:name="_Toc15481"/>
      <w:bookmarkStart w:id="185" w:name="_Toc8816"/>
      <w:bookmarkStart w:id="186" w:name="_Toc3827"/>
      <w:bookmarkStart w:id="187" w:name="_Toc21722"/>
      <w:bookmarkStart w:id="188" w:name="_Toc14646"/>
      <w:bookmarkStart w:id="189" w:name="_Toc25147"/>
      <w:bookmarkStart w:id="190" w:name="_Toc9115"/>
      <w:bookmarkStart w:id="191" w:name="_Toc12027"/>
      <w:r>
        <w:rPr>
          <w:rFonts w:hint="default"/>
          <w:color w:val="auto"/>
          <w:highlight w:val="none"/>
        </w:rPr>
        <w:t>环境影响因素识别</w:t>
      </w:r>
      <w:bookmarkEnd w:id="184"/>
      <w:bookmarkEnd w:id="185"/>
      <w:bookmarkEnd w:id="186"/>
      <w:bookmarkEnd w:id="187"/>
      <w:bookmarkEnd w:id="188"/>
      <w:bookmarkEnd w:id="189"/>
      <w:bookmarkEnd w:id="190"/>
      <w:bookmarkEnd w:id="191"/>
    </w:p>
    <w:p>
      <w:pPr>
        <w:ind w:firstLine="496" w:firstLineChars="200"/>
        <w:rPr>
          <w:rFonts w:hint="default" w:ascii="Times New Roman" w:hAnsi="Times New Roman" w:cs="Times New Roman"/>
          <w:color w:val="auto"/>
          <w:highlight w:val="none"/>
        </w:rPr>
      </w:pPr>
      <w:r>
        <w:rPr>
          <w:rFonts w:hint="default" w:ascii="Times New Roman" w:hAnsi="Times New Roman" w:cs="Times New Roman"/>
          <w:color w:val="auto"/>
          <w:spacing w:val="4"/>
          <w:highlight w:val="none"/>
        </w:rPr>
        <w:t>本工程对周围环境的</w:t>
      </w:r>
      <w:r>
        <w:rPr>
          <w:rFonts w:hint="default" w:ascii="Times New Roman" w:hAnsi="Times New Roman" w:cs="Times New Roman"/>
          <w:color w:val="auto"/>
          <w:spacing w:val="2"/>
          <w:highlight w:val="none"/>
        </w:rPr>
        <w:t>影</w:t>
      </w:r>
      <w:r>
        <w:rPr>
          <w:rFonts w:hint="default" w:ascii="Times New Roman" w:hAnsi="Times New Roman" w:cs="Times New Roman"/>
          <w:color w:val="auto"/>
          <w:spacing w:val="4"/>
          <w:highlight w:val="none"/>
        </w:rPr>
        <w:t>响涉及到区域内的水</w:t>
      </w:r>
      <w:r>
        <w:rPr>
          <w:rFonts w:hint="default" w:ascii="Times New Roman" w:hAnsi="Times New Roman" w:cs="Times New Roman"/>
          <w:color w:val="auto"/>
          <w:spacing w:val="2"/>
          <w:highlight w:val="none"/>
        </w:rPr>
        <w:t>生</w:t>
      </w:r>
      <w:r>
        <w:rPr>
          <w:rFonts w:hint="default" w:ascii="Times New Roman" w:hAnsi="Times New Roman" w:cs="Times New Roman"/>
          <w:color w:val="auto"/>
          <w:spacing w:val="4"/>
          <w:highlight w:val="none"/>
        </w:rPr>
        <w:t>及陆生生物、环境地</w:t>
      </w:r>
      <w:r>
        <w:rPr>
          <w:rFonts w:hint="default" w:ascii="Times New Roman" w:hAnsi="Times New Roman" w:cs="Times New Roman"/>
          <w:color w:val="auto"/>
          <w:spacing w:val="2"/>
          <w:highlight w:val="none"/>
        </w:rPr>
        <w:t>质</w:t>
      </w:r>
      <w:r>
        <w:rPr>
          <w:rFonts w:hint="default" w:ascii="Times New Roman" w:hAnsi="Times New Roman" w:cs="Times New Roman"/>
          <w:color w:val="auto"/>
          <w:spacing w:val="4"/>
          <w:highlight w:val="none"/>
        </w:rPr>
        <w:t>、水环境、环境空气、</w:t>
      </w:r>
      <w:r>
        <w:rPr>
          <w:rFonts w:hint="default" w:ascii="Times New Roman" w:hAnsi="Times New Roman" w:cs="Times New Roman"/>
          <w:color w:val="auto"/>
          <w:spacing w:val="2"/>
          <w:highlight w:val="none"/>
        </w:rPr>
        <w:t>声</w:t>
      </w:r>
      <w:r>
        <w:rPr>
          <w:rFonts w:hint="default" w:ascii="Times New Roman" w:hAnsi="Times New Roman" w:cs="Times New Roman"/>
          <w:color w:val="auto"/>
          <w:spacing w:val="4"/>
          <w:highlight w:val="none"/>
        </w:rPr>
        <w:t>环境、</w:t>
      </w:r>
      <w:r>
        <w:rPr>
          <w:rFonts w:hint="default" w:ascii="Times New Roman" w:hAnsi="Times New Roman" w:cs="Times New Roman"/>
          <w:color w:val="auto"/>
          <w:spacing w:val="2"/>
          <w:highlight w:val="none"/>
        </w:rPr>
        <w:t>土</w:t>
      </w:r>
      <w:r>
        <w:rPr>
          <w:rFonts w:hint="default" w:ascii="Times New Roman" w:hAnsi="Times New Roman" w:cs="Times New Roman"/>
          <w:color w:val="auto"/>
          <w:spacing w:val="4"/>
          <w:highlight w:val="none"/>
        </w:rPr>
        <w:t>壤、土地资</w:t>
      </w:r>
      <w:r>
        <w:rPr>
          <w:rFonts w:hint="default" w:ascii="Times New Roman" w:hAnsi="Times New Roman" w:cs="Times New Roman"/>
          <w:color w:val="auto"/>
          <w:spacing w:val="2"/>
          <w:highlight w:val="none"/>
        </w:rPr>
        <w:t>源</w:t>
      </w:r>
      <w:r>
        <w:rPr>
          <w:rFonts w:hint="default" w:ascii="Times New Roman" w:hAnsi="Times New Roman" w:cs="Times New Roman"/>
          <w:color w:val="auto"/>
          <w:spacing w:val="4"/>
          <w:highlight w:val="none"/>
        </w:rPr>
        <w:t>、交通</w:t>
      </w:r>
      <w:r>
        <w:rPr>
          <w:rFonts w:hint="default" w:ascii="Times New Roman" w:hAnsi="Times New Roman" w:cs="Times New Roman"/>
          <w:color w:val="auto"/>
          <w:spacing w:val="2"/>
          <w:highlight w:val="none"/>
        </w:rPr>
        <w:t>运</w:t>
      </w:r>
      <w:r>
        <w:rPr>
          <w:rFonts w:hint="default" w:ascii="Times New Roman" w:hAnsi="Times New Roman" w:cs="Times New Roman"/>
          <w:color w:val="auto"/>
          <w:spacing w:val="4"/>
          <w:highlight w:val="none"/>
        </w:rPr>
        <w:t>输、社会经</w:t>
      </w:r>
      <w:r>
        <w:rPr>
          <w:rFonts w:hint="default" w:ascii="Times New Roman" w:hAnsi="Times New Roman" w:cs="Times New Roman"/>
          <w:color w:val="auto"/>
          <w:spacing w:val="2"/>
          <w:highlight w:val="none"/>
        </w:rPr>
        <w:t>济</w:t>
      </w:r>
      <w:r>
        <w:rPr>
          <w:rFonts w:hint="default" w:ascii="Times New Roman" w:hAnsi="Times New Roman" w:cs="Times New Roman"/>
          <w:color w:val="auto"/>
          <w:spacing w:val="4"/>
          <w:highlight w:val="none"/>
        </w:rPr>
        <w:t>等多个</w:t>
      </w:r>
      <w:r>
        <w:rPr>
          <w:rFonts w:hint="default" w:ascii="Times New Roman" w:hAnsi="Times New Roman" w:cs="Times New Roman"/>
          <w:color w:val="auto"/>
          <w:spacing w:val="2"/>
          <w:highlight w:val="none"/>
        </w:rPr>
        <w:t>环</w:t>
      </w:r>
      <w:r>
        <w:rPr>
          <w:rFonts w:hint="default" w:ascii="Times New Roman" w:hAnsi="Times New Roman" w:cs="Times New Roman"/>
          <w:color w:val="auto"/>
          <w:spacing w:val="4"/>
          <w:highlight w:val="none"/>
        </w:rPr>
        <w:t>境要素。对</w:t>
      </w:r>
      <w:r>
        <w:rPr>
          <w:rFonts w:hint="default" w:ascii="Times New Roman" w:hAnsi="Times New Roman" w:cs="Times New Roman"/>
          <w:color w:val="auto"/>
          <w:spacing w:val="2"/>
          <w:highlight w:val="none"/>
        </w:rPr>
        <w:t>这</w:t>
      </w:r>
      <w:r>
        <w:rPr>
          <w:rFonts w:hint="default" w:ascii="Times New Roman" w:hAnsi="Times New Roman" w:cs="Times New Roman"/>
          <w:color w:val="auto"/>
          <w:highlight w:val="none"/>
        </w:rPr>
        <w:t>些环境影响关键问题的识别采用矩阵识别分析，识别结果</w:t>
      </w:r>
      <w:r>
        <w:rPr>
          <w:rFonts w:hint="default" w:ascii="Times New Roman" w:hAnsi="Times New Roman" w:cs="Times New Roman"/>
          <w:color w:val="auto"/>
          <w:highlight w:val="none"/>
          <w:lang w:val="en-US" w:eastAsia="zh-CN"/>
        </w:rPr>
        <w:t>详见下表。</w:t>
      </w:r>
    </w:p>
    <w:p>
      <w:pPr>
        <w:pStyle w:val="4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cs="Times New Roman"/>
          <w:color w:val="auto"/>
          <w:highlight w:val="none"/>
          <w:lang w:val="en-US" w:eastAsia="zh-CN"/>
        </w:rPr>
        <w:t>1</w:t>
      </w:r>
      <w:r>
        <w:rPr>
          <w:rFonts w:hint="default" w:ascii="Times New Roman" w:hAnsi="Times New Roman" w:cs="Times New Roman"/>
          <w:color w:val="auto"/>
          <w:highlight w:val="none"/>
        </w:rPr>
        <w:t>.4.1-1  项目环境影响因子识别矩阵表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1419"/>
        <w:gridCol w:w="47"/>
        <w:gridCol w:w="737"/>
        <w:gridCol w:w="475"/>
        <w:gridCol w:w="1579"/>
        <w:gridCol w:w="1420"/>
        <w:gridCol w:w="14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color w:val="auto"/>
                <w:highlight w:val="none"/>
                <w:lang w:val="en-US" w:eastAsia="zh-CN"/>
              </w:rPr>
            </w:pPr>
            <w:r>
              <w:rPr>
                <w:rFonts w:hint="eastAsia"/>
                <w:color w:val="auto"/>
                <w:highlight w:val="none"/>
                <w:lang w:val="en-US" w:eastAsia="zh-CN"/>
              </w:rPr>
              <w:t>区域范围</w:t>
            </w:r>
          </w:p>
        </w:tc>
        <w:tc>
          <w:tcPr>
            <w:tcW w:w="4257" w:type="dxa"/>
            <w:gridSpan w:val="5"/>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color w:val="auto"/>
                <w:highlight w:val="none"/>
                <w:lang w:eastAsia="zh-CN"/>
              </w:rPr>
            </w:pPr>
            <w:r>
              <w:rPr>
                <w:rFonts w:hint="eastAsia"/>
                <w:color w:val="auto"/>
                <w:highlight w:val="none"/>
                <w:lang w:eastAsia="zh-CN"/>
              </w:rPr>
              <w:t>环境组成与环境要素</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color w:val="auto"/>
                <w:highlight w:val="none"/>
                <w:lang w:eastAsia="zh-CN"/>
              </w:rPr>
            </w:pPr>
            <w:r>
              <w:rPr>
                <w:rFonts w:hint="eastAsia"/>
                <w:color w:val="auto"/>
                <w:highlight w:val="none"/>
                <w:lang w:eastAsia="zh-CN"/>
              </w:rPr>
              <w:t>施工期</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color w:val="auto"/>
                <w:highlight w:val="none"/>
                <w:lang w:eastAsia="zh-CN"/>
              </w:rPr>
            </w:pPr>
            <w:r>
              <w:rPr>
                <w:rFonts w:hint="eastAsia"/>
                <w:color w:val="auto"/>
                <w:highlight w:val="none"/>
                <w:lang w:eastAsia="zh-CN"/>
              </w:rPr>
              <w:t>运行期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restart"/>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工程区</w:t>
            </w:r>
          </w:p>
        </w:tc>
        <w:tc>
          <w:tcPr>
            <w:tcW w:w="1419" w:type="dxa"/>
            <w:vMerge w:val="restart"/>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生态环境</w:t>
            </w:r>
          </w:p>
        </w:tc>
        <w:tc>
          <w:tcPr>
            <w:tcW w:w="2838" w:type="dxa"/>
            <w:gridSpan w:val="4"/>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eastAsia"/>
                <w:color w:val="auto"/>
                <w:highlight w:val="none"/>
                <w:lang w:eastAsia="zh-CN"/>
              </w:rPr>
              <w:t>陆生生态系统</w:t>
            </w:r>
          </w:p>
        </w:tc>
        <w:tc>
          <w:tcPr>
            <w:tcW w:w="1420" w:type="dxa"/>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rPr>
                <w:rFonts w:hint="default"/>
                <w:color w:val="auto"/>
                <w:highlight w:val="none"/>
              </w:rPr>
            </w:pPr>
            <w:r>
              <w:rPr>
                <w:rFonts w:hint="default" w:ascii="Times New Roman" w:hAnsi="Times New Roman" w:eastAsia="宋体" w:cs="Times New Roman"/>
                <w:color w:val="auto"/>
                <w:kern w:val="0"/>
                <w:sz w:val="21"/>
                <w:szCs w:val="21"/>
                <w:highlight w:val="none"/>
                <w:lang w:val="en-US" w:eastAsia="zh-CN" w:bidi="ar"/>
              </w:rPr>
              <w:t>■S</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259" w:type="dxa"/>
            <w:gridSpan w:val="3"/>
            <w:vMerge w:val="restart"/>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陆生生物</w:t>
            </w:r>
          </w:p>
        </w:tc>
        <w:tc>
          <w:tcPr>
            <w:tcW w:w="1579"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eastAsia"/>
                <w:color w:val="auto"/>
                <w:highlight w:val="none"/>
                <w:lang w:val="en-US" w:eastAsia="zh-CN"/>
              </w:rPr>
              <w:t xml:space="preserve">植被、植物 </w:t>
            </w:r>
          </w:p>
        </w:tc>
        <w:tc>
          <w:tcPr>
            <w:tcW w:w="1420" w:type="dxa"/>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rPr>
                <w:rFonts w:hint="default"/>
                <w:color w:val="auto"/>
                <w:highlight w:val="none"/>
              </w:rPr>
            </w:pPr>
            <w:r>
              <w:rPr>
                <w:rFonts w:hint="default" w:ascii="Times New Roman" w:hAnsi="Times New Roman" w:eastAsia="宋体" w:cs="Times New Roman"/>
                <w:color w:val="auto"/>
                <w:kern w:val="0"/>
                <w:sz w:val="21"/>
                <w:szCs w:val="21"/>
                <w:highlight w:val="none"/>
                <w:lang w:val="en-US" w:eastAsia="zh-CN" w:bidi="ar"/>
              </w:rPr>
              <w:t>■S</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259" w:type="dxa"/>
            <w:gridSpan w:val="3"/>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579"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eastAsia"/>
                <w:color w:val="auto"/>
                <w:highlight w:val="none"/>
                <w:lang w:val="en-US" w:eastAsia="zh-CN"/>
              </w:rPr>
              <w:t>陆生脊椎动物</w:t>
            </w:r>
          </w:p>
        </w:tc>
        <w:tc>
          <w:tcPr>
            <w:tcW w:w="1420" w:type="dxa"/>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rPr>
                <w:rFonts w:hint="default"/>
                <w:color w:val="auto"/>
                <w:highlight w:val="none"/>
              </w:rPr>
            </w:pPr>
            <w:r>
              <w:rPr>
                <w:rFonts w:hint="default" w:ascii="Times New Roman" w:hAnsi="Times New Roman" w:eastAsia="宋体" w:cs="Times New Roman"/>
                <w:color w:val="auto"/>
                <w:kern w:val="0"/>
                <w:sz w:val="21"/>
                <w:szCs w:val="21"/>
                <w:highlight w:val="none"/>
                <w:lang w:val="en-US" w:eastAsia="zh-CN" w:bidi="ar"/>
              </w:rPr>
              <w:t>■S</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2838" w:type="dxa"/>
            <w:gridSpan w:val="4"/>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水生生物</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ascii="Times New Roman" w:hAnsi="Times New Roman" w:eastAsia="宋体" w:cs="Times New Roman"/>
                <w:color w:val="auto"/>
                <w:kern w:val="0"/>
                <w:sz w:val="21"/>
                <w:szCs w:val="21"/>
                <w:highlight w:val="none"/>
                <w:lang w:val="en-US" w:eastAsia="zh-CN" w:bidi="ar"/>
              </w:rPr>
              <w:t>■S</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2838" w:type="dxa"/>
            <w:gridSpan w:val="4"/>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水土保持</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color w:val="auto"/>
                <w:highlight w:val="none"/>
              </w:rPr>
              <w:t>■S</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ascii="Times New Roman" w:hAnsi="Times New Roman" w:cs="Times New Roman"/>
                <w:color w:val="auto"/>
                <w:sz w:val="24"/>
                <w:szCs w:val="24"/>
                <w:highlight w:val="none"/>
              </w:rPr>
              <w:t>□</w:t>
            </w:r>
            <w:r>
              <w:rPr>
                <w:rFonts w:hint="default"/>
                <w:color w:val="auto"/>
                <w:highlight w:val="none"/>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2838" w:type="dxa"/>
            <w:gridSpan w:val="4"/>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土地利用</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color w:val="auto"/>
                <w:highlight w:val="none"/>
              </w:rPr>
              <w:t>▲S</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ascii="Times New Roman" w:hAnsi="Times New Roman" w:cs="Times New Roman"/>
                <w:color w:val="auto"/>
                <w:sz w:val="24"/>
                <w:szCs w:val="24"/>
                <w:highlight w:val="none"/>
              </w:rPr>
              <w:t>■</w:t>
            </w:r>
            <w:r>
              <w:rPr>
                <w:rFonts w:hint="default"/>
                <w:color w:val="auto"/>
                <w:highlight w:val="none"/>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19" w:type="dxa"/>
            <w:vMerge w:val="restart"/>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地表水环境</w:t>
            </w:r>
          </w:p>
        </w:tc>
        <w:tc>
          <w:tcPr>
            <w:tcW w:w="2838" w:type="dxa"/>
            <w:gridSpan w:val="4"/>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河流水文情势</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color w:val="auto"/>
                <w:highlight w:val="none"/>
              </w:rPr>
              <w:t>▲S</w:t>
            </w:r>
          </w:p>
        </w:tc>
        <w:tc>
          <w:tcPr>
            <w:tcW w:w="1420" w:type="dxa"/>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rPr>
                <w:rFonts w:hint="default"/>
                <w:color w:val="auto"/>
                <w:highlight w:val="none"/>
              </w:rPr>
            </w:pPr>
            <w:r>
              <w:rPr>
                <w:rFonts w:hint="default" w:ascii="Times New Roman" w:hAnsi="Times New Roman" w:eastAsia="宋体" w:cs="Times New Roman"/>
                <w:color w:val="auto"/>
                <w:kern w:val="0"/>
                <w:sz w:val="21"/>
                <w:szCs w:val="21"/>
                <w:highlight w:val="none"/>
                <w:lang w:val="en-US" w:eastAsia="zh-CN" w:bidi="ar"/>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2838" w:type="dxa"/>
            <w:gridSpan w:val="4"/>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水质</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color w:val="auto"/>
                <w:highlight w:val="none"/>
              </w:rPr>
              <w:t>▲S</w:t>
            </w:r>
          </w:p>
        </w:tc>
        <w:tc>
          <w:tcPr>
            <w:tcW w:w="1420" w:type="dxa"/>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rPr>
                <w:rFonts w:hint="default"/>
                <w:color w:val="auto"/>
                <w:highlight w:val="none"/>
              </w:rPr>
            </w:pPr>
            <w:r>
              <w:rPr>
                <w:rFonts w:hint="default" w:ascii="Times New Roman" w:hAnsi="Times New Roman" w:eastAsia="宋体" w:cs="Times New Roman"/>
                <w:color w:val="auto"/>
                <w:kern w:val="0"/>
                <w:sz w:val="21"/>
                <w:szCs w:val="21"/>
                <w:highlight w:val="none"/>
                <w:lang w:val="en-US" w:eastAsia="zh-CN" w:bidi="ar"/>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259" w:type="dxa"/>
            <w:gridSpan w:val="3"/>
            <w:vMerge w:val="restart"/>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水资源利用</w:t>
            </w:r>
          </w:p>
        </w:tc>
        <w:tc>
          <w:tcPr>
            <w:tcW w:w="1579"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河流生态用水</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ascii="Times New Roman" w:hAnsi="Times New Roman" w:eastAsia="宋体" w:cs="Times New Roman"/>
                <w:color w:val="auto"/>
                <w:kern w:val="0"/>
                <w:sz w:val="21"/>
                <w:szCs w:val="21"/>
                <w:highlight w:val="none"/>
                <w:lang w:val="en-US" w:eastAsia="zh-CN" w:bidi="ar"/>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259" w:type="dxa"/>
            <w:gridSpan w:val="3"/>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579"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生产生活用水</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color w:val="auto"/>
                <w:highlight w:val="none"/>
              </w:rPr>
              <w:t>▲S</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color w:val="auto"/>
                <w:highlight w:val="none"/>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19"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地下水环境</w:t>
            </w:r>
          </w:p>
        </w:tc>
        <w:tc>
          <w:tcPr>
            <w:tcW w:w="2838" w:type="dxa"/>
            <w:gridSpan w:val="4"/>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地下水质、水位</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color w:val="auto"/>
                <w:highlight w:val="none"/>
              </w:rPr>
              <w:t>▲S</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4257" w:type="dxa"/>
            <w:gridSpan w:val="5"/>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空气环境、声环境、固体废弃物</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color w:val="auto"/>
                <w:highlight w:val="none"/>
              </w:rPr>
              <w:t>▲S</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4257" w:type="dxa"/>
            <w:gridSpan w:val="5"/>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eastAsia"/>
                <w:color w:val="auto"/>
                <w:highlight w:val="none"/>
                <w:lang w:eastAsia="zh-CN"/>
              </w:rPr>
              <w:t>土壤环境</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color w:val="auto"/>
                <w:highlight w:val="none"/>
              </w:rPr>
              <w:t>▲S</w:t>
            </w:r>
          </w:p>
        </w:tc>
        <w:tc>
          <w:tcPr>
            <w:tcW w:w="1420" w:type="dxa"/>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restart"/>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受水区</w:t>
            </w:r>
          </w:p>
        </w:tc>
        <w:tc>
          <w:tcPr>
            <w:tcW w:w="1419" w:type="dxa"/>
            <w:vMerge w:val="restart"/>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生态环境</w:t>
            </w:r>
          </w:p>
        </w:tc>
        <w:tc>
          <w:tcPr>
            <w:tcW w:w="2838" w:type="dxa"/>
            <w:gridSpan w:val="4"/>
            <w:shd w:val="clear" w:color="auto" w:fill="auto"/>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rFonts w:hint="eastAsia" w:eastAsia="宋"/>
                <w:color w:val="auto"/>
                <w:highlight w:val="none"/>
                <w:lang w:eastAsia="zh-CN"/>
              </w:rPr>
            </w:pPr>
            <w:r>
              <w:rPr>
                <w:rFonts w:hint="eastAsia"/>
                <w:color w:val="auto"/>
                <w:highlight w:val="none"/>
                <w:lang w:eastAsia="zh-CN"/>
              </w:rPr>
              <w:t>陆地生态系统</w:t>
            </w: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ascii="Times New Roman" w:hAnsi="Times New Roman" w:cs="Times New Roman"/>
                <w:color w:val="auto"/>
                <w:sz w:val="24"/>
                <w:szCs w:val="24"/>
                <w:highlight w:val="none"/>
              </w:rPr>
              <w:t>□</w:t>
            </w:r>
            <w:r>
              <w:rPr>
                <w:rFonts w:hint="default"/>
                <w:color w:val="auto"/>
                <w:highlight w:val="none"/>
              </w:rPr>
              <w:t>L</w:t>
            </w:r>
            <w:r>
              <w:rPr>
                <w:rFonts w:hint="eastAsia"/>
                <w:color w:val="auto"/>
                <w:highlight w:val="none"/>
                <w:lang w:val="en-US" w:eastAsia="zh-CN"/>
              </w:rPr>
              <w:t>/</w:t>
            </w:r>
            <w:r>
              <w:rPr>
                <w:rFonts w:hint="default" w:ascii="Times New Roman" w:hAnsi="Times New Roman" w:eastAsia="宋体" w:cs="Times New Roman"/>
                <w:color w:val="auto"/>
                <w:kern w:val="0"/>
                <w:sz w:val="21"/>
                <w:szCs w:val="21"/>
                <w:highlight w:val="none"/>
                <w:lang w:val="en-US" w:eastAsia="zh-CN" w:bidi="ar"/>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19" w:type="dxa"/>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2838" w:type="dxa"/>
            <w:gridSpan w:val="4"/>
            <w:shd w:val="clear" w:color="auto" w:fill="auto"/>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rFonts w:hint="eastAsia" w:eastAsia="宋"/>
                <w:color w:val="auto"/>
                <w:highlight w:val="none"/>
                <w:lang w:eastAsia="zh-CN"/>
              </w:rPr>
            </w:pPr>
            <w:r>
              <w:rPr>
                <w:rFonts w:hint="eastAsia"/>
                <w:color w:val="auto"/>
                <w:highlight w:val="none"/>
                <w:lang w:eastAsia="zh-CN"/>
              </w:rPr>
              <w:t>水生生态系统</w:t>
            </w: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val="en-US" w:eastAsia="zh-CN"/>
              </w:rPr>
            </w:pPr>
            <w:r>
              <w:rPr>
                <w:rFonts w:hint="default" w:ascii="Times New Roman" w:hAnsi="Times New Roman" w:cs="Times New Roman"/>
                <w:color w:val="auto"/>
                <w:sz w:val="24"/>
                <w:szCs w:val="24"/>
                <w:highlight w:val="none"/>
              </w:rPr>
              <w:t>□</w:t>
            </w:r>
            <w:r>
              <w:rPr>
                <w:rFonts w:hint="default"/>
                <w:color w:val="auto"/>
                <w:highlight w:val="none"/>
              </w:rPr>
              <w:t>L</w:t>
            </w:r>
            <w:r>
              <w:rPr>
                <w:rFonts w:hint="eastAsia"/>
                <w:color w:val="auto"/>
                <w:highlight w:val="none"/>
                <w:lang w:val="en-US" w:eastAsia="zh-CN"/>
              </w:rPr>
              <w:t>/</w:t>
            </w:r>
            <w:r>
              <w:rPr>
                <w:rFonts w:hint="default" w:ascii="Times New Roman" w:hAnsi="Times New Roman" w:eastAsia="宋体" w:cs="Times New Roman"/>
                <w:color w:val="auto"/>
                <w:kern w:val="0"/>
                <w:sz w:val="21"/>
                <w:szCs w:val="21"/>
                <w:highlight w:val="none"/>
                <w:lang w:val="en-US" w:eastAsia="zh-CN" w:bidi="ar"/>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19" w:type="dxa"/>
            <w:vMerge w:val="restart"/>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地表水环境</w:t>
            </w:r>
          </w:p>
        </w:tc>
        <w:tc>
          <w:tcPr>
            <w:tcW w:w="2838" w:type="dxa"/>
            <w:gridSpan w:val="4"/>
            <w:shd w:val="clear" w:color="auto" w:fill="auto"/>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rFonts w:hint="eastAsia" w:eastAsia="宋"/>
                <w:color w:val="auto"/>
                <w:highlight w:val="none"/>
                <w:lang w:eastAsia="zh-CN"/>
              </w:rPr>
            </w:pPr>
            <w:r>
              <w:rPr>
                <w:rFonts w:hint="eastAsia"/>
                <w:color w:val="auto"/>
                <w:highlight w:val="none"/>
                <w:lang w:eastAsia="zh-CN"/>
              </w:rPr>
              <w:t>水质</w:t>
            </w: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ascii="Times New Roman" w:hAnsi="Times New Roman" w:cs="Times New Roman"/>
                <w:color w:val="auto"/>
                <w:sz w:val="24"/>
                <w:szCs w:val="24"/>
                <w:highlight w:val="none"/>
              </w:rPr>
              <w:t>□</w:t>
            </w:r>
            <w:r>
              <w:rPr>
                <w:rFonts w:hint="default"/>
                <w:color w:val="auto"/>
                <w:highlight w:val="none"/>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jc w:val="center"/>
        </w:trPr>
        <w:tc>
          <w:tcPr>
            <w:tcW w:w="1419" w:type="dxa"/>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19" w:type="dxa"/>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784" w:type="dxa"/>
            <w:gridSpan w:val="2"/>
            <w:vMerge w:val="restart"/>
            <w:shd w:val="clear" w:color="auto" w:fill="auto"/>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rFonts w:hint="eastAsia" w:eastAsia="宋"/>
                <w:color w:val="auto"/>
                <w:highlight w:val="none"/>
                <w:lang w:eastAsia="zh-CN"/>
              </w:rPr>
            </w:pPr>
            <w:r>
              <w:rPr>
                <w:rFonts w:hint="eastAsia"/>
                <w:color w:val="auto"/>
                <w:highlight w:val="none"/>
                <w:lang w:eastAsia="zh-CN"/>
              </w:rPr>
              <w:t>水资源利用</w:t>
            </w:r>
          </w:p>
        </w:tc>
        <w:tc>
          <w:tcPr>
            <w:tcW w:w="2054" w:type="dxa"/>
            <w:gridSpan w:val="2"/>
            <w:shd w:val="clear" w:color="auto" w:fill="auto"/>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rFonts w:hint="eastAsia"/>
                <w:color w:val="auto"/>
                <w:highlight w:val="none"/>
                <w:lang w:eastAsia="zh-CN"/>
              </w:rPr>
            </w:pPr>
            <w:r>
              <w:rPr>
                <w:rFonts w:hint="eastAsia"/>
                <w:color w:val="auto"/>
                <w:highlight w:val="none"/>
                <w:lang w:eastAsia="zh-CN"/>
              </w:rPr>
              <w:t>河流生态用水</w:t>
            </w: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ascii="Times New Roman" w:hAnsi="Times New Roman" w:cs="Times New Roman"/>
                <w:color w:val="auto"/>
                <w:sz w:val="24"/>
                <w:szCs w:val="24"/>
                <w:highlight w:val="none"/>
              </w:rPr>
              <w:t>□</w:t>
            </w:r>
            <w:r>
              <w:rPr>
                <w:rFonts w:hint="default"/>
                <w:color w:val="auto"/>
                <w:highlight w:val="none"/>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19" w:type="dxa"/>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784" w:type="dxa"/>
            <w:gridSpan w:val="2"/>
            <w:vMerge w:val="continue"/>
            <w:shd w:val="clear" w:color="auto" w:fill="auto"/>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rFonts w:hint="eastAsia" w:eastAsia="宋"/>
                <w:color w:val="auto"/>
                <w:highlight w:val="none"/>
                <w:lang w:eastAsia="zh-CN"/>
              </w:rPr>
            </w:pPr>
          </w:p>
        </w:tc>
        <w:tc>
          <w:tcPr>
            <w:tcW w:w="2054" w:type="dxa"/>
            <w:gridSpan w:val="2"/>
            <w:shd w:val="clear" w:color="auto" w:fill="auto"/>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rFonts w:hint="eastAsia"/>
                <w:color w:val="auto"/>
                <w:highlight w:val="none"/>
                <w:lang w:eastAsia="zh-CN"/>
              </w:rPr>
            </w:pPr>
            <w:r>
              <w:rPr>
                <w:rFonts w:hint="eastAsia"/>
                <w:color w:val="auto"/>
                <w:highlight w:val="none"/>
                <w:lang w:eastAsia="zh-CN"/>
              </w:rPr>
              <w:t>生产生活用水</w:t>
            </w: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color w:val="auto"/>
                <w:highlight w:val="none"/>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419" w:type="dxa"/>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19" w:type="dxa"/>
            <w:vMerge w:val="restart"/>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eastAsia="宋"/>
                <w:color w:val="auto"/>
                <w:highlight w:val="none"/>
                <w:lang w:val="en-US" w:eastAsia="zh-CN"/>
              </w:rPr>
            </w:pPr>
            <w:r>
              <w:rPr>
                <w:rFonts w:hint="eastAsia"/>
                <w:color w:val="auto"/>
                <w:highlight w:val="none"/>
                <w:lang w:val="en-US" w:eastAsia="zh-CN"/>
              </w:rPr>
              <w:t>社会环境</w:t>
            </w:r>
          </w:p>
        </w:tc>
        <w:tc>
          <w:tcPr>
            <w:tcW w:w="2838" w:type="dxa"/>
            <w:gridSpan w:val="4"/>
            <w:shd w:val="clear" w:color="auto" w:fill="auto"/>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rFonts w:hint="default"/>
                <w:color w:val="auto"/>
                <w:highlight w:val="none"/>
                <w:lang w:val="en-US" w:eastAsia="zh-CN"/>
              </w:rPr>
            </w:pPr>
            <w:r>
              <w:rPr>
                <w:rFonts w:hint="eastAsia"/>
                <w:color w:val="auto"/>
                <w:highlight w:val="none"/>
                <w:lang w:val="en-US" w:eastAsia="zh-CN"/>
              </w:rPr>
              <w:t>社会经济发展</w:t>
            </w: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color w:val="auto"/>
                <w:highlight w:val="none"/>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19" w:type="dxa"/>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2838" w:type="dxa"/>
            <w:gridSpan w:val="4"/>
            <w:shd w:val="clear" w:color="auto" w:fill="auto"/>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rFonts w:hint="default"/>
                <w:color w:val="auto"/>
                <w:highlight w:val="none"/>
                <w:lang w:val="en-US" w:eastAsia="zh-CN"/>
              </w:rPr>
            </w:pPr>
            <w:r>
              <w:rPr>
                <w:rFonts w:hint="eastAsia"/>
                <w:color w:val="auto"/>
                <w:highlight w:val="none"/>
                <w:lang w:val="en-US" w:eastAsia="zh-CN"/>
              </w:rPr>
              <w:t>人民生活水平</w:t>
            </w: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color w:val="auto"/>
                <w:highlight w:val="none"/>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4257" w:type="dxa"/>
            <w:gridSpan w:val="5"/>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eastAsia="zh-CN"/>
              </w:rPr>
            </w:pPr>
            <w:r>
              <w:rPr>
                <w:rFonts w:hint="eastAsia"/>
                <w:color w:val="auto"/>
                <w:highlight w:val="none"/>
                <w:lang w:eastAsia="zh-CN"/>
              </w:rPr>
              <w:t>土壤环境</w:t>
            </w: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ascii="Times New Roman" w:hAnsi="Times New Roman" w:cs="Times New Roman"/>
                <w:color w:val="auto"/>
                <w:sz w:val="24"/>
                <w:szCs w:val="24"/>
                <w:highlight w:val="none"/>
              </w:rPr>
              <w:t>□</w:t>
            </w:r>
            <w:r>
              <w:rPr>
                <w:rFonts w:hint="default"/>
                <w:color w:val="auto"/>
                <w:highlight w:val="none"/>
              </w:rPr>
              <w:t>L</w:t>
            </w:r>
            <w:r>
              <w:rPr>
                <w:rFonts w:hint="eastAsia"/>
                <w:color w:val="auto"/>
                <w:highlight w:val="none"/>
                <w:lang w:val="en-US" w:eastAsia="zh-CN"/>
              </w:rPr>
              <w:t>/</w:t>
            </w:r>
            <w:r>
              <w:rPr>
                <w:rFonts w:hint="default" w:ascii="Times New Roman" w:hAnsi="Times New Roman" w:eastAsia="宋体" w:cs="Times New Roman"/>
                <w:color w:val="auto"/>
                <w:kern w:val="0"/>
                <w:sz w:val="21"/>
                <w:szCs w:val="21"/>
                <w:highlight w:val="none"/>
                <w:lang w:val="en-US" w:eastAsia="zh-CN" w:bidi="ar"/>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restart"/>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val="en-US" w:eastAsia="zh-CN"/>
              </w:rPr>
            </w:pPr>
            <w:r>
              <w:rPr>
                <w:rFonts w:hint="eastAsia"/>
                <w:color w:val="auto"/>
                <w:highlight w:val="none"/>
                <w:lang w:val="en-US" w:eastAsia="zh-CN"/>
              </w:rPr>
              <w:t>退水区</w:t>
            </w:r>
          </w:p>
        </w:tc>
        <w:tc>
          <w:tcPr>
            <w:tcW w:w="1466" w:type="dxa"/>
            <w:gridSpan w:val="2"/>
            <w:vMerge w:val="restart"/>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水环境</w:t>
            </w:r>
          </w:p>
        </w:tc>
        <w:tc>
          <w:tcPr>
            <w:tcW w:w="2791" w:type="dxa"/>
            <w:gridSpan w:val="3"/>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水文情势</w:t>
            </w: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color w:val="auto"/>
                <w:highlight w:val="none"/>
              </w:rPr>
              <w:t>▲S</w:t>
            </w: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ascii="Times New Roman" w:hAnsi="Times New Roman" w:eastAsia="宋体" w:cs="Times New Roman"/>
                <w:color w:val="auto"/>
                <w:kern w:val="0"/>
                <w:sz w:val="21"/>
                <w:szCs w:val="21"/>
                <w:highlight w:val="none"/>
                <w:lang w:val="en-US" w:eastAsia="zh-CN" w:bidi="ar"/>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66" w:type="dxa"/>
            <w:gridSpan w:val="2"/>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color w:val="auto"/>
                <w:highlight w:val="none"/>
                <w:lang w:eastAsia="zh-CN"/>
              </w:rPr>
            </w:pPr>
          </w:p>
        </w:tc>
        <w:tc>
          <w:tcPr>
            <w:tcW w:w="2791" w:type="dxa"/>
            <w:gridSpan w:val="3"/>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水质</w:t>
            </w: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eastAsia="宋"/>
                <w:color w:val="auto"/>
                <w:highlight w:val="none"/>
                <w:lang w:val="en-US" w:eastAsia="zh-CN"/>
              </w:rPr>
            </w:pP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bidi="ar"/>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66" w:type="dxa"/>
            <w:gridSpan w:val="2"/>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color w:val="auto"/>
                <w:highlight w:val="none"/>
                <w:lang w:eastAsia="zh-CN"/>
              </w:rPr>
            </w:pPr>
          </w:p>
        </w:tc>
        <w:tc>
          <w:tcPr>
            <w:tcW w:w="2791" w:type="dxa"/>
            <w:gridSpan w:val="3"/>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水温</w:t>
            </w: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ascii="Times New Roman" w:hAnsi="Times New Roman" w:eastAsia="宋体" w:cs="Times New Roman"/>
                <w:color w:val="auto"/>
                <w:kern w:val="0"/>
                <w:sz w:val="21"/>
                <w:szCs w:val="21"/>
                <w:highlight w:val="none"/>
                <w:lang w:val="en-US" w:eastAsia="zh-CN" w:bidi="ar"/>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66" w:type="dxa"/>
            <w:gridSpan w:val="2"/>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eastAsia"/>
                <w:color w:val="auto"/>
                <w:highlight w:val="none"/>
                <w:lang w:eastAsia="zh-CN"/>
              </w:rPr>
            </w:pPr>
          </w:p>
        </w:tc>
        <w:tc>
          <w:tcPr>
            <w:tcW w:w="2791" w:type="dxa"/>
            <w:gridSpan w:val="3"/>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生产用水</w:t>
            </w: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r>
              <w:rPr>
                <w:rFonts w:hint="default" w:ascii="Times New Roman" w:hAnsi="Times New Roman" w:cs="Times New Roman"/>
                <w:color w:val="auto"/>
                <w:sz w:val="24"/>
                <w:szCs w:val="24"/>
                <w:highlight w:val="none"/>
              </w:rPr>
              <w:t>□</w:t>
            </w:r>
            <w:r>
              <w:rPr>
                <w:rFonts w:hint="default"/>
                <w:color w:val="auto"/>
                <w:highlight w:val="none"/>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vMerge w:val="continue"/>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66" w:type="dxa"/>
            <w:gridSpan w:val="2"/>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生态环境</w:t>
            </w:r>
          </w:p>
        </w:tc>
        <w:tc>
          <w:tcPr>
            <w:tcW w:w="2791" w:type="dxa"/>
            <w:gridSpan w:val="3"/>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lang w:val="en-US" w:eastAsia="zh-CN"/>
              </w:rPr>
            </w:pPr>
            <w:r>
              <w:rPr>
                <w:rFonts w:hint="eastAsia"/>
                <w:color w:val="auto"/>
                <w:highlight w:val="none"/>
                <w:lang w:val="en-US" w:eastAsia="zh-CN"/>
              </w:rPr>
              <w:t>水生生态系统</w:t>
            </w: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color w:val="auto"/>
                <w:highlight w:val="none"/>
              </w:rPr>
            </w:pPr>
          </w:p>
        </w:tc>
        <w:tc>
          <w:tcPr>
            <w:tcW w:w="1420" w:type="dxa"/>
            <w:shd w:val="clear" w:color="auto" w:fill="auto"/>
            <w:vAlign w:val="center"/>
          </w:tcPr>
          <w:p>
            <w:pPr>
              <w:pStyle w:val="42"/>
              <w:keepNext w:val="0"/>
              <w:keepLines w:val="0"/>
              <w:pageBreakBefore w:val="0"/>
              <w:widowControl/>
              <w:kinsoku/>
              <w:wordWrap/>
              <w:overflowPunct/>
              <w:topLinePunct w:val="0"/>
              <w:autoSpaceDE/>
              <w:autoSpaceDN/>
              <w:bidi w:val="0"/>
              <w:snapToGrid w:val="0"/>
              <w:spacing w:line="240" w:lineRule="auto"/>
              <w:ind w:firstLine="0" w:firstLineChars="0"/>
              <w:rPr>
                <w:rFonts w:hint="default" w:ascii="Times New Roman" w:hAnsi="Times New Roman" w:cs="Times New Roman"/>
                <w:color w:val="auto"/>
                <w:sz w:val="24"/>
                <w:szCs w:val="24"/>
                <w:highlight w:val="none"/>
              </w:rPr>
            </w:pP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bidi="ar"/>
              </w:rPr>
              <w:t>▲L</w:t>
            </w:r>
          </w:p>
        </w:tc>
      </w:tr>
    </w:tbl>
    <w:p>
      <w:pPr>
        <w:adjustRightInd w:val="0"/>
        <w:snapToGrid w:val="0"/>
        <w:spacing w:line="36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注：表中</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表示</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有利/不利</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较大程度影响；</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表示</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有利/不利</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中等程度影响；</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表示</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有利/不利</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轻微程度影响；空白表示影响甚微或没有影响；S 表示短期影响，L 表示长期影响。表中影响程度系根据规划的性质和特点、评价区域环境状况判定。</w:t>
      </w:r>
    </w:p>
    <w:p>
      <w:pPr>
        <w:bidi w:val="0"/>
        <w:ind w:firstLine="480" w:firstLineChars="200"/>
        <w:rPr>
          <w:rFonts w:hint="default"/>
          <w:color w:val="auto"/>
          <w:highlight w:val="none"/>
        </w:rPr>
      </w:pPr>
      <w:r>
        <w:rPr>
          <w:rFonts w:hint="default"/>
          <w:color w:val="auto"/>
          <w:highlight w:val="none"/>
        </w:rPr>
        <w:t>从上表可以看出，工程建设对环境的影响有有利的方面，也有不利的方面。</w:t>
      </w:r>
    </w:p>
    <w:p>
      <w:pPr>
        <w:bidi w:val="0"/>
        <w:rPr>
          <w:rFonts w:hint="default"/>
          <w:color w:val="auto"/>
          <w:highlight w:val="none"/>
        </w:rPr>
      </w:pPr>
      <w:r>
        <w:rPr>
          <w:rFonts w:hint="eastAsia"/>
          <w:color w:val="auto"/>
          <w:highlight w:val="none"/>
          <w:lang w:eastAsia="zh-CN"/>
        </w:rPr>
        <w:t>对于</w:t>
      </w:r>
      <w:r>
        <w:rPr>
          <w:rFonts w:hint="default"/>
          <w:color w:val="auto"/>
          <w:highlight w:val="none"/>
        </w:rPr>
        <w:t>受水区则在水环境、生态环境方面，有利影响较为突出。工程的不利影响多集中在施工期，主要表现为生态环境和水环境影响，项目竣工后其影响即逐步消失。有利影响多在运行期有所表现，主要表现受水区内生产生活用水保障率提高。对区域经济、生活质量的影响是正面的。</w:t>
      </w:r>
    </w:p>
    <w:p>
      <w:pPr>
        <w:pStyle w:val="4"/>
        <w:bidi w:val="0"/>
        <w:rPr>
          <w:rFonts w:hint="default"/>
          <w:color w:val="auto"/>
          <w:highlight w:val="none"/>
        </w:rPr>
      </w:pPr>
      <w:bookmarkStart w:id="192" w:name="_Toc7930"/>
      <w:bookmarkStart w:id="193" w:name="_Toc27162"/>
      <w:bookmarkStart w:id="194" w:name="_Toc13039"/>
      <w:bookmarkStart w:id="195" w:name="_Toc22734"/>
      <w:bookmarkStart w:id="196" w:name="_Toc4570"/>
      <w:bookmarkStart w:id="197" w:name="_Toc6173"/>
      <w:bookmarkStart w:id="198" w:name="_Toc22769"/>
      <w:r>
        <w:rPr>
          <w:rFonts w:hint="default"/>
          <w:color w:val="auto"/>
          <w:highlight w:val="none"/>
        </w:rPr>
        <w:t>评价因子筛选</w:t>
      </w:r>
      <w:bookmarkEnd w:id="192"/>
      <w:bookmarkEnd w:id="193"/>
      <w:bookmarkEnd w:id="194"/>
      <w:bookmarkEnd w:id="195"/>
      <w:bookmarkEnd w:id="196"/>
      <w:bookmarkEnd w:id="197"/>
      <w:bookmarkEnd w:id="198"/>
    </w:p>
    <w:p>
      <w:pPr>
        <w:ind w:firstLine="480" w:firstLineChars="200"/>
        <w:rPr>
          <w:rFonts w:hint="default" w:ascii="Times New Roman" w:hAnsi="Times New Roman" w:cs="Times New Roman"/>
          <w:color w:val="auto"/>
          <w:kern w:val="28"/>
          <w:highlight w:val="none"/>
          <w:shd w:val="clear" w:fill="FF0000"/>
        </w:rPr>
      </w:pPr>
      <w:r>
        <w:rPr>
          <w:rFonts w:hint="default" w:ascii="Times New Roman" w:hAnsi="Times New Roman" w:cs="Times New Roman"/>
          <w:color w:val="auto"/>
          <w:kern w:val="28"/>
          <w:highlight w:val="none"/>
        </w:rPr>
        <w:t>根据项目的建设内容和工程特征，确定评价因子如下表所</w:t>
      </w:r>
      <w:r>
        <w:rPr>
          <w:rFonts w:hint="default" w:ascii="Times New Roman" w:hAnsi="Times New Roman" w:cs="Times New Roman"/>
          <w:color w:val="auto"/>
          <w:kern w:val="28"/>
          <w:highlight w:val="none"/>
          <w:shd w:val="clear"/>
        </w:rPr>
        <w:t>示。</w:t>
      </w:r>
    </w:p>
    <w:p>
      <w:pPr>
        <w:spacing w:line="240" w:lineRule="auto"/>
        <w:ind w:left="482" w:hanging="482"/>
        <w:jc w:val="center"/>
        <w:rPr>
          <w:rFonts w:hint="default" w:ascii="Times New Roman" w:hAnsi="Times New Roman" w:cs="Times New Roman"/>
          <w:b/>
          <w:color w:val="auto"/>
          <w:highlight w:val="none"/>
        </w:rPr>
      </w:pPr>
      <w:bookmarkStart w:id="199" w:name="OLE_LINK53"/>
      <w:r>
        <w:rPr>
          <w:rFonts w:hint="default" w:ascii="Times New Roman" w:hAnsi="Times New Roman" w:cs="Times New Roman"/>
          <w:b/>
          <w:color w:val="auto"/>
          <w:highlight w:val="none"/>
        </w:rPr>
        <w:t>表</w:t>
      </w:r>
      <w:r>
        <w:rPr>
          <w:rFonts w:hint="eastAsia" w:cs="Times New Roman"/>
          <w:b/>
          <w:color w:val="auto"/>
          <w:highlight w:val="none"/>
          <w:lang w:val="en-US" w:eastAsia="zh-CN"/>
        </w:rPr>
        <w:t>1</w:t>
      </w:r>
      <w:r>
        <w:rPr>
          <w:rFonts w:hint="default" w:ascii="Times New Roman" w:hAnsi="Times New Roman" w:cs="Times New Roman"/>
          <w:b/>
          <w:color w:val="auto"/>
          <w:highlight w:val="none"/>
        </w:rPr>
        <w:t>.4.2-1  工程影响的评价因子识别分类</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8"/>
        <w:gridCol w:w="501"/>
        <w:gridCol w:w="4997"/>
        <w:gridCol w:w="25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7" w:type="pct"/>
            <w:gridSpan w:val="2"/>
            <w:noWrap w:val="0"/>
            <w:vAlign w:val="center"/>
          </w:tcPr>
          <w:p>
            <w:pPr>
              <w:pStyle w:val="42"/>
              <w:bidi w:val="0"/>
              <w:spacing w:line="240" w:lineRule="auto"/>
              <w:rPr>
                <w:rFonts w:hint="default"/>
                <w:color w:val="auto"/>
                <w:highlight w:val="none"/>
              </w:rPr>
            </w:pPr>
            <w:r>
              <w:rPr>
                <w:rFonts w:hint="default"/>
                <w:color w:val="auto"/>
                <w:highlight w:val="none"/>
              </w:rPr>
              <w:t>环境要素</w:t>
            </w:r>
          </w:p>
        </w:tc>
        <w:tc>
          <w:tcPr>
            <w:tcW w:w="2933" w:type="pct"/>
            <w:noWrap w:val="0"/>
            <w:vAlign w:val="center"/>
          </w:tcPr>
          <w:p>
            <w:pPr>
              <w:pStyle w:val="42"/>
              <w:bidi w:val="0"/>
              <w:spacing w:line="240" w:lineRule="auto"/>
              <w:rPr>
                <w:rFonts w:hint="default"/>
                <w:color w:val="auto"/>
                <w:highlight w:val="none"/>
              </w:rPr>
            </w:pPr>
            <w:r>
              <w:rPr>
                <w:rFonts w:hint="default"/>
                <w:color w:val="auto"/>
                <w:highlight w:val="none"/>
              </w:rPr>
              <w:t>现状评价因子</w:t>
            </w:r>
          </w:p>
        </w:tc>
        <w:tc>
          <w:tcPr>
            <w:tcW w:w="1478" w:type="pct"/>
            <w:noWrap w:val="0"/>
            <w:vAlign w:val="center"/>
          </w:tcPr>
          <w:p>
            <w:pPr>
              <w:pStyle w:val="42"/>
              <w:bidi w:val="0"/>
              <w:spacing w:line="240" w:lineRule="auto"/>
              <w:rPr>
                <w:rFonts w:hint="default"/>
                <w:color w:val="auto"/>
                <w:highlight w:val="none"/>
              </w:rPr>
            </w:pPr>
            <w:r>
              <w:rPr>
                <w:rFonts w:hint="default"/>
                <w:color w:val="auto"/>
                <w:highlight w:val="none"/>
              </w:rPr>
              <w:t>影响评价因子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7" w:type="pct"/>
            <w:gridSpan w:val="2"/>
            <w:noWrap w:val="0"/>
            <w:vAlign w:val="center"/>
          </w:tcPr>
          <w:p>
            <w:pPr>
              <w:pStyle w:val="42"/>
              <w:bidi w:val="0"/>
              <w:spacing w:line="240" w:lineRule="auto"/>
              <w:rPr>
                <w:rFonts w:hint="default"/>
                <w:color w:val="auto"/>
                <w:highlight w:val="none"/>
              </w:rPr>
            </w:pPr>
            <w:r>
              <w:rPr>
                <w:rFonts w:hint="default"/>
                <w:color w:val="auto"/>
                <w:highlight w:val="none"/>
              </w:rPr>
              <w:t>大气</w:t>
            </w:r>
          </w:p>
        </w:tc>
        <w:tc>
          <w:tcPr>
            <w:tcW w:w="2933" w:type="pct"/>
            <w:noWrap w:val="0"/>
            <w:vAlign w:val="center"/>
          </w:tcPr>
          <w:p>
            <w:pPr>
              <w:pStyle w:val="42"/>
              <w:bidi w:val="0"/>
              <w:spacing w:line="240" w:lineRule="auto"/>
              <w:rPr>
                <w:rFonts w:hint="default"/>
                <w:color w:val="auto"/>
                <w:highlight w:val="none"/>
                <w:lang w:val="en-US" w:eastAsia="zh-CN"/>
              </w:rPr>
            </w:pPr>
            <w:r>
              <w:rPr>
                <w:rFonts w:hint="default"/>
                <w:color w:val="auto"/>
                <w:highlight w:val="none"/>
              </w:rPr>
              <w:t>SO</w:t>
            </w:r>
            <w:r>
              <w:rPr>
                <w:rFonts w:hint="eastAsia"/>
                <w:color w:val="auto"/>
                <w:highlight w:val="none"/>
                <w:vertAlign w:val="subscript"/>
                <w:lang w:val="en-US" w:eastAsia="zh-CN"/>
              </w:rPr>
              <w:t>2</w:t>
            </w:r>
            <w:r>
              <w:rPr>
                <w:rFonts w:hint="default"/>
                <w:color w:val="auto"/>
                <w:highlight w:val="none"/>
              </w:rPr>
              <w:t>、NO</w:t>
            </w:r>
            <w:r>
              <w:rPr>
                <w:rFonts w:hint="default"/>
                <w:color w:val="auto"/>
                <w:highlight w:val="none"/>
                <w:vertAlign w:val="subscript"/>
              </w:rPr>
              <w:t>2</w:t>
            </w:r>
            <w:r>
              <w:rPr>
                <w:rFonts w:hint="default"/>
                <w:color w:val="auto"/>
                <w:highlight w:val="none"/>
              </w:rPr>
              <w:t>、CO、PM</w:t>
            </w:r>
            <w:r>
              <w:rPr>
                <w:rFonts w:hint="default"/>
                <w:color w:val="auto"/>
                <w:highlight w:val="none"/>
                <w:vertAlign w:val="subscript"/>
              </w:rPr>
              <w:t>10</w:t>
            </w:r>
            <w:r>
              <w:rPr>
                <w:rFonts w:hint="default"/>
                <w:color w:val="auto"/>
                <w:highlight w:val="none"/>
              </w:rPr>
              <w:t>、PM</w:t>
            </w:r>
            <w:r>
              <w:rPr>
                <w:rFonts w:hint="default"/>
                <w:color w:val="auto"/>
                <w:highlight w:val="none"/>
                <w:vertAlign w:val="subscript"/>
              </w:rPr>
              <w:t>2.5</w:t>
            </w:r>
            <w:r>
              <w:rPr>
                <w:rFonts w:hint="default"/>
                <w:color w:val="auto"/>
                <w:highlight w:val="none"/>
              </w:rPr>
              <w:t>、O</w:t>
            </w:r>
            <w:r>
              <w:rPr>
                <w:rFonts w:hint="default"/>
                <w:color w:val="auto"/>
                <w:highlight w:val="none"/>
                <w:vertAlign w:val="subscript"/>
              </w:rPr>
              <w:t>3</w:t>
            </w:r>
            <w:r>
              <w:rPr>
                <w:rFonts w:hint="default"/>
                <w:color w:val="auto"/>
                <w:highlight w:val="none"/>
              </w:rPr>
              <w:t>、</w:t>
            </w:r>
            <w:r>
              <w:rPr>
                <w:rFonts w:hint="default"/>
                <w:color w:val="auto"/>
                <w:highlight w:val="none"/>
                <w:lang w:val="en-US" w:eastAsia="zh-CN"/>
              </w:rPr>
              <w:t>TSP</w:t>
            </w:r>
          </w:p>
        </w:tc>
        <w:tc>
          <w:tcPr>
            <w:tcW w:w="1478" w:type="pct"/>
            <w:noWrap w:val="0"/>
            <w:vAlign w:val="center"/>
          </w:tcPr>
          <w:p>
            <w:pPr>
              <w:pStyle w:val="42"/>
              <w:bidi w:val="0"/>
              <w:spacing w:line="240" w:lineRule="auto"/>
              <w:rPr>
                <w:rFonts w:hint="default"/>
                <w:color w:val="auto"/>
                <w:highlight w:val="none"/>
                <w:lang w:eastAsia="zh-CN"/>
              </w:rPr>
            </w:pPr>
            <w:r>
              <w:rPr>
                <w:rFonts w:hint="default"/>
                <w:color w:val="auto"/>
                <w:highlight w:val="none"/>
                <w:lang w:val="en-US" w:eastAsia="zh-CN"/>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93" w:type="pct"/>
            <w:vMerge w:val="restart"/>
            <w:noWrap w:val="0"/>
            <w:vAlign w:val="center"/>
          </w:tcPr>
          <w:p>
            <w:pPr>
              <w:pStyle w:val="42"/>
              <w:bidi w:val="0"/>
              <w:spacing w:line="240" w:lineRule="auto"/>
              <w:rPr>
                <w:rFonts w:hint="default"/>
                <w:color w:val="auto"/>
                <w:highlight w:val="none"/>
              </w:rPr>
            </w:pPr>
            <w:r>
              <w:rPr>
                <w:rFonts w:hint="default"/>
                <w:color w:val="auto"/>
                <w:highlight w:val="none"/>
              </w:rPr>
              <w:t>地表水</w:t>
            </w:r>
          </w:p>
        </w:tc>
        <w:tc>
          <w:tcPr>
            <w:tcW w:w="294" w:type="pct"/>
            <w:shd w:val="clear" w:color="auto" w:fill="auto"/>
            <w:noWrap w:val="0"/>
            <w:vAlign w:val="center"/>
          </w:tcPr>
          <w:p>
            <w:pPr>
              <w:pStyle w:val="42"/>
              <w:bidi w:val="0"/>
              <w:spacing w:line="240" w:lineRule="auto"/>
              <w:rPr>
                <w:rFonts w:hint="eastAsia" w:eastAsia="宋"/>
                <w:color w:val="auto"/>
                <w:highlight w:val="none"/>
                <w:lang w:val="en-US" w:eastAsia="zh-CN"/>
              </w:rPr>
            </w:pPr>
            <w:r>
              <w:rPr>
                <w:rFonts w:hint="eastAsia"/>
                <w:color w:val="auto"/>
                <w:highlight w:val="none"/>
                <w:lang w:val="en-US" w:eastAsia="zh-CN"/>
              </w:rPr>
              <w:t>受水区</w:t>
            </w:r>
          </w:p>
        </w:tc>
        <w:tc>
          <w:tcPr>
            <w:tcW w:w="2933" w:type="pct"/>
            <w:shd w:val="clear" w:color="auto" w:fill="auto"/>
            <w:noWrap w:val="0"/>
            <w:vAlign w:val="center"/>
          </w:tcPr>
          <w:p>
            <w:pPr>
              <w:pStyle w:val="42"/>
              <w:bidi w:val="0"/>
              <w:spacing w:line="240" w:lineRule="auto"/>
              <w:jc w:val="both"/>
              <w:rPr>
                <w:rFonts w:hint="default"/>
                <w:color w:val="auto"/>
                <w:highlight w:val="none"/>
              </w:rPr>
            </w:pPr>
            <w:r>
              <w:rPr>
                <w:rFonts w:hint="default"/>
                <w:color w:val="0000FF"/>
                <w:highlight w:val="none"/>
              </w:rPr>
              <w:t>水温、PH值、溶解氧、高锰酸盐指数、化学需氧量、五日生化需氧量、氨氮、总磷、总氮、铜、锌、氟化物、硒、砷、汞、镉、铬、铅、氰化物、挥发酚、石油类、阴离子表面活性剂、硫化物、粪大肠菌群、叶绿素a、透明度。</w:t>
            </w:r>
          </w:p>
        </w:tc>
        <w:tc>
          <w:tcPr>
            <w:tcW w:w="1478" w:type="pct"/>
            <w:shd w:val="clear" w:color="auto" w:fill="auto"/>
            <w:noWrap w:val="0"/>
            <w:vAlign w:val="center"/>
          </w:tcPr>
          <w:p>
            <w:pPr>
              <w:pStyle w:val="42"/>
              <w:bidi w:val="0"/>
              <w:spacing w:line="240" w:lineRule="auto"/>
              <w:jc w:val="both"/>
              <w:rPr>
                <w:rFonts w:hint="default"/>
                <w:color w:val="auto"/>
                <w:highlight w:val="none"/>
                <w:lang w:val="en-US" w:eastAsia="zh-CN"/>
              </w:rPr>
            </w:pPr>
            <w:r>
              <w:rPr>
                <w:rFonts w:hint="default"/>
                <w:color w:val="auto"/>
                <w:highlight w:val="none"/>
                <w:lang w:val="en-US" w:eastAsia="zh-CN"/>
              </w:rPr>
              <w:t>水文情势：流量</w:t>
            </w:r>
          </w:p>
          <w:p>
            <w:pPr>
              <w:pStyle w:val="42"/>
              <w:bidi w:val="0"/>
              <w:spacing w:line="240" w:lineRule="auto"/>
              <w:jc w:val="both"/>
              <w:rPr>
                <w:rFonts w:hint="default"/>
                <w:color w:val="auto"/>
                <w:highlight w:val="none"/>
                <w:lang w:val="en-US" w:eastAsia="zh-CN"/>
              </w:rPr>
            </w:pPr>
            <w:r>
              <w:rPr>
                <w:rFonts w:hint="default"/>
                <w:color w:val="auto"/>
                <w:highlight w:val="none"/>
                <w:lang w:val="en-US" w:eastAsia="zh-CN"/>
              </w:rPr>
              <w:t>水质：COD</w:t>
            </w:r>
            <w:r>
              <w:rPr>
                <w:rFonts w:hint="eastAsia"/>
                <w:color w:val="auto"/>
                <w:highlight w:val="none"/>
                <w:lang w:val="en-US" w:eastAsia="zh-CN"/>
              </w:rPr>
              <w:t>；</w:t>
            </w:r>
            <w:r>
              <w:rPr>
                <w:rFonts w:hint="default"/>
                <w:color w:val="auto"/>
                <w:highlight w:val="none"/>
                <w:lang w:val="en-US" w:eastAsia="zh-CN"/>
              </w:rPr>
              <w:t>水温：温度（℃）</w:t>
            </w:r>
          </w:p>
          <w:p>
            <w:pPr>
              <w:pStyle w:val="42"/>
              <w:bidi w:val="0"/>
              <w:spacing w:line="240" w:lineRule="auto"/>
              <w:jc w:val="both"/>
              <w:rPr>
                <w:rFonts w:hint="default"/>
                <w:color w:val="0000FF"/>
                <w:highlight w:val="none"/>
                <w:lang w:val="en-US" w:eastAsia="zh-CN"/>
              </w:rPr>
            </w:pPr>
            <w:r>
              <w:rPr>
                <w:rFonts w:hint="eastAsia"/>
                <w:color w:val="0000FF"/>
                <w:highlight w:val="none"/>
                <w:lang w:val="en-US" w:eastAsia="zh-CN"/>
              </w:rPr>
              <w:t>富营养化：总磷、总氮、氨氮、高锰酸盐指数、叶绿素a</w:t>
            </w:r>
          </w:p>
          <w:p>
            <w:pPr>
              <w:pStyle w:val="42"/>
              <w:bidi w:val="0"/>
              <w:spacing w:line="240" w:lineRule="auto"/>
              <w:jc w:val="both"/>
              <w:rPr>
                <w:rFonts w:hint="default"/>
                <w:color w:val="auto"/>
                <w:highlight w:val="none"/>
                <w:lang w:val="en-US" w:eastAsia="zh-CN"/>
              </w:rPr>
            </w:pPr>
            <w:r>
              <w:rPr>
                <w:rFonts w:hint="default"/>
                <w:color w:val="auto"/>
                <w:highlight w:val="none"/>
                <w:lang w:val="en-US" w:eastAsia="zh-CN"/>
              </w:rPr>
              <w:t>水资源：生产用水、生活用水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93" w:type="pct"/>
            <w:vMerge w:val="continue"/>
            <w:noWrap w:val="0"/>
            <w:vAlign w:val="center"/>
          </w:tcPr>
          <w:p>
            <w:pPr>
              <w:pStyle w:val="42"/>
              <w:bidi w:val="0"/>
              <w:spacing w:line="240" w:lineRule="auto"/>
              <w:rPr>
                <w:rFonts w:hint="default"/>
                <w:color w:val="auto"/>
                <w:highlight w:val="none"/>
              </w:rPr>
            </w:pPr>
          </w:p>
        </w:tc>
        <w:tc>
          <w:tcPr>
            <w:tcW w:w="294" w:type="pct"/>
            <w:shd w:val="clear" w:color="auto" w:fill="auto"/>
            <w:noWrap w:val="0"/>
            <w:vAlign w:val="center"/>
          </w:tcPr>
          <w:p>
            <w:pPr>
              <w:pStyle w:val="42"/>
              <w:bidi w:val="0"/>
              <w:spacing w:line="240" w:lineRule="auto"/>
              <w:rPr>
                <w:rFonts w:hint="eastAsia" w:eastAsia="宋"/>
                <w:color w:val="auto"/>
                <w:highlight w:val="none"/>
                <w:lang w:val="en-US" w:eastAsia="zh-CN"/>
              </w:rPr>
            </w:pPr>
            <w:r>
              <w:rPr>
                <w:rFonts w:hint="eastAsia"/>
                <w:color w:val="auto"/>
                <w:highlight w:val="none"/>
                <w:lang w:val="en-US" w:eastAsia="zh-CN"/>
              </w:rPr>
              <w:t>退水区</w:t>
            </w:r>
          </w:p>
        </w:tc>
        <w:tc>
          <w:tcPr>
            <w:tcW w:w="2933" w:type="pct"/>
            <w:shd w:val="clear" w:color="auto" w:fill="auto"/>
            <w:noWrap w:val="0"/>
            <w:vAlign w:val="center"/>
          </w:tcPr>
          <w:p>
            <w:pPr>
              <w:pStyle w:val="42"/>
              <w:bidi w:val="0"/>
              <w:spacing w:line="240" w:lineRule="auto"/>
              <w:jc w:val="both"/>
              <w:rPr>
                <w:rFonts w:hint="eastAsia" w:eastAsia="宋体"/>
                <w:color w:val="auto"/>
                <w:highlight w:val="none"/>
                <w:lang w:eastAsia="zh-CN"/>
              </w:rPr>
            </w:pPr>
            <w:r>
              <w:rPr>
                <w:rFonts w:hint="default"/>
                <w:color w:val="auto"/>
                <w:highlight w:val="none"/>
              </w:rPr>
              <w:t>pH、水温、DO、COD、BOD</w:t>
            </w:r>
            <w:r>
              <w:rPr>
                <w:rFonts w:hint="default"/>
                <w:color w:val="auto"/>
                <w:highlight w:val="none"/>
                <w:vertAlign w:val="subscript"/>
              </w:rPr>
              <w:t>5</w:t>
            </w:r>
            <w:r>
              <w:rPr>
                <w:rFonts w:hint="default"/>
                <w:color w:val="auto"/>
                <w:highlight w:val="none"/>
              </w:rPr>
              <w:t>、氟化物、NH</w:t>
            </w:r>
            <w:r>
              <w:rPr>
                <w:rFonts w:hint="default"/>
                <w:color w:val="auto"/>
                <w:highlight w:val="none"/>
                <w:vertAlign w:val="subscript"/>
              </w:rPr>
              <w:t>3</w:t>
            </w:r>
            <w:r>
              <w:rPr>
                <w:rFonts w:hint="default"/>
                <w:color w:val="auto"/>
                <w:highlight w:val="none"/>
              </w:rPr>
              <w:t>-N、TP、TN、Pb、Cu、Zn、六价铬、Cd、As、Hg、Se、氰化物、挥发酚、阴离子表面活性剂、硫化物、高锰酸盐指数、石油类、粪大肠菌群</w:t>
            </w:r>
            <w:r>
              <w:rPr>
                <w:rFonts w:hint="eastAsia"/>
                <w:color w:val="auto"/>
                <w:highlight w:val="none"/>
                <w:lang w:eastAsia="zh-CN"/>
              </w:rPr>
              <w:t>。</w:t>
            </w:r>
          </w:p>
        </w:tc>
        <w:tc>
          <w:tcPr>
            <w:tcW w:w="1478" w:type="pct"/>
            <w:shd w:val="clear" w:color="auto" w:fill="auto"/>
            <w:noWrap w:val="0"/>
            <w:vAlign w:val="center"/>
          </w:tcPr>
          <w:p>
            <w:pPr>
              <w:pStyle w:val="42"/>
              <w:bidi w:val="0"/>
              <w:spacing w:line="240" w:lineRule="auto"/>
              <w:rPr>
                <w:rFonts w:hint="default"/>
                <w:color w:val="auto"/>
                <w:highlight w:val="none"/>
                <w:lang w:val="en-US" w:eastAsia="zh-CN"/>
              </w:rPr>
            </w:pPr>
            <w:r>
              <w:rPr>
                <w:rFonts w:hint="default"/>
                <w:color w:val="auto"/>
                <w:highlight w:val="none"/>
                <w:lang w:val="en-US" w:eastAsia="zh-CN"/>
              </w:rPr>
              <w:t>COD、TP</w:t>
            </w:r>
            <w:r>
              <w:rPr>
                <w:rFonts w:hint="eastAsia"/>
                <w:color w:val="auto"/>
                <w:highlight w:val="none"/>
                <w:lang w:val="en-US" w:eastAsia="zh-CN"/>
              </w:rPr>
              <w:t>、</w:t>
            </w:r>
            <w:r>
              <w:rPr>
                <w:rFonts w:hint="default"/>
                <w:color w:val="auto"/>
                <w:highlight w:val="none"/>
                <w:lang w:val="en-US" w:eastAsia="zh-CN"/>
              </w:rP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7" w:type="pct"/>
            <w:gridSpan w:val="2"/>
            <w:noWrap w:val="0"/>
            <w:vAlign w:val="center"/>
          </w:tcPr>
          <w:p>
            <w:pPr>
              <w:pStyle w:val="42"/>
              <w:bidi w:val="0"/>
              <w:spacing w:line="240" w:lineRule="auto"/>
              <w:rPr>
                <w:rFonts w:hint="default"/>
                <w:color w:val="auto"/>
                <w:highlight w:val="none"/>
              </w:rPr>
            </w:pPr>
            <w:r>
              <w:rPr>
                <w:rFonts w:hint="default"/>
                <w:color w:val="auto"/>
                <w:highlight w:val="none"/>
              </w:rPr>
              <w:t>地下水</w:t>
            </w:r>
          </w:p>
        </w:tc>
        <w:tc>
          <w:tcPr>
            <w:tcW w:w="2933" w:type="pct"/>
            <w:noWrap w:val="0"/>
            <w:vAlign w:val="center"/>
          </w:tcPr>
          <w:p>
            <w:pPr>
              <w:pStyle w:val="42"/>
              <w:bidi w:val="0"/>
              <w:spacing w:line="240" w:lineRule="auto"/>
              <w:rPr>
                <w:rFonts w:hint="default"/>
                <w:color w:val="auto"/>
                <w:highlight w:val="none"/>
              </w:rPr>
            </w:pPr>
            <w:r>
              <w:rPr>
                <w:rFonts w:hint="default"/>
                <w:color w:val="auto"/>
                <w:highlight w:val="none"/>
              </w:rPr>
              <w:t>pH、氨氮、硝酸盐、亚硝酸盐、挥发性酚类、氰化物、砷、汞、六价铬、总硬度、铅、镉、铁、锰、溶解性总固体、高锰酸盐指数、硫酸盐、氯化物、总大肠菌群、菌落总数、氟化物等21项基础项，K+、Na+、Ca</w:t>
            </w:r>
            <w:r>
              <w:rPr>
                <w:rFonts w:hint="default"/>
                <w:color w:val="auto"/>
                <w:highlight w:val="none"/>
                <w:vertAlign w:val="superscript"/>
              </w:rPr>
              <w:t>2+</w:t>
            </w:r>
            <w:r>
              <w:rPr>
                <w:rFonts w:hint="default"/>
                <w:color w:val="auto"/>
                <w:highlight w:val="none"/>
              </w:rPr>
              <w:t>、Mg+、CO</w:t>
            </w:r>
            <w:r>
              <w:rPr>
                <w:rFonts w:hint="default"/>
                <w:color w:val="auto"/>
                <w:highlight w:val="none"/>
                <w:vertAlign w:val="subscript"/>
              </w:rPr>
              <w:t>3</w:t>
            </w:r>
            <w:r>
              <w:rPr>
                <w:rFonts w:hint="default"/>
                <w:color w:val="auto"/>
                <w:highlight w:val="none"/>
                <w:vertAlign w:val="superscript"/>
              </w:rPr>
              <w:t>2-</w:t>
            </w:r>
            <w:r>
              <w:rPr>
                <w:rFonts w:hint="default"/>
                <w:color w:val="auto"/>
                <w:highlight w:val="none"/>
              </w:rPr>
              <w:t>、HCO</w:t>
            </w:r>
            <w:r>
              <w:rPr>
                <w:rFonts w:hint="default"/>
                <w:color w:val="auto"/>
                <w:highlight w:val="none"/>
                <w:vertAlign w:val="superscript"/>
              </w:rPr>
              <w:t>3-</w:t>
            </w:r>
            <w:r>
              <w:rPr>
                <w:rFonts w:hint="default"/>
                <w:color w:val="auto"/>
                <w:highlight w:val="none"/>
              </w:rPr>
              <w:t>、Cl</w:t>
            </w:r>
            <w:r>
              <w:rPr>
                <w:rFonts w:hint="default"/>
                <w:color w:val="auto"/>
                <w:highlight w:val="none"/>
                <w:vertAlign w:val="superscript"/>
              </w:rPr>
              <w:t>-</w:t>
            </w:r>
            <w:r>
              <w:rPr>
                <w:rFonts w:hint="default"/>
                <w:color w:val="auto"/>
                <w:highlight w:val="none"/>
              </w:rPr>
              <w:t>、SO</w:t>
            </w:r>
            <w:r>
              <w:rPr>
                <w:rFonts w:hint="default"/>
                <w:color w:val="auto"/>
                <w:highlight w:val="none"/>
                <w:vertAlign w:val="subscript"/>
              </w:rPr>
              <w:t>4</w:t>
            </w:r>
            <w:r>
              <w:rPr>
                <w:rFonts w:hint="default"/>
                <w:color w:val="auto"/>
                <w:highlight w:val="none"/>
                <w:vertAlign w:val="superscript"/>
              </w:rPr>
              <w:t>2-</w:t>
            </w:r>
          </w:p>
        </w:tc>
        <w:tc>
          <w:tcPr>
            <w:tcW w:w="1478" w:type="pct"/>
            <w:noWrap w:val="0"/>
            <w:vAlign w:val="center"/>
          </w:tcPr>
          <w:p>
            <w:pPr>
              <w:pStyle w:val="42"/>
              <w:bidi w:val="0"/>
              <w:spacing w:line="240" w:lineRule="auto"/>
              <w:rPr>
                <w:rFonts w:hint="eastAsia" w:eastAsia="宋"/>
                <w:color w:val="auto"/>
                <w:highlight w:val="none"/>
                <w:lang w:eastAsia="zh-CN"/>
              </w:rPr>
            </w:pPr>
            <w:r>
              <w:rPr>
                <w:rFonts w:hint="eastAsia"/>
                <w:color w:val="auto"/>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7" w:type="pct"/>
            <w:gridSpan w:val="2"/>
            <w:noWrap w:val="0"/>
            <w:vAlign w:val="center"/>
          </w:tcPr>
          <w:p>
            <w:pPr>
              <w:pStyle w:val="42"/>
              <w:bidi w:val="0"/>
              <w:spacing w:line="240" w:lineRule="auto"/>
              <w:rPr>
                <w:rFonts w:hint="default"/>
                <w:color w:val="auto"/>
                <w:highlight w:val="none"/>
              </w:rPr>
            </w:pPr>
            <w:r>
              <w:rPr>
                <w:rFonts w:hint="default"/>
                <w:color w:val="auto"/>
                <w:highlight w:val="none"/>
              </w:rPr>
              <w:t>声环境</w:t>
            </w:r>
          </w:p>
        </w:tc>
        <w:tc>
          <w:tcPr>
            <w:tcW w:w="2933" w:type="pct"/>
            <w:noWrap w:val="0"/>
            <w:vAlign w:val="center"/>
          </w:tcPr>
          <w:p>
            <w:pPr>
              <w:pStyle w:val="42"/>
              <w:bidi w:val="0"/>
              <w:spacing w:line="240" w:lineRule="auto"/>
              <w:rPr>
                <w:rFonts w:hint="default"/>
                <w:color w:val="auto"/>
                <w:highlight w:val="none"/>
              </w:rPr>
            </w:pPr>
            <w:r>
              <w:rPr>
                <w:rFonts w:hint="default"/>
                <w:color w:val="auto"/>
                <w:highlight w:val="none"/>
              </w:rPr>
              <w:t>等效连续A声级</w:t>
            </w:r>
          </w:p>
        </w:tc>
        <w:tc>
          <w:tcPr>
            <w:tcW w:w="1478" w:type="pct"/>
            <w:noWrap w:val="0"/>
            <w:vAlign w:val="center"/>
          </w:tcPr>
          <w:p>
            <w:pPr>
              <w:pStyle w:val="42"/>
              <w:bidi w:val="0"/>
              <w:spacing w:line="240" w:lineRule="auto"/>
              <w:rPr>
                <w:rFonts w:hint="default"/>
                <w:color w:val="auto"/>
                <w:highlight w:val="none"/>
              </w:rPr>
            </w:pPr>
            <w:r>
              <w:rPr>
                <w:rFonts w:hint="default"/>
                <w:color w:val="auto"/>
                <w:highlight w:val="none"/>
              </w:rPr>
              <w:t>等效连续A声级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7" w:type="pct"/>
            <w:gridSpan w:val="2"/>
            <w:vMerge w:val="restart"/>
            <w:noWrap w:val="0"/>
            <w:vAlign w:val="center"/>
          </w:tcPr>
          <w:p>
            <w:pPr>
              <w:pStyle w:val="42"/>
              <w:bidi w:val="0"/>
              <w:spacing w:line="240" w:lineRule="auto"/>
              <w:rPr>
                <w:rFonts w:hint="default"/>
                <w:color w:val="auto"/>
                <w:highlight w:val="none"/>
              </w:rPr>
            </w:pPr>
            <w:r>
              <w:rPr>
                <w:rFonts w:hint="default"/>
                <w:color w:val="auto"/>
                <w:highlight w:val="none"/>
              </w:rPr>
              <w:t>固体废物</w:t>
            </w:r>
          </w:p>
        </w:tc>
        <w:tc>
          <w:tcPr>
            <w:tcW w:w="2933" w:type="pct"/>
            <w:noWrap w:val="0"/>
            <w:vAlign w:val="center"/>
          </w:tcPr>
          <w:p>
            <w:pPr>
              <w:pStyle w:val="42"/>
              <w:bidi w:val="0"/>
              <w:spacing w:line="240" w:lineRule="auto"/>
              <w:rPr>
                <w:rFonts w:hint="default" w:eastAsia="宋"/>
                <w:color w:val="auto"/>
                <w:highlight w:val="none"/>
                <w:lang w:val="en-US" w:eastAsia="zh-CN"/>
              </w:rPr>
            </w:pPr>
            <w:r>
              <w:rPr>
                <w:rFonts w:hint="eastAsia"/>
                <w:color w:val="auto"/>
                <w:highlight w:val="none"/>
                <w:lang w:val="en-US" w:eastAsia="zh-CN"/>
              </w:rPr>
              <w:t>土石方、生活垃圾</w:t>
            </w:r>
          </w:p>
        </w:tc>
        <w:tc>
          <w:tcPr>
            <w:tcW w:w="1478" w:type="pct"/>
            <w:noWrap w:val="0"/>
            <w:vAlign w:val="center"/>
          </w:tcPr>
          <w:p>
            <w:pPr>
              <w:pStyle w:val="42"/>
              <w:bidi w:val="0"/>
              <w:spacing w:line="240" w:lineRule="auto"/>
              <w:rPr>
                <w:rFonts w:hint="default"/>
                <w:color w:val="auto"/>
                <w:highlight w:val="none"/>
                <w:lang w:val="en-US" w:eastAsia="zh-CN"/>
              </w:rPr>
            </w:pPr>
            <w:r>
              <w:rPr>
                <w:rFonts w:hint="default"/>
                <w:color w:val="auto"/>
                <w:highlight w:val="none"/>
                <w:lang w:val="en-US" w:eastAsia="zh-CN"/>
              </w:rPr>
              <w:t>一般固体废物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7" w:type="pct"/>
            <w:gridSpan w:val="2"/>
            <w:vMerge w:val="continue"/>
            <w:noWrap w:val="0"/>
            <w:vAlign w:val="center"/>
          </w:tcPr>
          <w:p>
            <w:pPr>
              <w:pStyle w:val="42"/>
              <w:bidi w:val="0"/>
              <w:spacing w:line="240" w:lineRule="auto"/>
              <w:rPr>
                <w:rFonts w:hint="default"/>
                <w:color w:val="auto"/>
                <w:highlight w:val="none"/>
              </w:rPr>
            </w:pPr>
          </w:p>
        </w:tc>
        <w:tc>
          <w:tcPr>
            <w:tcW w:w="2933" w:type="pct"/>
            <w:noWrap w:val="0"/>
            <w:vAlign w:val="center"/>
          </w:tcPr>
          <w:p>
            <w:pPr>
              <w:pStyle w:val="42"/>
              <w:bidi w:val="0"/>
              <w:spacing w:line="240" w:lineRule="auto"/>
              <w:rPr>
                <w:rFonts w:hint="default"/>
                <w:color w:val="0000FF"/>
                <w:highlight w:val="none"/>
                <w:lang w:val="en-US" w:eastAsia="zh-CN"/>
              </w:rPr>
            </w:pPr>
            <w:r>
              <w:rPr>
                <w:rFonts w:hint="eastAsia"/>
                <w:color w:val="0000FF"/>
                <w:highlight w:val="none"/>
                <w:lang w:val="en-US" w:eastAsia="zh-CN"/>
              </w:rPr>
              <w:t xml:space="preserve">泵站检修废机油 </w:t>
            </w:r>
          </w:p>
        </w:tc>
        <w:tc>
          <w:tcPr>
            <w:tcW w:w="1478" w:type="pct"/>
            <w:noWrap w:val="0"/>
            <w:vAlign w:val="center"/>
          </w:tcPr>
          <w:p>
            <w:pPr>
              <w:pStyle w:val="42"/>
              <w:bidi w:val="0"/>
              <w:spacing w:line="240" w:lineRule="auto"/>
              <w:rPr>
                <w:rFonts w:hint="default"/>
                <w:color w:val="0000FF"/>
                <w:highlight w:val="none"/>
                <w:lang w:val="en-US" w:eastAsia="zh-CN"/>
              </w:rPr>
            </w:pPr>
            <w:r>
              <w:rPr>
                <w:rFonts w:hint="eastAsia"/>
                <w:color w:val="0000FF"/>
                <w:highlight w:val="none"/>
                <w:lang w:val="en-US" w:eastAsia="zh-CN"/>
              </w:rPr>
              <w:t>危险废物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7" w:type="pct"/>
            <w:gridSpan w:val="2"/>
            <w:noWrap w:val="0"/>
            <w:vAlign w:val="center"/>
          </w:tcPr>
          <w:p>
            <w:pPr>
              <w:pStyle w:val="42"/>
              <w:bidi w:val="0"/>
              <w:spacing w:line="240" w:lineRule="auto"/>
              <w:rPr>
                <w:rFonts w:hint="default"/>
                <w:color w:val="auto"/>
                <w:highlight w:val="none"/>
                <w:lang w:val="en-US" w:eastAsia="zh-CN"/>
              </w:rPr>
            </w:pPr>
            <w:r>
              <w:rPr>
                <w:rFonts w:hint="default"/>
                <w:color w:val="auto"/>
                <w:highlight w:val="none"/>
                <w:lang w:val="en-US" w:eastAsia="zh-CN"/>
              </w:rPr>
              <w:t>土壤环境</w:t>
            </w:r>
          </w:p>
        </w:tc>
        <w:tc>
          <w:tcPr>
            <w:tcW w:w="2933" w:type="pct"/>
            <w:noWrap w:val="0"/>
            <w:vAlign w:val="center"/>
          </w:tcPr>
          <w:p>
            <w:pPr>
              <w:spacing w:line="240" w:lineRule="auto"/>
              <w:rPr>
                <w:rFonts w:hint="default"/>
                <w:color w:val="auto"/>
                <w:highlight w:val="none"/>
                <w:lang w:val="en-US" w:eastAsia="zh-CN"/>
              </w:rPr>
            </w:pPr>
            <w:r>
              <w:rPr>
                <w:rFonts w:hint="default" w:ascii="Times New Roman" w:hAnsi="Times New Roman" w:cs="Times New Roman"/>
                <w:color w:val="0000FF"/>
                <w:sz w:val="21"/>
                <w:szCs w:val="21"/>
                <w:highlight w:val="none"/>
              </w:rPr>
              <w:t>铜、镉、铬（六价）、砷、汞、铅、镍、</w:t>
            </w:r>
            <w:r>
              <w:rPr>
                <w:rFonts w:hint="default" w:ascii="Times New Roman" w:hAnsi="Times New Roman" w:cs="Times New Roman"/>
                <w:color w:val="0000FF"/>
                <w:sz w:val="21"/>
                <w:szCs w:val="21"/>
                <w:lang w:eastAsia="zh-CN"/>
              </w:rPr>
              <w:t>总</w:t>
            </w:r>
            <w:r>
              <w:rPr>
                <w:rFonts w:hint="default" w:ascii="Times New Roman" w:hAnsi="Times New Roman" w:cs="Times New Roman"/>
                <w:color w:val="0000FF"/>
                <w:sz w:val="21"/>
                <w:szCs w:val="21"/>
              </w:rPr>
              <w:t>铬</w:t>
            </w:r>
            <w:r>
              <w:rPr>
                <w:rFonts w:hint="eastAsia"/>
                <w:lang w:eastAsia="zh-CN"/>
              </w:rPr>
              <w:t>、</w:t>
            </w:r>
            <w:r>
              <w:rPr>
                <w:rFonts w:hint="default" w:ascii="Times New Roman" w:hAnsi="Times New Roman" w:cs="Times New Roman"/>
                <w:color w:val="0000FF"/>
                <w:sz w:val="21"/>
                <w:szCs w:val="21"/>
                <w:lang w:eastAsia="zh-CN"/>
              </w:rPr>
              <w:t>锌</w:t>
            </w:r>
            <w:r>
              <w:rPr>
                <w:rFonts w:hint="eastAsia"/>
                <w:lang w:eastAsia="zh-CN"/>
              </w:rPr>
              <w:t>、</w:t>
            </w:r>
            <w:r>
              <w:rPr>
                <w:rFonts w:hint="default" w:ascii="Times New Roman" w:hAnsi="Times New Roman" w:cs="Times New Roman"/>
                <w:color w:val="0000FF"/>
                <w:sz w:val="21"/>
                <w:szCs w:val="21"/>
                <w:highlight w:val="none"/>
              </w:rPr>
              <w:t>挥发性有机物（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半挥发性有机物（硝基苯、苯胺、2-氯酚、苯并[a]蒽、苯并[a]芘、苯并[b]荧蒽、苯并[k]荧蒽、䓛、二苯并[a,h]蒽、茚并[1,2,3-cd]芘、萘）</w:t>
            </w:r>
            <w:r>
              <w:rPr>
                <w:rFonts w:hint="default" w:ascii="Times New Roman" w:hAnsi="Times New Roman" w:cs="Times New Roman"/>
                <w:color w:val="0000FF"/>
                <w:sz w:val="21"/>
                <w:szCs w:val="21"/>
                <w:highlight w:val="none"/>
                <w:lang w:eastAsia="zh-CN"/>
              </w:rPr>
              <w:t>、</w:t>
            </w:r>
            <w:r>
              <w:rPr>
                <w:rFonts w:hint="default" w:ascii="Times New Roman" w:hAnsi="Times New Roman" w:cs="Times New Roman"/>
                <w:color w:val="0000FF"/>
                <w:sz w:val="21"/>
                <w:szCs w:val="21"/>
              </w:rPr>
              <w:t>pH</w:t>
            </w:r>
          </w:p>
        </w:tc>
        <w:tc>
          <w:tcPr>
            <w:tcW w:w="1478" w:type="pct"/>
            <w:noWrap w:val="0"/>
            <w:vAlign w:val="center"/>
          </w:tcPr>
          <w:p>
            <w:pPr>
              <w:pStyle w:val="42"/>
              <w:bidi w:val="0"/>
              <w:spacing w:line="240" w:lineRule="auto"/>
              <w:rPr>
                <w:rFonts w:hint="default"/>
                <w:color w:val="auto"/>
                <w:highlight w:val="none"/>
                <w:lang w:val="en-US" w:eastAsia="zh-CN"/>
              </w:rPr>
            </w:pPr>
            <w:r>
              <w:rPr>
                <w:rFonts w:hint="eastAsia"/>
                <w:color w:val="auto"/>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7" w:type="pct"/>
            <w:gridSpan w:val="2"/>
            <w:vMerge w:val="restart"/>
            <w:noWrap w:val="0"/>
            <w:vAlign w:val="center"/>
          </w:tcPr>
          <w:p>
            <w:pPr>
              <w:pStyle w:val="42"/>
              <w:bidi w:val="0"/>
              <w:spacing w:line="240" w:lineRule="auto"/>
              <w:rPr>
                <w:rFonts w:hint="default"/>
                <w:color w:val="auto"/>
                <w:highlight w:val="none"/>
              </w:rPr>
            </w:pPr>
            <w:r>
              <w:rPr>
                <w:rFonts w:hint="default"/>
                <w:color w:val="auto"/>
                <w:highlight w:val="none"/>
              </w:rPr>
              <w:t>生态环境</w:t>
            </w:r>
          </w:p>
        </w:tc>
        <w:tc>
          <w:tcPr>
            <w:tcW w:w="2933" w:type="pct"/>
            <w:noWrap w:val="0"/>
            <w:vAlign w:val="center"/>
          </w:tcPr>
          <w:p>
            <w:pPr>
              <w:pStyle w:val="42"/>
              <w:spacing w:line="240" w:lineRule="auto"/>
              <w:ind w:firstLine="0" w:firstLineChars="0"/>
              <w:rPr>
                <w:rFonts w:hint="default"/>
              </w:rPr>
            </w:pPr>
            <w:r>
              <w:rPr>
                <w:rFonts w:hint="default" w:ascii="Times New Roman" w:hAnsi="Times New Roman" w:cs="Times New Roman"/>
                <w:color w:val="auto"/>
                <w:highlight w:val="none"/>
              </w:rPr>
              <w:t>陆地生态环境</w:t>
            </w:r>
          </w:p>
        </w:tc>
        <w:tc>
          <w:tcPr>
            <w:tcW w:w="1478" w:type="pct"/>
            <w:noWrap w:val="0"/>
            <w:vAlign w:val="center"/>
          </w:tcPr>
          <w:p>
            <w:pPr>
              <w:pStyle w:val="42"/>
              <w:spacing w:line="240" w:lineRule="auto"/>
              <w:ind w:firstLine="0" w:firstLineChars="0"/>
              <w:rPr>
                <w:rFonts w:hint="default"/>
                <w:color w:val="auto"/>
                <w:highlight w:val="none"/>
              </w:rPr>
            </w:pPr>
            <w:r>
              <w:rPr>
                <w:rFonts w:hint="eastAsia" w:cs="Times New Roman"/>
                <w:color w:val="auto"/>
                <w:highlight w:val="none"/>
                <w:lang w:val="en-US" w:eastAsia="zh-CN"/>
              </w:rPr>
              <w:t>陆生动植物物种、生态系统（植被）的分布及其生长状况、国家和省级保护动植物物种、种群数量及其分布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7" w:type="pct"/>
            <w:gridSpan w:val="2"/>
            <w:vMerge w:val="continue"/>
            <w:noWrap w:val="0"/>
            <w:vAlign w:val="center"/>
          </w:tcPr>
          <w:p>
            <w:pPr>
              <w:pStyle w:val="42"/>
              <w:bidi w:val="0"/>
              <w:spacing w:line="240" w:lineRule="auto"/>
              <w:rPr>
                <w:rFonts w:hint="default"/>
                <w:color w:val="auto"/>
                <w:highlight w:val="none"/>
              </w:rPr>
            </w:pPr>
          </w:p>
        </w:tc>
        <w:tc>
          <w:tcPr>
            <w:tcW w:w="2933" w:type="pct"/>
            <w:noWrap w:val="0"/>
            <w:vAlign w:val="center"/>
          </w:tcPr>
          <w:p>
            <w:pPr>
              <w:pStyle w:val="42"/>
              <w:spacing w:line="240" w:lineRule="auto"/>
              <w:ind w:firstLine="0" w:firstLineChars="0"/>
              <w:rPr>
                <w:rFonts w:hint="default"/>
                <w:color w:val="auto"/>
                <w:highlight w:val="none"/>
              </w:rPr>
            </w:pPr>
            <w:r>
              <w:rPr>
                <w:rFonts w:hint="default" w:ascii="Times New Roman" w:hAnsi="Times New Roman" w:cs="Times New Roman"/>
                <w:color w:val="auto"/>
                <w:highlight w:val="none"/>
              </w:rPr>
              <w:t>水生生态环境</w:t>
            </w:r>
          </w:p>
        </w:tc>
        <w:tc>
          <w:tcPr>
            <w:tcW w:w="1478" w:type="pct"/>
            <w:noWrap w:val="0"/>
            <w:vAlign w:val="center"/>
          </w:tcPr>
          <w:p>
            <w:pPr>
              <w:pStyle w:val="42"/>
              <w:spacing w:line="240" w:lineRule="auto"/>
              <w:ind w:firstLine="0" w:firstLineChars="0"/>
              <w:rPr>
                <w:rFonts w:hint="default"/>
                <w:color w:val="auto"/>
                <w:highlight w:val="none"/>
              </w:rPr>
            </w:pPr>
            <w:r>
              <w:rPr>
                <w:rFonts w:hint="default" w:ascii="Times New Roman" w:hAnsi="Times New Roman" w:cs="Times New Roman"/>
                <w:color w:val="0000FF"/>
                <w:highlight w:val="none"/>
              </w:rPr>
              <w:t>水生生境</w:t>
            </w:r>
            <w:r>
              <w:rPr>
                <w:rFonts w:hint="eastAsia" w:cs="Times New Roman"/>
                <w:color w:val="0000FF"/>
                <w:highlight w:val="none"/>
                <w:lang w:eastAsia="zh-CN"/>
              </w:rPr>
              <w:t>、</w:t>
            </w:r>
            <w:r>
              <w:rPr>
                <w:rFonts w:hint="default"/>
                <w:color w:val="0000FF"/>
                <w:highlight w:val="none"/>
              </w:rPr>
              <w:t>原产土著鱼</w:t>
            </w:r>
            <w:r>
              <w:rPr>
                <w:rFonts w:hint="eastAsia"/>
                <w:color w:val="0000FF"/>
                <w:highlight w:val="none"/>
                <w:lang w:eastAsia="zh-CN"/>
              </w:rPr>
              <w:t>：</w:t>
            </w:r>
            <w:r>
              <w:rPr>
                <w:rFonts w:hint="default"/>
                <w:color w:val="0000FF"/>
                <w:highlight w:val="none"/>
              </w:rPr>
              <w:t>棒花鱼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7" w:type="pct"/>
            <w:gridSpan w:val="2"/>
            <w:vMerge w:val="continue"/>
            <w:noWrap w:val="0"/>
            <w:vAlign w:val="center"/>
          </w:tcPr>
          <w:p>
            <w:pPr>
              <w:pStyle w:val="42"/>
              <w:bidi w:val="0"/>
              <w:spacing w:line="240" w:lineRule="auto"/>
              <w:rPr>
                <w:rFonts w:hint="default"/>
                <w:color w:val="auto"/>
                <w:highlight w:val="none"/>
              </w:rPr>
            </w:pPr>
          </w:p>
        </w:tc>
        <w:tc>
          <w:tcPr>
            <w:tcW w:w="2933" w:type="pct"/>
            <w:noWrap w:val="0"/>
            <w:vAlign w:val="center"/>
          </w:tcPr>
          <w:p>
            <w:pPr>
              <w:pStyle w:val="42"/>
              <w:spacing w:line="240" w:lineRule="auto"/>
              <w:ind w:firstLine="0" w:firstLineChars="0"/>
              <w:rPr>
                <w:rFonts w:hint="default"/>
                <w:color w:val="auto"/>
                <w:highlight w:val="none"/>
              </w:rPr>
            </w:pPr>
            <w:r>
              <w:rPr>
                <w:rFonts w:hint="default" w:ascii="Times New Roman" w:hAnsi="Times New Roman" w:cs="Times New Roman"/>
                <w:color w:val="auto"/>
                <w:highlight w:val="none"/>
              </w:rPr>
              <w:t>土地资源</w:t>
            </w:r>
          </w:p>
        </w:tc>
        <w:tc>
          <w:tcPr>
            <w:tcW w:w="1478" w:type="pct"/>
            <w:noWrap w:val="0"/>
            <w:vAlign w:val="center"/>
          </w:tcPr>
          <w:p>
            <w:pPr>
              <w:pStyle w:val="42"/>
              <w:spacing w:line="240" w:lineRule="auto"/>
              <w:ind w:firstLine="0" w:firstLineChars="0"/>
              <w:rPr>
                <w:rFonts w:hint="default"/>
                <w:color w:val="auto"/>
                <w:highlight w:val="none"/>
              </w:rPr>
            </w:pPr>
            <w:r>
              <w:rPr>
                <w:rFonts w:hint="default" w:ascii="Times New Roman" w:hAnsi="Times New Roman" w:cs="Times New Roman"/>
                <w:color w:val="auto"/>
                <w:highlight w:val="none"/>
              </w:rPr>
              <w:t>土地利用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7" w:type="pct"/>
            <w:gridSpan w:val="2"/>
            <w:vMerge w:val="continue"/>
            <w:noWrap w:val="0"/>
            <w:vAlign w:val="center"/>
          </w:tcPr>
          <w:p>
            <w:pPr>
              <w:pStyle w:val="42"/>
              <w:bidi w:val="0"/>
              <w:spacing w:line="240" w:lineRule="auto"/>
              <w:rPr>
                <w:rFonts w:hint="default"/>
                <w:color w:val="auto"/>
                <w:highlight w:val="none"/>
              </w:rPr>
            </w:pPr>
          </w:p>
        </w:tc>
        <w:tc>
          <w:tcPr>
            <w:tcW w:w="2933" w:type="pct"/>
            <w:noWrap w:val="0"/>
            <w:vAlign w:val="center"/>
          </w:tcPr>
          <w:p>
            <w:pPr>
              <w:pStyle w:val="42"/>
              <w:spacing w:line="240" w:lineRule="auto"/>
              <w:ind w:firstLine="0" w:firstLineChars="0"/>
              <w:rPr>
                <w:rFonts w:hint="default"/>
                <w:color w:val="auto"/>
                <w:highlight w:val="none"/>
              </w:rPr>
            </w:pPr>
            <w:r>
              <w:rPr>
                <w:rFonts w:hint="default" w:ascii="Times New Roman" w:hAnsi="Times New Roman" w:cs="Times New Roman"/>
                <w:color w:val="auto"/>
                <w:highlight w:val="none"/>
              </w:rPr>
              <w:t>水土流失</w:t>
            </w:r>
          </w:p>
        </w:tc>
        <w:tc>
          <w:tcPr>
            <w:tcW w:w="1478" w:type="pct"/>
            <w:noWrap w:val="0"/>
            <w:vAlign w:val="center"/>
          </w:tcPr>
          <w:p>
            <w:pPr>
              <w:pStyle w:val="42"/>
              <w:spacing w:line="240" w:lineRule="auto"/>
              <w:ind w:firstLine="0" w:firstLineChars="0"/>
              <w:rPr>
                <w:rFonts w:hint="default"/>
                <w:color w:val="auto"/>
                <w:highlight w:val="none"/>
              </w:rPr>
            </w:pPr>
            <w:r>
              <w:rPr>
                <w:rFonts w:hint="default" w:ascii="Times New Roman" w:hAnsi="Times New Roman" w:cs="Times New Roman"/>
                <w:color w:val="auto"/>
                <w:highlight w:val="none"/>
              </w:rPr>
              <w:t>土壤侵蚀强度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7" w:type="pct"/>
            <w:gridSpan w:val="2"/>
            <w:vMerge w:val="continue"/>
            <w:noWrap w:val="0"/>
            <w:vAlign w:val="center"/>
          </w:tcPr>
          <w:p>
            <w:pPr>
              <w:pStyle w:val="42"/>
              <w:bidi w:val="0"/>
              <w:spacing w:line="240" w:lineRule="auto"/>
              <w:rPr>
                <w:rFonts w:hint="default"/>
                <w:color w:val="auto"/>
                <w:highlight w:val="none"/>
              </w:rPr>
            </w:pPr>
          </w:p>
        </w:tc>
        <w:tc>
          <w:tcPr>
            <w:tcW w:w="2933" w:type="pct"/>
            <w:noWrap w:val="0"/>
            <w:vAlign w:val="center"/>
          </w:tcPr>
          <w:p>
            <w:pPr>
              <w:pStyle w:val="42"/>
              <w:spacing w:line="240" w:lineRule="auto"/>
              <w:ind w:firstLine="0" w:firstLineChars="0"/>
              <w:rPr>
                <w:rFonts w:hint="default"/>
                <w:color w:val="auto"/>
                <w:highlight w:val="none"/>
              </w:rPr>
            </w:pPr>
            <w:r>
              <w:rPr>
                <w:rFonts w:hint="default" w:ascii="Times New Roman" w:hAnsi="Times New Roman" w:cs="Times New Roman"/>
                <w:color w:val="auto"/>
                <w:highlight w:val="none"/>
              </w:rPr>
              <w:t>景观</w:t>
            </w:r>
          </w:p>
        </w:tc>
        <w:tc>
          <w:tcPr>
            <w:tcW w:w="1478" w:type="pct"/>
            <w:noWrap w:val="0"/>
            <w:vAlign w:val="center"/>
          </w:tcPr>
          <w:p>
            <w:pPr>
              <w:pStyle w:val="42"/>
              <w:spacing w:line="240" w:lineRule="auto"/>
              <w:ind w:firstLine="0" w:firstLineChars="0"/>
              <w:rPr>
                <w:rFonts w:hint="default"/>
                <w:color w:val="auto"/>
                <w:highlight w:val="none"/>
              </w:rPr>
            </w:pPr>
            <w:r>
              <w:rPr>
                <w:rFonts w:hint="default" w:ascii="Times New Roman" w:hAnsi="Times New Roman" w:cs="Times New Roman"/>
                <w:color w:val="auto"/>
                <w:highlight w:val="none"/>
              </w:rPr>
              <w:t>自然景观、人文景观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7" w:type="pct"/>
            <w:gridSpan w:val="2"/>
            <w:noWrap w:val="0"/>
            <w:vAlign w:val="center"/>
          </w:tcPr>
          <w:p>
            <w:pPr>
              <w:pStyle w:val="42"/>
              <w:bidi w:val="0"/>
              <w:spacing w:line="240" w:lineRule="auto"/>
              <w:rPr>
                <w:rFonts w:hint="default"/>
                <w:color w:val="0000FF"/>
                <w:highlight w:val="none"/>
                <w:lang w:val="en-US" w:eastAsia="zh-CN"/>
              </w:rPr>
            </w:pPr>
            <w:r>
              <w:rPr>
                <w:rFonts w:hint="default"/>
                <w:color w:val="0000FF"/>
                <w:highlight w:val="none"/>
                <w:lang w:val="en-US" w:eastAsia="zh-CN"/>
              </w:rPr>
              <w:t>环境敏感区</w:t>
            </w:r>
          </w:p>
        </w:tc>
        <w:tc>
          <w:tcPr>
            <w:tcW w:w="4412" w:type="pct"/>
            <w:gridSpan w:val="2"/>
            <w:noWrap w:val="0"/>
            <w:vAlign w:val="center"/>
          </w:tcPr>
          <w:p>
            <w:pPr>
              <w:pStyle w:val="42"/>
              <w:bidi w:val="0"/>
              <w:spacing w:line="240" w:lineRule="auto"/>
              <w:rPr>
                <w:rFonts w:hint="default"/>
                <w:color w:val="0000FF"/>
                <w:highlight w:val="none"/>
                <w:lang w:val="en-US" w:eastAsia="zh-CN"/>
              </w:rPr>
            </w:pPr>
            <w:r>
              <w:rPr>
                <w:rFonts w:hint="eastAsia"/>
                <w:color w:val="0000FF"/>
                <w:highlight w:val="none"/>
                <w:lang w:val="en-US" w:eastAsia="zh-CN"/>
              </w:rPr>
              <w:t>元谋风景名胜区金沙江景区一般景区、基本农田、生态保护红线、公益林</w:t>
            </w:r>
          </w:p>
        </w:tc>
      </w:tr>
      <w:bookmarkEnd w:id="199"/>
    </w:tbl>
    <w:p>
      <w:pPr>
        <w:pStyle w:val="3"/>
        <w:bidi w:val="0"/>
        <w:rPr>
          <w:rFonts w:hint="default"/>
          <w:color w:val="auto"/>
          <w:highlight w:val="none"/>
        </w:rPr>
      </w:pPr>
      <w:bookmarkStart w:id="200" w:name="_Toc25099"/>
      <w:bookmarkStart w:id="201" w:name="_Toc17294"/>
      <w:bookmarkStart w:id="202" w:name="_Toc25927"/>
      <w:bookmarkStart w:id="203" w:name="_Toc26947"/>
      <w:bookmarkStart w:id="204" w:name="_Toc19902"/>
      <w:bookmarkStart w:id="205" w:name="_Toc338"/>
      <w:bookmarkStart w:id="206" w:name="_Toc24504"/>
      <w:bookmarkStart w:id="207" w:name="_Toc16109"/>
      <w:bookmarkStart w:id="208" w:name="_Toc219"/>
      <w:r>
        <w:rPr>
          <w:rFonts w:hint="default"/>
          <w:color w:val="auto"/>
          <w:highlight w:val="none"/>
        </w:rPr>
        <w:t>评价工作等级、评价范围</w:t>
      </w:r>
      <w:bookmarkEnd w:id="200"/>
      <w:bookmarkEnd w:id="201"/>
      <w:bookmarkEnd w:id="202"/>
      <w:bookmarkEnd w:id="203"/>
      <w:bookmarkEnd w:id="204"/>
      <w:bookmarkEnd w:id="205"/>
      <w:bookmarkEnd w:id="206"/>
      <w:bookmarkEnd w:id="207"/>
      <w:bookmarkEnd w:id="208"/>
    </w:p>
    <w:p>
      <w:pPr>
        <w:pStyle w:val="4"/>
        <w:bidi w:val="0"/>
        <w:rPr>
          <w:rFonts w:hint="default"/>
          <w:color w:val="auto"/>
          <w:highlight w:val="none"/>
        </w:rPr>
      </w:pPr>
      <w:bookmarkStart w:id="209" w:name="_Toc29265"/>
      <w:bookmarkStart w:id="210" w:name="_Toc22759"/>
      <w:bookmarkStart w:id="211" w:name="_Toc15305"/>
      <w:bookmarkStart w:id="212" w:name="_Toc29359"/>
      <w:bookmarkStart w:id="213" w:name="_Toc7520"/>
      <w:bookmarkStart w:id="214" w:name="_Toc27946"/>
      <w:bookmarkStart w:id="215" w:name="_Toc20563"/>
      <w:bookmarkStart w:id="216" w:name="_Toc12588"/>
      <w:r>
        <w:rPr>
          <w:rFonts w:hint="default"/>
          <w:color w:val="auto"/>
          <w:highlight w:val="none"/>
        </w:rPr>
        <w:t>评价工作等级</w:t>
      </w:r>
      <w:bookmarkEnd w:id="209"/>
      <w:bookmarkEnd w:id="210"/>
      <w:bookmarkEnd w:id="211"/>
      <w:bookmarkEnd w:id="212"/>
      <w:bookmarkEnd w:id="213"/>
      <w:bookmarkEnd w:id="214"/>
      <w:bookmarkEnd w:id="215"/>
      <w:bookmarkEnd w:id="216"/>
    </w:p>
    <w:p>
      <w:pPr>
        <w:pStyle w:val="5"/>
        <w:numPr>
          <w:ilvl w:val="3"/>
          <w:numId w:val="6"/>
        </w:numPr>
        <w:bidi w:val="0"/>
        <w:ind w:left="480" w:leftChars="0" w:firstLineChars="0"/>
        <w:rPr>
          <w:rFonts w:hint="default"/>
          <w:color w:val="0000FF"/>
        </w:rPr>
      </w:pPr>
      <w:r>
        <w:rPr>
          <w:rFonts w:hint="default"/>
          <w:color w:val="0000FF"/>
        </w:rPr>
        <w:t>大气环境</w:t>
      </w:r>
    </w:p>
    <w:p>
      <w:pPr>
        <w:keepNext w:val="0"/>
        <w:keepLines w:val="0"/>
        <w:widowControl/>
        <w:suppressLineNumbers w:val="0"/>
        <w:jc w:val="left"/>
        <w:rPr>
          <w:color w:val="0000FF"/>
        </w:rPr>
      </w:pPr>
      <w:r>
        <w:rPr>
          <w:rFonts w:hint="eastAsia" w:ascii="宋体" w:hAnsi="宋体" w:eastAsia="宋体" w:cs="宋体"/>
          <w:color w:val="0000FF"/>
          <w:kern w:val="0"/>
          <w:sz w:val="24"/>
          <w:szCs w:val="24"/>
          <w:lang w:val="en-US" w:eastAsia="zh-CN" w:bidi="ar"/>
        </w:rPr>
        <w:t>本工程建成后正常情况下不排放基本污染物和其他污染物；工程施工期主要大气污染物为</w:t>
      </w:r>
      <w:r>
        <w:rPr>
          <w:rFonts w:hint="default" w:ascii="Times New Roman" w:hAnsi="Times New Roman" w:eastAsia="宋体" w:cs="Times New Roman"/>
          <w:color w:val="0000FF"/>
          <w:kern w:val="0"/>
          <w:sz w:val="24"/>
          <w:szCs w:val="24"/>
          <w:lang w:val="en-US" w:eastAsia="zh-CN" w:bidi="ar"/>
        </w:rPr>
        <w:t>TSP</w:t>
      </w:r>
      <w:r>
        <w:rPr>
          <w:rFonts w:hint="eastAsia" w:ascii="宋体" w:hAnsi="宋体" w:eastAsia="宋体" w:cs="宋体"/>
          <w:color w:val="0000FF"/>
          <w:kern w:val="0"/>
          <w:sz w:val="24"/>
          <w:szCs w:val="24"/>
          <w:lang w:val="en-US" w:eastAsia="zh-CN" w:bidi="ar"/>
        </w:rPr>
        <w:t>，为无组织排放，作业面相对分散，具有大气污染物非连续排放，排放量较小的特点，根据《环境影响评价技术导则 大气环境》（</w:t>
      </w:r>
      <w:r>
        <w:rPr>
          <w:rFonts w:hint="default" w:ascii="Times New Roman" w:hAnsi="Times New Roman" w:eastAsia="宋体" w:cs="Times New Roman"/>
          <w:color w:val="0000FF"/>
          <w:kern w:val="0"/>
          <w:sz w:val="24"/>
          <w:szCs w:val="24"/>
          <w:lang w:val="en-US" w:eastAsia="zh-CN" w:bidi="ar"/>
        </w:rPr>
        <w:t>HJ2.2-2018</w:t>
      </w:r>
      <w:r>
        <w:rPr>
          <w:rFonts w:hint="eastAsia" w:ascii="宋体" w:hAnsi="宋体" w:eastAsia="宋体" w:cs="宋体"/>
          <w:color w:val="0000FF"/>
          <w:kern w:val="0"/>
          <w:sz w:val="24"/>
          <w:szCs w:val="24"/>
          <w:lang w:val="en-US" w:eastAsia="zh-CN" w:bidi="ar"/>
        </w:rPr>
        <w:t>），施工期大气污染物</w:t>
      </w:r>
      <w:r>
        <w:rPr>
          <w:rFonts w:hint="default" w:ascii="Times New Roman" w:hAnsi="Times New Roman" w:eastAsia="宋体" w:cs="Times New Roman"/>
          <w:color w:val="0000FF"/>
          <w:kern w:val="0"/>
          <w:sz w:val="24"/>
          <w:szCs w:val="24"/>
          <w:lang w:val="en-US" w:eastAsia="zh-CN" w:bidi="ar"/>
        </w:rPr>
        <w:t>Pmax</w:t>
      </w:r>
      <w:r>
        <w:rPr>
          <w:rFonts w:hint="eastAsia" w:ascii="宋体" w:hAnsi="宋体" w:eastAsia="宋体" w:cs="宋体"/>
          <w:color w:val="0000FF"/>
          <w:kern w:val="0"/>
          <w:sz w:val="24"/>
          <w:szCs w:val="24"/>
          <w:lang w:val="en-US" w:eastAsia="zh-CN" w:bidi="ar"/>
        </w:rPr>
        <w:t>低于</w:t>
      </w:r>
      <w:r>
        <w:rPr>
          <w:rFonts w:hint="default" w:ascii="Times New Roman" w:hAnsi="Times New Roman" w:eastAsia="宋体" w:cs="Times New Roman"/>
          <w:color w:val="0000FF"/>
          <w:kern w:val="0"/>
          <w:sz w:val="24"/>
          <w:szCs w:val="24"/>
          <w:lang w:val="en-US" w:eastAsia="zh-CN" w:bidi="ar"/>
        </w:rPr>
        <w:t>1%</w:t>
      </w:r>
      <w:r>
        <w:rPr>
          <w:rFonts w:hint="eastAsia" w:ascii="宋体" w:hAnsi="宋体" w:eastAsia="宋体" w:cs="宋体"/>
          <w:color w:val="0000FF"/>
          <w:kern w:val="0"/>
          <w:sz w:val="24"/>
          <w:szCs w:val="24"/>
          <w:lang w:val="en-US" w:eastAsia="zh-CN" w:bidi="ar"/>
        </w:rPr>
        <w:t>，确定大气环境影响评价等级定为三级。</w:t>
      </w:r>
    </w:p>
    <w:p>
      <w:pPr>
        <w:pStyle w:val="5"/>
        <w:numPr>
          <w:ilvl w:val="3"/>
          <w:numId w:val="6"/>
        </w:numPr>
        <w:bidi w:val="0"/>
        <w:ind w:left="480" w:leftChars="0" w:firstLineChars="0"/>
        <w:rPr>
          <w:rFonts w:hint="default"/>
          <w:color w:val="auto"/>
        </w:rPr>
      </w:pPr>
      <w:r>
        <w:rPr>
          <w:rFonts w:hint="default"/>
          <w:color w:val="auto"/>
        </w:rPr>
        <w:t>地表水环境</w:t>
      </w:r>
    </w:p>
    <w:p>
      <w:pPr>
        <w:spacing w:line="360" w:lineRule="auto"/>
        <w:ind w:firstLine="480" w:firstLineChars="200"/>
        <w:rPr>
          <w:rFonts w:hint="eastAsia" w:ascii="Times New Roman" w:hAnsi="Times New Roman" w:eastAsia="宋体" w:cs="Times New Roman"/>
          <w:color w:val="auto"/>
          <w:kern w:val="0"/>
          <w:sz w:val="24"/>
          <w:szCs w:val="20"/>
          <w:highlight w:val="none"/>
          <w:lang w:val="en-US" w:eastAsia="zh-CN"/>
        </w:rPr>
      </w:pPr>
      <w:r>
        <w:rPr>
          <w:rFonts w:hint="default" w:ascii="Times New Roman" w:hAnsi="Times New Roman" w:cs="Times New Roman"/>
          <w:color w:val="auto"/>
          <w:kern w:val="0"/>
          <w:sz w:val="24"/>
          <w:szCs w:val="20"/>
          <w:highlight w:val="none"/>
        </w:rPr>
        <w:t>本项目属于水污染影响</w:t>
      </w:r>
      <w:r>
        <w:rPr>
          <w:rFonts w:hint="eastAsia" w:cs="Times New Roman"/>
          <w:color w:val="auto"/>
          <w:kern w:val="0"/>
          <w:sz w:val="24"/>
          <w:szCs w:val="20"/>
          <w:highlight w:val="none"/>
          <w:lang w:eastAsia="zh-CN"/>
        </w:rPr>
        <w:t>、</w:t>
      </w:r>
      <w:r>
        <w:rPr>
          <w:rFonts w:hint="eastAsia" w:cs="Times New Roman"/>
          <w:color w:val="auto"/>
          <w:kern w:val="0"/>
          <w:sz w:val="24"/>
          <w:szCs w:val="20"/>
          <w:highlight w:val="none"/>
          <w:lang w:val="en-US" w:eastAsia="zh-CN"/>
        </w:rPr>
        <w:t>水文要素复合</w:t>
      </w:r>
      <w:r>
        <w:rPr>
          <w:rFonts w:hint="default" w:ascii="Times New Roman" w:hAnsi="Times New Roman" w:cs="Times New Roman"/>
          <w:color w:val="auto"/>
          <w:kern w:val="0"/>
          <w:sz w:val="24"/>
          <w:szCs w:val="20"/>
          <w:highlight w:val="none"/>
        </w:rPr>
        <w:t>型项目。</w:t>
      </w:r>
      <w:r>
        <w:rPr>
          <w:rFonts w:hint="eastAsia" w:cs="Times New Roman"/>
          <w:color w:val="auto"/>
          <w:kern w:val="0"/>
          <w:sz w:val="24"/>
          <w:szCs w:val="20"/>
          <w:highlight w:val="none"/>
          <w:lang w:val="en-US" w:eastAsia="zh-CN"/>
        </w:rPr>
        <w:t xml:space="preserve"> </w:t>
      </w:r>
    </w:p>
    <w:p>
      <w:pPr>
        <w:bidi w:val="0"/>
        <w:ind w:firstLine="482" w:firstLineChars="200"/>
        <w:rPr>
          <w:rFonts w:hint="default" w:eastAsia="宋体"/>
          <w:b/>
          <w:bCs/>
          <w:color w:val="auto"/>
          <w:highlight w:val="none"/>
          <w:lang w:val="en-US" w:eastAsia="zh-CN"/>
        </w:rPr>
      </w:pPr>
      <w:r>
        <w:rPr>
          <w:rFonts w:hint="eastAsia"/>
          <w:b/>
          <w:bCs/>
          <w:color w:val="auto"/>
          <w:highlight w:val="none"/>
          <w:lang w:val="en-US" w:eastAsia="zh-CN"/>
        </w:rPr>
        <w:t>1、水污染影响型等级判定</w:t>
      </w:r>
    </w:p>
    <w:p>
      <w:pPr>
        <w:bidi w:val="0"/>
        <w:ind w:firstLine="480" w:firstLineChars="200"/>
        <w:rPr>
          <w:rFonts w:hint="default"/>
          <w:color w:val="auto"/>
          <w:highlight w:val="none"/>
        </w:rPr>
      </w:pPr>
      <w:r>
        <w:rPr>
          <w:rFonts w:hint="default"/>
          <w:color w:val="auto"/>
          <w:highlight w:val="none"/>
        </w:rPr>
        <w:t>根据《环境影响评价技术导则—地表水环境》（HJ2.3-2018）水污染影响型建设项目评价等级判定如下表。</w:t>
      </w:r>
    </w:p>
    <w:p>
      <w:pPr>
        <w:bidi w:val="0"/>
        <w:spacing w:line="240" w:lineRule="auto"/>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表</w:t>
      </w:r>
      <w:r>
        <w:rPr>
          <w:rFonts w:hint="eastAsia" w:cs="Times New Roman"/>
          <w:b/>
          <w:bCs/>
          <w:color w:val="auto"/>
          <w:sz w:val="24"/>
          <w:szCs w:val="24"/>
          <w:highlight w:val="none"/>
          <w:lang w:val="en-US" w:eastAsia="zh-CN"/>
        </w:rPr>
        <w:t>1</w:t>
      </w:r>
      <w:r>
        <w:rPr>
          <w:rFonts w:hint="default" w:ascii="Times New Roman" w:hAnsi="Times New Roman" w:cs="Times New Roman"/>
          <w:b/>
          <w:bCs/>
          <w:color w:val="auto"/>
          <w:sz w:val="24"/>
          <w:szCs w:val="24"/>
          <w:highlight w:val="none"/>
        </w:rPr>
        <w:t>.</w:t>
      </w:r>
      <w:r>
        <w:rPr>
          <w:rFonts w:hint="default" w:ascii="Times New Roman" w:hAnsi="Times New Roman" w:cs="Times New Roman"/>
          <w:b/>
          <w:bCs/>
          <w:color w:val="auto"/>
          <w:sz w:val="24"/>
          <w:szCs w:val="24"/>
          <w:highlight w:val="none"/>
          <w:lang w:val="en-US" w:eastAsia="zh-CN"/>
        </w:rPr>
        <w:t>5</w:t>
      </w:r>
      <w:r>
        <w:rPr>
          <w:rFonts w:hint="default" w:ascii="Times New Roman" w:hAnsi="Times New Roman" w:cs="Times New Roman"/>
          <w:b/>
          <w:bCs/>
          <w:color w:val="auto"/>
          <w:sz w:val="24"/>
          <w:szCs w:val="24"/>
          <w:highlight w:val="none"/>
        </w:rPr>
        <w:t>.</w:t>
      </w:r>
      <w:r>
        <w:rPr>
          <w:rFonts w:hint="default" w:ascii="Times New Roman" w:hAnsi="Times New Roman" w:cs="Times New Roman"/>
          <w:b/>
          <w:bCs/>
          <w:color w:val="auto"/>
          <w:sz w:val="24"/>
          <w:szCs w:val="24"/>
          <w:highlight w:val="none"/>
          <w:lang w:val="en-US" w:eastAsia="zh-CN"/>
        </w:rPr>
        <w:t>1</w:t>
      </w:r>
      <w:r>
        <w:rPr>
          <w:rFonts w:hint="default" w:ascii="Times New Roman" w:hAnsi="Times New Roman" w:cs="Times New Roman"/>
          <w:b/>
          <w:bCs/>
          <w:color w:val="auto"/>
          <w:sz w:val="24"/>
          <w:szCs w:val="24"/>
          <w:highlight w:val="none"/>
        </w:rPr>
        <w:t>-1  水污染影响型建设项目评价等级判定表</w:t>
      </w:r>
    </w:p>
    <w:tbl>
      <w:tblPr>
        <w:tblStyle w:val="29"/>
        <w:tblW w:w="4999" w:type="pct"/>
        <w:jc w:val="center"/>
        <w:tblLayout w:type="autofit"/>
        <w:tblCellMar>
          <w:top w:w="0" w:type="dxa"/>
          <w:left w:w="0" w:type="dxa"/>
          <w:bottom w:w="0" w:type="dxa"/>
          <w:right w:w="0" w:type="dxa"/>
        </w:tblCellMar>
      </w:tblPr>
      <w:tblGrid>
        <w:gridCol w:w="1145"/>
        <w:gridCol w:w="2292"/>
        <w:gridCol w:w="4871"/>
      </w:tblGrid>
      <w:tr>
        <w:tblPrEx>
          <w:tblCellMar>
            <w:top w:w="0" w:type="dxa"/>
            <w:left w:w="0" w:type="dxa"/>
            <w:bottom w:w="0" w:type="dxa"/>
            <w:right w:w="0" w:type="dxa"/>
          </w:tblCellMar>
        </w:tblPrEx>
        <w:trPr>
          <w:trHeight w:val="322" w:hRule="exact"/>
          <w:jc w:val="center"/>
        </w:trPr>
        <w:tc>
          <w:tcPr>
            <w:tcW w:w="689" w:type="pct"/>
            <w:vMerge w:val="restart"/>
            <w:tcBorders>
              <w:top w:val="single" w:color="000000" w:sz="4" w:space="0"/>
              <w:left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评价等级</w:t>
            </w:r>
          </w:p>
        </w:tc>
        <w:tc>
          <w:tcPr>
            <w:tcW w:w="4310" w:type="pct"/>
            <w:gridSpan w:val="2"/>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判定依据</w:t>
            </w:r>
          </w:p>
        </w:tc>
      </w:tr>
      <w:tr>
        <w:tblPrEx>
          <w:tblCellMar>
            <w:top w:w="0" w:type="dxa"/>
            <w:left w:w="0" w:type="dxa"/>
            <w:bottom w:w="0" w:type="dxa"/>
            <w:right w:w="0" w:type="dxa"/>
          </w:tblCellMar>
        </w:tblPrEx>
        <w:trPr>
          <w:trHeight w:val="322" w:hRule="exact"/>
          <w:jc w:val="center"/>
        </w:trPr>
        <w:tc>
          <w:tcPr>
            <w:tcW w:w="689" w:type="pct"/>
            <w:vMerge w:val="continue"/>
            <w:tcBorders>
              <w:left w:val="single" w:color="000000" w:sz="4" w:space="0"/>
              <w:bottom w:val="single" w:color="000000" w:sz="4" w:space="0"/>
              <w:right w:val="single" w:color="000000"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auto"/>
              <w:ind w:left="0" w:leftChars="0" w:firstLine="0" w:firstLineChars="0"/>
              <w:textAlignment w:val="auto"/>
              <w:rPr>
                <w:rFonts w:hint="default" w:ascii="Times New Roman" w:hAnsi="Times New Roman" w:cs="Times New Roman"/>
                <w:color w:val="auto"/>
                <w:szCs w:val="21"/>
                <w:highlight w:val="none"/>
              </w:rPr>
            </w:pPr>
          </w:p>
        </w:tc>
        <w:tc>
          <w:tcPr>
            <w:tcW w:w="137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排放方式</w:t>
            </w:r>
          </w:p>
        </w:tc>
        <w:tc>
          <w:tcPr>
            <w:tcW w:w="293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废水排放量 Q</w:t>
            </w:r>
            <w:r>
              <w:rPr>
                <w:rFonts w:hint="default" w:ascii="Times New Roman" w:hAnsi="Times New Roman" w:cs="Times New Roman"/>
                <w:color w:val="auto"/>
                <w:kern w:val="2"/>
                <w:sz w:val="21"/>
                <w:szCs w:val="21"/>
                <w:highlight w:val="none"/>
                <w:lang w:val="en-US" w:eastAsia="zh-CN"/>
              </w:rPr>
              <w:t>/</w:t>
            </w:r>
            <w:r>
              <w:rPr>
                <w:rFonts w:hint="default" w:ascii="Times New Roman" w:hAnsi="Times New Roman" w:cs="Times New Roman"/>
                <w:color w:val="auto"/>
                <w:kern w:val="2"/>
                <w:sz w:val="21"/>
                <w:szCs w:val="21"/>
                <w:highlight w:val="none"/>
              </w:rPr>
              <w:t>（m</w:t>
            </w:r>
            <w:r>
              <w:rPr>
                <w:rFonts w:hint="default" w:ascii="Times New Roman" w:hAnsi="Times New Roman" w:cs="Times New Roman"/>
                <w:color w:val="auto"/>
                <w:kern w:val="2"/>
                <w:sz w:val="21"/>
                <w:szCs w:val="21"/>
                <w:highlight w:val="none"/>
                <w:vertAlign w:val="superscript"/>
              </w:rPr>
              <w:t>3</w:t>
            </w:r>
            <w:r>
              <w:rPr>
                <w:rFonts w:hint="default" w:ascii="Times New Roman" w:hAnsi="Times New Roman" w:cs="Times New Roman"/>
                <w:color w:val="auto"/>
                <w:kern w:val="2"/>
                <w:sz w:val="21"/>
                <w:szCs w:val="21"/>
                <w:highlight w:val="none"/>
              </w:rPr>
              <w:t>/d）、水污染物当量数 W</w:t>
            </w:r>
          </w:p>
        </w:tc>
      </w:tr>
      <w:tr>
        <w:tblPrEx>
          <w:tblCellMar>
            <w:top w:w="0" w:type="dxa"/>
            <w:left w:w="0" w:type="dxa"/>
            <w:bottom w:w="0" w:type="dxa"/>
            <w:right w:w="0" w:type="dxa"/>
          </w:tblCellMar>
        </w:tblPrEx>
        <w:trPr>
          <w:trHeight w:val="322" w:hRule="exact"/>
          <w:jc w:val="center"/>
        </w:trPr>
        <w:tc>
          <w:tcPr>
            <w:tcW w:w="68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一级</w:t>
            </w:r>
          </w:p>
        </w:tc>
        <w:tc>
          <w:tcPr>
            <w:tcW w:w="137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直接排放</w:t>
            </w:r>
          </w:p>
        </w:tc>
        <w:tc>
          <w:tcPr>
            <w:tcW w:w="293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Q≥20000 或者 W≥600000</w:t>
            </w:r>
          </w:p>
        </w:tc>
      </w:tr>
      <w:tr>
        <w:tblPrEx>
          <w:tblCellMar>
            <w:top w:w="0" w:type="dxa"/>
            <w:left w:w="0" w:type="dxa"/>
            <w:bottom w:w="0" w:type="dxa"/>
            <w:right w:w="0" w:type="dxa"/>
          </w:tblCellMar>
        </w:tblPrEx>
        <w:trPr>
          <w:trHeight w:val="324" w:hRule="exact"/>
          <w:jc w:val="center"/>
        </w:trPr>
        <w:tc>
          <w:tcPr>
            <w:tcW w:w="68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二级</w:t>
            </w:r>
          </w:p>
        </w:tc>
        <w:tc>
          <w:tcPr>
            <w:tcW w:w="137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直接排放</w:t>
            </w:r>
          </w:p>
        </w:tc>
        <w:tc>
          <w:tcPr>
            <w:tcW w:w="293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其它</w:t>
            </w:r>
          </w:p>
        </w:tc>
      </w:tr>
      <w:tr>
        <w:tblPrEx>
          <w:tblCellMar>
            <w:top w:w="0" w:type="dxa"/>
            <w:left w:w="0" w:type="dxa"/>
            <w:bottom w:w="0" w:type="dxa"/>
            <w:right w:w="0" w:type="dxa"/>
          </w:tblCellMar>
        </w:tblPrEx>
        <w:trPr>
          <w:trHeight w:val="322" w:hRule="exact"/>
          <w:jc w:val="center"/>
        </w:trPr>
        <w:tc>
          <w:tcPr>
            <w:tcW w:w="68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三级A</w:t>
            </w:r>
          </w:p>
        </w:tc>
        <w:tc>
          <w:tcPr>
            <w:tcW w:w="137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直接排放</w:t>
            </w:r>
          </w:p>
        </w:tc>
        <w:tc>
          <w:tcPr>
            <w:tcW w:w="293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Q＜200 且 W＜6000</w:t>
            </w:r>
          </w:p>
        </w:tc>
      </w:tr>
      <w:tr>
        <w:tblPrEx>
          <w:tblCellMar>
            <w:top w:w="0" w:type="dxa"/>
            <w:left w:w="0" w:type="dxa"/>
            <w:bottom w:w="0" w:type="dxa"/>
            <w:right w:w="0" w:type="dxa"/>
          </w:tblCellMar>
        </w:tblPrEx>
        <w:trPr>
          <w:trHeight w:val="322" w:hRule="exact"/>
          <w:jc w:val="center"/>
        </w:trPr>
        <w:tc>
          <w:tcPr>
            <w:tcW w:w="68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三级B</w:t>
            </w:r>
          </w:p>
        </w:tc>
        <w:tc>
          <w:tcPr>
            <w:tcW w:w="1379"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间接排放</w:t>
            </w:r>
          </w:p>
        </w:tc>
        <w:tc>
          <w:tcPr>
            <w:tcW w:w="2931" w:type="pct"/>
            <w:tcBorders>
              <w:top w:val="single" w:color="000000" w:sz="4" w:space="0"/>
              <w:left w:val="single" w:color="000000" w:sz="4" w:space="0"/>
              <w:bottom w:val="single" w:color="000000" w:sz="4" w:space="0"/>
              <w:right w:val="single" w:color="000000" w:sz="4" w:space="0"/>
            </w:tcBorders>
            <w:noWrap w:val="0"/>
            <w:vAlign w:val="center"/>
          </w:tcPr>
          <w:p>
            <w:pPr>
              <w:pStyle w:val="45"/>
              <w:keepNext w:val="0"/>
              <w:keepLines w:val="0"/>
              <w:pageBreakBefore w:val="0"/>
              <w:kinsoku/>
              <w:wordWrap/>
              <w:overflowPunct/>
              <w:topLinePunct w:val="0"/>
              <w:autoSpaceDE/>
              <w:autoSpaceDN/>
              <w:bidi w:val="0"/>
              <w:adjustRightInd/>
              <w:snapToGrid w:val="0"/>
              <w:ind w:left="0" w:leftChars="0" w:firstLine="0" w:firstLineChars="0"/>
              <w:jc w:val="center"/>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w:t>
            </w:r>
          </w:p>
        </w:tc>
      </w:tr>
    </w:tbl>
    <w:p>
      <w:pPr>
        <w:spacing w:before="3" w:line="50" w:lineRule="exact"/>
        <w:rPr>
          <w:rFonts w:hint="default" w:ascii="Times New Roman" w:hAnsi="Times New Roman" w:cs="Times New Roman"/>
          <w:color w:val="auto"/>
          <w:sz w:val="5"/>
          <w:szCs w:val="5"/>
          <w:highlight w:val="none"/>
        </w:rPr>
      </w:pPr>
    </w:p>
    <w:p>
      <w:pPr>
        <w:spacing w:line="360" w:lineRule="auto"/>
        <w:ind w:firstLine="480" w:firstLineChars="200"/>
        <w:rPr>
          <w:rFonts w:hint="default" w:ascii="Times New Roman" w:hAnsi="Times New Roman" w:cs="Times New Roman"/>
          <w:color w:val="auto"/>
          <w:kern w:val="0"/>
          <w:sz w:val="24"/>
          <w:szCs w:val="20"/>
          <w:highlight w:val="none"/>
        </w:rPr>
      </w:pPr>
      <w:r>
        <w:rPr>
          <w:rFonts w:hint="default" w:ascii="Times New Roman" w:hAnsi="Times New Roman" w:cs="Times New Roman"/>
          <w:color w:val="auto"/>
          <w:kern w:val="0"/>
          <w:sz w:val="24"/>
          <w:szCs w:val="20"/>
          <w:highlight w:val="none"/>
        </w:rPr>
        <w:t>本项目施工期生产生活污水回用；运营期泵站无生产生活废水产生，</w:t>
      </w:r>
      <w:r>
        <w:rPr>
          <w:rFonts w:hint="eastAsia" w:cs="Times New Roman"/>
          <w:color w:val="0000FF"/>
          <w:kern w:val="0"/>
          <w:sz w:val="24"/>
          <w:szCs w:val="20"/>
          <w:highlight w:val="none"/>
          <w:lang w:val="en-US" w:eastAsia="zh-CN"/>
        </w:rPr>
        <w:t>灌溉退水量</w:t>
      </w:r>
      <w:r>
        <w:rPr>
          <w:rFonts w:hint="default" w:ascii="Times New Roman" w:hAnsi="Times New Roman" w:eastAsia="瀹嬩綋" w:cs="Times New Roman"/>
          <w:color w:val="0000FF"/>
          <w:kern w:val="0"/>
          <w:sz w:val="24"/>
          <w:szCs w:val="24"/>
          <w:lang w:val="en-US" w:eastAsia="zh-CN" w:bidi="ar"/>
        </w:rPr>
        <w:t>131662.87m</w:t>
      </w:r>
      <w:r>
        <w:rPr>
          <w:rFonts w:hint="default" w:ascii="Times New Roman" w:hAnsi="Times New Roman" w:eastAsia="瀹嬩綋" w:cs="Times New Roman"/>
          <w:color w:val="0000FF"/>
          <w:kern w:val="0"/>
          <w:sz w:val="24"/>
          <w:szCs w:val="24"/>
          <w:vertAlign w:val="superscript"/>
          <w:lang w:val="en-US" w:eastAsia="zh-CN" w:bidi="ar"/>
        </w:rPr>
        <w:t>3</w:t>
      </w:r>
      <w:r>
        <w:rPr>
          <w:rFonts w:hint="default" w:ascii="Times New Roman" w:hAnsi="Times New Roman" w:eastAsia="瀹嬩綋" w:cs="Times New Roman"/>
          <w:color w:val="0000FF"/>
          <w:kern w:val="0"/>
          <w:sz w:val="24"/>
          <w:szCs w:val="24"/>
          <w:lang w:val="en-US" w:eastAsia="zh-CN" w:bidi="ar"/>
        </w:rPr>
        <w:t>/a。</w:t>
      </w:r>
      <w:r>
        <w:rPr>
          <w:rFonts w:hint="eastAsia" w:ascii="Times New Roman" w:hAnsi="Times New Roman" w:eastAsia="瀹嬩綋" w:cs="Times New Roman"/>
          <w:color w:val="0000FF"/>
          <w:kern w:val="0"/>
          <w:sz w:val="24"/>
          <w:szCs w:val="24"/>
          <w:lang w:val="en-US" w:eastAsia="zh-CN" w:bidi="ar"/>
        </w:rPr>
        <w:t>由于灌溉退水主要集中在旱季，项目所在区域较干旱，采用高效灌溉后在田间就已蒸发渗漏，不会形成径流</w:t>
      </w:r>
      <w:r>
        <w:rPr>
          <w:rFonts w:hint="eastAsia" w:eastAsia="瀹嬩綋" w:cs="Times New Roman"/>
          <w:color w:val="0000FF"/>
          <w:kern w:val="0"/>
          <w:sz w:val="24"/>
          <w:szCs w:val="24"/>
          <w:lang w:val="en-US" w:eastAsia="zh-CN" w:bidi="ar"/>
        </w:rPr>
        <w:t>。</w:t>
      </w:r>
      <w:r>
        <w:rPr>
          <w:rFonts w:hint="default" w:ascii="Times New Roman" w:hAnsi="Times New Roman" w:cs="Times New Roman"/>
          <w:color w:val="auto"/>
          <w:kern w:val="0"/>
          <w:sz w:val="24"/>
          <w:szCs w:val="20"/>
          <w:highlight w:val="none"/>
        </w:rPr>
        <w:t>地表水污染影响评价等级根据HJ2.3-2018判定依据确定为三级B。</w:t>
      </w:r>
    </w:p>
    <w:p>
      <w:pPr>
        <w:spacing w:line="360" w:lineRule="auto"/>
        <w:ind w:firstLine="482" w:firstLineChars="200"/>
        <w:rPr>
          <w:rFonts w:hint="default" w:ascii="Times New Roman" w:hAnsi="Times New Roman" w:eastAsia="宋体" w:cs="Times New Roman"/>
          <w:b/>
          <w:bCs/>
          <w:color w:val="auto"/>
          <w:kern w:val="0"/>
          <w:sz w:val="24"/>
          <w:szCs w:val="20"/>
          <w:highlight w:val="none"/>
          <w:lang w:val="en-US" w:eastAsia="zh-CN"/>
        </w:rPr>
      </w:pPr>
      <w:r>
        <w:rPr>
          <w:rFonts w:hint="eastAsia" w:cs="Times New Roman"/>
          <w:b/>
          <w:bCs/>
          <w:color w:val="auto"/>
          <w:kern w:val="0"/>
          <w:sz w:val="24"/>
          <w:szCs w:val="20"/>
          <w:highlight w:val="none"/>
          <w:lang w:val="en-US" w:eastAsia="zh-CN"/>
        </w:rPr>
        <w:t>2、水文要素型</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地表水环境》（HJ2.3-2018）的规定，评价等级划分主要根据水文、径流与受影响地表水域等三类水文要素的影响程度进行判定</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具体详见下表</w:t>
      </w:r>
      <w:r>
        <w:rPr>
          <w:rFonts w:hint="default" w:ascii="Times New Roman" w:hAnsi="Times New Roman" w:cs="Times New Roman"/>
          <w:color w:val="auto"/>
          <w:highlight w:val="none"/>
        </w:rPr>
        <w:t>。</w:t>
      </w:r>
    </w:p>
    <w:p>
      <w:pPr>
        <w:spacing w:line="240" w:lineRule="auto"/>
        <w:ind w:left="0" w:leftChars="0" w:firstLine="0" w:firstLineChars="0"/>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表</w:t>
      </w:r>
      <w:r>
        <w:rPr>
          <w:rFonts w:hint="eastAsia" w:ascii="Times New Roman" w:hAnsi="Times New Roman" w:cs="Times New Roman"/>
          <w:b/>
          <w:color w:val="auto"/>
          <w:highlight w:val="none"/>
          <w:lang w:val="en-US" w:eastAsia="zh-CN"/>
        </w:rPr>
        <w:t>1</w:t>
      </w:r>
      <w:r>
        <w:rPr>
          <w:rFonts w:hint="default" w:ascii="Times New Roman" w:hAnsi="Times New Roman" w:cs="Times New Roman"/>
          <w:b/>
          <w:color w:val="auto"/>
          <w:highlight w:val="none"/>
        </w:rPr>
        <w:t>.</w:t>
      </w:r>
      <w:r>
        <w:rPr>
          <w:rFonts w:hint="default" w:ascii="Times New Roman" w:hAnsi="Times New Roman" w:cs="Times New Roman"/>
          <w:b/>
          <w:color w:val="auto"/>
          <w:highlight w:val="none"/>
          <w:lang w:val="en-US" w:eastAsia="zh-CN"/>
        </w:rPr>
        <w:t>5</w:t>
      </w:r>
      <w:r>
        <w:rPr>
          <w:rFonts w:hint="default" w:ascii="Times New Roman" w:hAnsi="Times New Roman" w:cs="Times New Roman"/>
          <w:b/>
          <w:color w:val="auto"/>
          <w:highlight w:val="none"/>
        </w:rPr>
        <w:t>.</w:t>
      </w:r>
      <w:r>
        <w:rPr>
          <w:rFonts w:hint="eastAsia" w:cs="Times New Roman"/>
          <w:b/>
          <w:color w:val="auto"/>
          <w:highlight w:val="none"/>
          <w:lang w:val="en-US" w:eastAsia="zh-CN"/>
        </w:rPr>
        <w:t>1</w:t>
      </w:r>
      <w:r>
        <w:rPr>
          <w:rFonts w:hint="default" w:ascii="Times New Roman" w:hAnsi="Times New Roman" w:cs="Times New Roman"/>
          <w:b/>
          <w:color w:val="auto"/>
          <w:highlight w:val="none"/>
        </w:rPr>
        <w:t>-</w:t>
      </w:r>
      <w:r>
        <w:rPr>
          <w:rFonts w:hint="eastAsia" w:ascii="Times New Roman" w:hAnsi="Times New Roman" w:cs="Times New Roman"/>
          <w:b/>
          <w:color w:val="auto"/>
          <w:highlight w:val="none"/>
          <w:lang w:val="en-US" w:eastAsia="zh-CN"/>
        </w:rPr>
        <w:t>2</w:t>
      </w:r>
      <w:r>
        <w:rPr>
          <w:rFonts w:hint="default" w:ascii="Times New Roman" w:hAnsi="Times New Roman" w:cs="Times New Roman"/>
          <w:b/>
          <w:color w:val="auto"/>
          <w:highlight w:val="none"/>
        </w:rPr>
        <w:t xml:space="preserve">  工程影响的评价因子识别分类</w:t>
      </w:r>
    </w:p>
    <w:tbl>
      <w:tblPr>
        <w:tblStyle w:val="29"/>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19"/>
        <w:gridCol w:w="1243"/>
        <w:gridCol w:w="1338"/>
        <w:gridCol w:w="1120"/>
        <w:gridCol w:w="1215"/>
        <w:gridCol w:w="1150"/>
        <w:gridCol w:w="15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719" w:type="dxa"/>
            <w:vMerge w:val="restart"/>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评价等级</w:t>
            </w:r>
          </w:p>
        </w:tc>
        <w:tc>
          <w:tcPr>
            <w:tcW w:w="1243"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水温</w:t>
            </w:r>
          </w:p>
        </w:tc>
        <w:tc>
          <w:tcPr>
            <w:tcW w:w="2458" w:type="dxa"/>
            <w:gridSpan w:val="2"/>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径流</w:t>
            </w:r>
          </w:p>
        </w:tc>
        <w:tc>
          <w:tcPr>
            <w:tcW w:w="3899" w:type="dxa"/>
            <w:gridSpan w:val="3"/>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受影响地表水域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03" w:hRule="atLeast"/>
        </w:trPr>
        <w:tc>
          <w:tcPr>
            <w:tcW w:w="719" w:type="dxa"/>
            <w:vMerge w:val="continue"/>
            <w:tcBorders>
              <w:top w:val="nil"/>
            </w:tcBorders>
            <w:noWrap w:val="0"/>
            <w:vAlign w:val="center"/>
          </w:tcPr>
          <w:p>
            <w:pPr>
              <w:pStyle w:val="42"/>
              <w:bidi w:val="0"/>
              <w:rPr>
                <w:rFonts w:hint="default" w:ascii="Times New Roman" w:hAnsi="Times New Roman" w:cs="Times New Roman"/>
                <w:color w:val="auto"/>
                <w:highlight w:val="none"/>
              </w:rPr>
            </w:pPr>
          </w:p>
        </w:tc>
        <w:tc>
          <w:tcPr>
            <w:tcW w:w="1243" w:type="dxa"/>
            <w:vMerge w:val="restart"/>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年径流量与总库容百分比 α/%</w:t>
            </w:r>
          </w:p>
        </w:tc>
        <w:tc>
          <w:tcPr>
            <w:tcW w:w="1338" w:type="dxa"/>
            <w:vMerge w:val="restart"/>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兴利库容与年径流量百分比 β/%</w:t>
            </w:r>
          </w:p>
        </w:tc>
        <w:tc>
          <w:tcPr>
            <w:tcW w:w="1120" w:type="dxa"/>
            <w:vMerge w:val="restart"/>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取水量占多年平均径流量百分比 γ/%</w:t>
            </w:r>
          </w:p>
        </w:tc>
        <w:tc>
          <w:tcPr>
            <w:tcW w:w="2365" w:type="dxa"/>
            <w:gridSpan w:val="2"/>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工程垂直投影面积及外扩范围 A</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rPr>
              <w:t>工程扰动水底面积 A</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/km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过水断面宽度占用比例或占用水域面积比例</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R/%</w:t>
            </w:r>
          </w:p>
        </w:tc>
        <w:tc>
          <w:tcPr>
            <w:tcW w:w="1534"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工程垂直投影面积及外扩范围 A1/km2;工程扰动水底面积A2/km2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719" w:type="dxa"/>
            <w:vMerge w:val="continue"/>
            <w:tcBorders>
              <w:top w:val="nil"/>
            </w:tcBorders>
            <w:noWrap w:val="0"/>
            <w:vAlign w:val="center"/>
          </w:tcPr>
          <w:p>
            <w:pPr>
              <w:pStyle w:val="42"/>
              <w:bidi w:val="0"/>
              <w:rPr>
                <w:rFonts w:hint="default" w:ascii="Times New Roman" w:hAnsi="Times New Roman" w:cs="Times New Roman"/>
                <w:color w:val="auto"/>
                <w:highlight w:val="none"/>
              </w:rPr>
            </w:pPr>
          </w:p>
        </w:tc>
        <w:tc>
          <w:tcPr>
            <w:tcW w:w="1243" w:type="dxa"/>
            <w:vMerge w:val="continue"/>
            <w:tcBorders>
              <w:top w:val="nil"/>
            </w:tcBorders>
            <w:noWrap w:val="0"/>
            <w:vAlign w:val="center"/>
          </w:tcPr>
          <w:p>
            <w:pPr>
              <w:pStyle w:val="42"/>
              <w:bidi w:val="0"/>
              <w:rPr>
                <w:rFonts w:hint="default" w:ascii="Times New Roman" w:hAnsi="Times New Roman" w:cs="Times New Roman"/>
                <w:color w:val="auto"/>
                <w:highlight w:val="none"/>
              </w:rPr>
            </w:pPr>
          </w:p>
        </w:tc>
        <w:tc>
          <w:tcPr>
            <w:tcW w:w="1338" w:type="dxa"/>
            <w:vMerge w:val="continue"/>
            <w:tcBorders>
              <w:top w:val="nil"/>
            </w:tcBorders>
            <w:noWrap w:val="0"/>
            <w:vAlign w:val="center"/>
          </w:tcPr>
          <w:p>
            <w:pPr>
              <w:pStyle w:val="42"/>
              <w:bidi w:val="0"/>
              <w:rPr>
                <w:rFonts w:hint="default" w:ascii="Times New Roman" w:hAnsi="Times New Roman" w:cs="Times New Roman"/>
                <w:color w:val="auto"/>
                <w:highlight w:val="none"/>
              </w:rPr>
            </w:pPr>
          </w:p>
        </w:tc>
        <w:tc>
          <w:tcPr>
            <w:tcW w:w="1120" w:type="dxa"/>
            <w:vMerge w:val="continue"/>
            <w:tcBorders>
              <w:top w:val="nil"/>
            </w:tcBorders>
            <w:noWrap w:val="0"/>
            <w:vAlign w:val="center"/>
          </w:tcPr>
          <w:p>
            <w:pPr>
              <w:pStyle w:val="42"/>
              <w:bidi w:val="0"/>
              <w:rPr>
                <w:rFonts w:hint="default" w:ascii="Times New Roman" w:hAnsi="Times New Roman" w:cs="Times New Roman"/>
                <w:color w:val="auto"/>
                <w:highlight w:val="none"/>
              </w:rPr>
            </w:pPr>
          </w:p>
        </w:tc>
        <w:tc>
          <w:tcPr>
            <w:tcW w:w="1215"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河流</w:t>
            </w:r>
          </w:p>
        </w:tc>
        <w:tc>
          <w:tcPr>
            <w:tcW w:w="1150"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湖库</w:t>
            </w:r>
          </w:p>
        </w:tc>
        <w:tc>
          <w:tcPr>
            <w:tcW w:w="1534"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入海河口、近岸海域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1" w:hRule="atLeast"/>
        </w:trPr>
        <w:tc>
          <w:tcPr>
            <w:tcW w:w="719"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一级</w:t>
            </w:r>
          </w:p>
        </w:tc>
        <w:tc>
          <w:tcPr>
            <w:tcW w:w="1243"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α≤10；或稳定分层</w:t>
            </w:r>
          </w:p>
        </w:tc>
        <w:tc>
          <w:tcPr>
            <w:tcW w:w="1338"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β≥20；或完全年调节与多年调节</w:t>
            </w:r>
          </w:p>
        </w:tc>
        <w:tc>
          <w:tcPr>
            <w:tcW w:w="1120"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γ≥30</w:t>
            </w:r>
          </w:p>
        </w:tc>
        <w:tc>
          <w:tcPr>
            <w:tcW w:w="1215"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≥0.3；或A</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≥1.5；或R≥10</w:t>
            </w:r>
          </w:p>
        </w:tc>
        <w:tc>
          <w:tcPr>
            <w:tcW w:w="1150"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≥0.3；</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或 A</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1.5；或 R</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1534"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≥0.5；或 A</w:t>
            </w:r>
            <w:r>
              <w:rPr>
                <w:rFonts w:hint="default" w:ascii="Times New Roman" w:hAnsi="Times New Roman" w:cs="Times New Roman"/>
                <w:color w:val="auto"/>
                <w:highlight w:val="none"/>
                <w:vertAlign w:val="subscript"/>
              </w:rPr>
              <w:t>2</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0" w:hRule="atLeast"/>
        </w:trPr>
        <w:tc>
          <w:tcPr>
            <w:tcW w:w="719"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二级</w:t>
            </w:r>
          </w:p>
        </w:tc>
        <w:tc>
          <w:tcPr>
            <w:tcW w:w="1243"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20＞α＞10； 或不稳定分层</w:t>
            </w:r>
          </w:p>
        </w:tc>
        <w:tc>
          <w:tcPr>
            <w:tcW w:w="1338"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20＞β＞2；或季调节与不完全调节</w:t>
            </w:r>
          </w:p>
        </w:tc>
        <w:tc>
          <w:tcPr>
            <w:tcW w:w="1120"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30＞γ＞</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1215"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0.3＞A</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0.05；或 1.5</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＞0.2； 或10＞R＞ 5</w:t>
            </w:r>
          </w:p>
        </w:tc>
        <w:tc>
          <w:tcPr>
            <w:tcW w:w="1150"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0.3＞A</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0.05；或</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1.5＞A</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0.2；或 20</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＞R＞5</w:t>
            </w:r>
          </w:p>
        </w:tc>
        <w:tc>
          <w:tcPr>
            <w:tcW w:w="1534"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0.5＞A</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＞0.15；</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或 3＞A</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9" w:hRule="atLeast"/>
        </w:trPr>
        <w:tc>
          <w:tcPr>
            <w:tcW w:w="719"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三级</w:t>
            </w:r>
          </w:p>
        </w:tc>
        <w:tc>
          <w:tcPr>
            <w:tcW w:w="1243"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α≥20；或混合型</w:t>
            </w:r>
          </w:p>
        </w:tc>
        <w:tc>
          <w:tcPr>
            <w:tcW w:w="1338"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β≤2；或无调节</w:t>
            </w:r>
          </w:p>
        </w:tc>
        <w:tc>
          <w:tcPr>
            <w:tcW w:w="1120"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γ≤10</w:t>
            </w:r>
          </w:p>
        </w:tc>
        <w:tc>
          <w:tcPr>
            <w:tcW w:w="1215"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≤0.05；</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或A</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≤0.2； 或R≤5</w:t>
            </w:r>
          </w:p>
        </w:tc>
        <w:tc>
          <w:tcPr>
            <w:tcW w:w="1150"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≤0.05；</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或A</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0.2；或R</w:t>
            </w:r>
          </w:p>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534" w:type="dxa"/>
            <w:noWrap w:val="0"/>
            <w:vAlign w:val="center"/>
          </w:tcPr>
          <w:p>
            <w:pPr>
              <w:pStyle w:val="42"/>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A</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≤0.15；或A</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≤0.5</w:t>
            </w:r>
          </w:p>
        </w:tc>
      </w:tr>
    </w:tbl>
    <w:p>
      <w:pPr>
        <w:pStyle w:val="12"/>
        <w:rPr>
          <w:rFonts w:hint="eastAsia"/>
          <w:color w:val="auto"/>
          <w:lang w:val="en-US" w:eastAsia="zh-CN"/>
        </w:rPr>
      </w:pPr>
      <w:r>
        <w:rPr>
          <w:rFonts w:hint="eastAsia"/>
          <w:color w:val="auto"/>
          <w:sz w:val="24"/>
          <w:szCs w:val="24"/>
          <w:highlight w:val="none"/>
          <w:lang w:val="en-US" w:eastAsia="zh-CN"/>
        </w:rPr>
        <w:t>本项目水源为“金沙江乌东德水电站水资源综合利用—元谋县姜驿乡提水工程”，该工程拟从金沙江乌东德电站库区取水至</w:t>
      </w:r>
      <w:r>
        <w:rPr>
          <w:rFonts w:hint="default"/>
          <w:color w:val="auto"/>
          <w:sz w:val="24"/>
          <w:szCs w:val="24"/>
          <w:highlight w:val="none"/>
          <w:lang w:val="en-US" w:eastAsia="zh-CN"/>
        </w:rPr>
        <w:t>2040m³</w:t>
      </w:r>
      <w:r>
        <w:rPr>
          <w:rFonts w:hint="eastAsia"/>
          <w:color w:val="auto"/>
          <w:sz w:val="24"/>
          <w:szCs w:val="24"/>
          <w:highlight w:val="none"/>
          <w:lang w:val="en-US" w:eastAsia="zh-CN"/>
        </w:rPr>
        <w:t>的高位水池。本工程</w:t>
      </w:r>
      <w:r>
        <w:rPr>
          <w:rFonts w:hint="eastAsia" w:cs="Times New Roman"/>
          <w:color w:val="auto"/>
          <w:kern w:val="2"/>
          <w:sz w:val="24"/>
          <w:szCs w:val="24"/>
          <w:highlight w:val="none"/>
          <w:lang w:val="en-US" w:eastAsia="zh-CN" w:bidi="ar-SA"/>
        </w:rPr>
        <w:t>在该高位水池旁新建</w:t>
      </w:r>
      <w:r>
        <w:rPr>
          <w:rFonts w:hint="default" w:ascii="Times New Roman" w:hAnsi="Times New Roman" w:eastAsia="宋体" w:cs="Times New Roman"/>
          <w:color w:val="auto"/>
          <w:kern w:val="2"/>
          <w:sz w:val="24"/>
          <w:szCs w:val="24"/>
          <w:highlight w:val="none"/>
          <w:lang w:val="en-US" w:eastAsia="zh-CN" w:bidi="ar-SA"/>
        </w:rPr>
        <w:t>3.9</w:t>
      </w:r>
      <w:r>
        <w:rPr>
          <w:rFonts w:hint="eastAsia" w:ascii="Times New Roman" w:hAnsi="Times New Roman" w:eastAsia="宋体" w:cs="Times New Roman"/>
          <w:color w:val="auto"/>
          <w:kern w:val="2"/>
          <w:sz w:val="24"/>
          <w:szCs w:val="24"/>
          <w:highlight w:val="none"/>
          <w:lang w:val="en-US" w:eastAsia="zh-CN" w:bidi="ar-SA"/>
        </w:rPr>
        <w:t>万</w:t>
      </w:r>
      <w:r>
        <w:rPr>
          <w:rFonts w:hint="default" w:ascii="Times New Roman" w:hAnsi="Times New Roman" w:eastAsia="宋体" w:cs="Times New Roman"/>
          <w:color w:val="auto"/>
          <w:kern w:val="2"/>
          <w:sz w:val="24"/>
          <w:szCs w:val="24"/>
          <w:highlight w:val="none"/>
          <w:lang w:val="en-US" w:eastAsia="zh-CN" w:bidi="ar-SA"/>
        </w:rPr>
        <w:t>m³</w:t>
      </w:r>
      <w:r>
        <w:rPr>
          <w:rFonts w:hint="eastAsia" w:ascii="Times New Roman" w:hAnsi="Times New Roman" w:eastAsia="宋体" w:cs="Times New Roman"/>
          <w:color w:val="auto"/>
          <w:kern w:val="2"/>
          <w:sz w:val="24"/>
          <w:szCs w:val="24"/>
          <w:highlight w:val="none"/>
          <w:lang w:val="en-US" w:eastAsia="zh-CN" w:bidi="ar-SA"/>
        </w:rPr>
        <w:t>管首高位调节水池位</w:t>
      </w:r>
      <w:r>
        <w:rPr>
          <w:rFonts w:hint="eastAsia" w:cs="Times New Roman"/>
          <w:color w:val="auto"/>
          <w:kern w:val="2"/>
          <w:sz w:val="24"/>
          <w:szCs w:val="24"/>
          <w:highlight w:val="none"/>
          <w:lang w:val="en-US" w:eastAsia="zh-CN" w:bidi="ar-SA"/>
        </w:rPr>
        <w:t>取水</w:t>
      </w:r>
      <w:r>
        <w:rPr>
          <w:rFonts w:hint="eastAsia" w:ascii="Times New Roman" w:hAnsi="Times New Roman" w:eastAsia="宋体" w:cs="Times New Roman"/>
          <w:color w:val="auto"/>
          <w:kern w:val="2"/>
          <w:sz w:val="24"/>
          <w:szCs w:val="24"/>
          <w:highlight w:val="none"/>
          <w:lang w:val="en-US" w:eastAsia="zh-CN" w:bidi="ar-SA"/>
        </w:rPr>
        <w:t>。</w:t>
      </w:r>
      <w:r>
        <w:rPr>
          <w:rFonts w:hint="eastAsia"/>
          <w:color w:val="auto"/>
          <w:lang w:val="en-US" w:eastAsia="zh-CN"/>
        </w:rPr>
        <w:t>本工程水文情势的影响主要体现在本项目引水水量对受水水库水文情势的影响。</w:t>
      </w:r>
    </w:p>
    <w:p>
      <w:pPr>
        <w:keepNext w:val="0"/>
        <w:keepLines w:val="0"/>
        <w:pageBreakBefore w:val="0"/>
        <w:widowControl w:val="0"/>
        <w:kinsoku/>
        <w:wordWrap/>
        <w:overflowPunct/>
        <w:topLinePunct w:val="0"/>
        <w:autoSpaceDE/>
        <w:autoSpaceDN/>
        <w:bidi w:val="0"/>
        <w:adjustRightInd w:val="0"/>
        <w:snapToGrid w:val="0"/>
        <w:textAlignment w:val="auto"/>
        <w:rPr>
          <w:rFonts w:hint="default" w:cs="Times New Roman"/>
          <w:color w:val="0000FF"/>
          <w:highlight w:val="none"/>
          <w:lang w:val="en-US" w:eastAsia="zh-CN"/>
        </w:rPr>
      </w:pPr>
      <w:r>
        <w:rPr>
          <w:rFonts w:hint="eastAsia" w:ascii="Times New Roman" w:hAnsi="Times New Roman" w:cs="Times New Roman"/>
          <w:color w:val="auto"/>
          <w:highlight w:val="none"/>
          <w:lang w:val="en-US" w:eastAsia="zh-CN"/>
        </w:rPr>
        <w:t>本项目通过管道引水至界牌箐水库和水平石水库</w:t>
      </w:r>
      <w:r>
        <w:rPr>
          <w:rFonts w:hint="eastAsia" w:cs="Times New Roman"/>
          <w:color w:val="auto"/>
          <w:highlight w:val="none"/>
          <w:lang w:val="en-US" w:eastAsia="zh-CN"/>
        </w:rPr>
        <w:t>，预留分水口后期补水至姜中水库和李官坟水库</w:t>
      </w:r>
      <w:r>
        <w:rPr>
          <w:rFonts w:hint="eastAsia" w:ascii="Times New Roman" w:hAnsi="Times New Roman" w:cs="Times New Roman"/>
          <w:color w:val="auto"/>
          <w:highlight w:val="none"/>
          <w:lang w:val="en-US" w:eastAsia="zh-CN"/>
        </w:rPr>
        <w:t>，受水水库接收补水可能对水文情势造成影响，参照上表“取水量占多年平均径流量百分比γ/%”</w:t>
      </w:r>
      <w:r>
        <w:rPr>
          <w:rFonts w:hint="eastAsia" w:cs="Times New Roman"/>
          <w:color w:val="0000FF"/>
          <w:highlight w:val="none"/>
          <w:lang w:val="en-US" w:eastAsia="zh-CN"/>
        </w:rPr>
        <w:t>以及“本项目补水及水库年径流量与总库容百分比 α/%”来确定地表水评价等级。</w:t>
      </w:r>
    </w:p>
    <w:p>
      <w:pPr>
        <w:spacing w:line="240" w:lineRule="auto"/>
        <w:ind w:left="0" w:leftChars="0" w:firstLine="0" w:firstLineChars="0"/>
        <w:jc w:val="center"/>
        <w:rPr>
          <w:rFonts w:hint="default" w:ascii="Times New Roman" w:hAnsi="Times New Roman" w:eastAsia="宋体" w:cs="Times New Roman"/>
          <w:b/>
          <w:color w:val="0000FF"/>
          <w:highlight w:val="none"/>
          <w:lang w:val="en-US" w:eastAsia="zh-CN"/>
        </w:rPr>
      </w:pPr>
      <w:r>
        <w:rPr>
          <w:rFonts w:hint="default" w:ascii="Times New Roman" w:hAnsi="Times New Roman" w:cs="Times New Roman"/>
          <w:b/>
          <w:color w:val="0000FF"/>
          <w:highlight w:val="none"/>
        </w:rPr>
        <w:t>表</w:t>
      </w:r>
      <w:r>
        <w:rPr>
          <w:rFonts w:hint="eastAsia" w:ascii="Times New Roman" w:hAnsi="Times New Roman" w:cs="Times New Roman"/>
          <w:b/>
          <w:color w:val="0000FF"/>
          <w:highlight w:val="none"/>
          <w:lang w:val="en-US" w:eastAsia="zh-CN"/>
        </w:rPr>
        <w:t>1</w:t>
      </w:r>
      <w:r>
        <w:rPr>
          <w:rFonts w:hint="default" w:ascii="Times New Roman" w:hAnsi="Times New Roman" w:cs="Times New Roman"/>
          <w:b/>
          <w:color w:val="0000FF"/>
          <w:highlight w:val="none"/>
        </w:rPr>
        <w:t>.</w:t>
      </w:r>
      <w:r>
        <w:rPr>
          <w:rFonts w:hint="default" w:ascii="Times New Roman" w:hAnsi="Times New Roman" w:cs="Times New Roman"/>
          <w:b/>
          <w:color w:val="0000FF"/>
          <w:highlight w:val="none"/>
          <w:lang w:val="en-US" w:eastAsia="zh-CN"/>
        </w:rPr>
        <w:t>5</w:t>
      </w:r>
      <w:r>
        <w:rPr>
          <w:rFonts w:hint="default" w:ascii="Times New Roman" w:hAnsi="Times New Roman" w:cs="Times New Roman"/>
          <w:b/>
          <w:color w:val="0000FF"/>
          <w:highlight w:val="none"/>
        </w:rPr>
        <w:t>.</w:t>
      </w:r>
      <w:r>
        <w:rPr>
          <w:rFonts w:hint="eastAsia" w:cs="Times New Roman"/>
          <w:b/>
          <w:color w:val="0000FF"/>
          <w:highlight w:val="none"/>
          <w:lang w:val="en-US" w:eastAsia="zh-CN"/>
        </w:rPr>
        <w:t>1</w:t>
      </w:r>
      <w:r>
        <w:rPr>
          <w:rFonts w:hint="default" w:ascii="Times New Roman" w:hAnsi="Times New Roman" w:cs="Times New Roman"/>
          <w:b/>
          <w:color w:val="0000FF"/>
          <w:highlight w:val="none"/>
        </w:rPr>
        <w:t>-</w:t>
      </w:r>
      <w:r>
        <w:rPr>
          <w:rFonts w:hint="eastAsia" w:cs="Times New Roman"/>
          <w:b/>
          <w:color w:val="0000FF"/>
          <w:highlight w:val="none"/>
          <w:lang w:val="en-US" w:eastAsia="zh-CN"/>
        </w:rPr>
        <w:t>3</w:t>
      </w:r>
      <w:r>
        <w:rPr>
          <w:rFonts w:hint="default" w:ascii="Times New Roman" w:hAnsi="Times New Roman" w:cs="Times New Roman"/>
          <w:b/>
          <w:color w:val="0000FF"/>
          <w:highlight w:val="none"/>
        </w:rPr>
        <w:t xml:space="preserve">  </w:t>
      </w:r>
      <w:r>
        <w:rPr>
          <w:rFonts w:hint="eastAsia" w:cs="Times New Roman"/>
          <w:b/>
          <w:color w:val="0000FF"/>
          <w:highlight w:val="none"/>
          <w:lang w:val="en-US" w:eastAsia="zh-CN"/>
        </w:rPr>
        <w:t>项目按水文要素型评价过程一览表</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9"/>
        <w:gridCol w:w="967"/>
        <w:gridCol w:w="1158"/>
        <w:gridCol w:w="1677"/>
        <w:gridCol w:w="1965"/>
        <w:gridCol w:w="17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bCs/>
                <w:color w:val="0000FF"/>
                <w:sz w:val="21"/>
                <w:szCs w:val="21"/>
                <w:highlight w:val="none"/>
                <w:vertAlign w:val="baseline"/>
                <w:lang w:val="en-US" w:eastAsia="zh-CN"/>
              </w:rPr>
            </w:pPr>
            <w:r>
              <w:rPr>
                <w:rFonts w:hint="default" w:ascii="Times New Roman" w:hAnsi="Times New Roman" w:cs="Times New Roman"/>
                <w:b/>
                <w:bCs/>
                <w:color w:val="0000FF"/>
                <w:sz w:val="21"/>
                <w:szCs w:val="21"/>
                <w:highlight w:val="none"/>
                <w:vertAlign w:val="baseline"/>
                <w:lang w:val="en-US" w:eastAsia="zh-CN"/>
              </w:rPr>
              <w:t>水库名称</w:t>
            </w:r>
          </w:p>
        </w:tc>
        <w:tc>
          <w:tcPr>
            <w:tcW w:w="96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bCs/>
                <w:color w:val="0000FF"/>
                <w:sz w:val="21"/>
                <w:szCs w:val="21"/>
                <w:highlight w:val="none"/>
                <w:vertAlign w:val="baseline"/>
                <w:lang w:val="en-US" w:eastAsia="zh-CN"/>
              </w:rPr>
            </w:pPr>
            <w:r>
              <w:rPr>
                <w:rFonts w:hint="default" w:ascii="Times New Roman" w:hAnsi="Times New Roman" w:cs="Times New Roman"/>
                <w:b/>
                <w:bCs/>
                <w:color w:val="0000FF"/>
                <w:sz w:val="21"/>
                <w:szCs w:val="21"/>
                <w:highlight w:val="none"/>
                <w:vertAlign w:val="baseline"/>
                <w:lang w:val="en-US" w:eastAsia="zh-CN"/>
              </w:rPr>
              <w:t>总库容（万m³）</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bCs/>
                <w:color w:val="0000FF"/>
                <w:sz w:val="21"/>
                <w:szCs w:val="21"/>
                <w:highlight w:val="none"/>
                <w:vertAlign w:val="baseline"/>
                <w:lang w:val="en-US" w:eastAsia="zh-CN"/>
              </w:rPr>
            </w:pPr>
            <w:r>
              <w:rPr>
                <w:rFonts w:hint="default" w:ascii="Times New Roman" w:hAnsi="Times New Roman" w:cs="Times New Roman"/>
                <w:b/>
                <w:bCs/>
                <w:color w:val="0000FF"/>
                <w:sz w:val="21"/>
                <w:szCs w:val="21"/>
                <w:highlight w:val="none"/>
                <w:vertAlign w:val="baseline"/>
                <w:lang w:val="en-US" w:eastAsia="zh-CN"/>
              </w:rPr>
              <w:t>多年平均径流量</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bCs/>
                <w:color w:val="0000FF"/>
                <w:sz w:val="21"/>
                <w:szCs w:val="21"/>
                <w:highlight w:val="none"/>
                <w:vertAlign w:val="baseline"/>
                <w:lang w:val="en-US" w:eastAsia="zh-CN"/>
              </w:rPr>
            </w:pPr>
            <w:r>
              <w:rPr>
                <w:rFonts w:hint="default" w:ascii="Times New Roman" w:hAnsi="Times New Roman" w:cs="Times New Roman"/>
                <w:b/>
                <w:bCs/>
                <w:color w:val="0000FF"/>
                <w:sz w:val="21"/>
                <w:szCs w:val="21"/>
                <w:highlight w:val="none"/>
                <w:vertAlign w:val="baseline"/>
                <w:lang w:val="en-US" w:eastAsia="zh-CN"/>
              </w:rPr>
              <w:t>（万m³）</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bCs/>
                <w:color w:val="0000FF"/>
                <w:sz w:val="21"/>
                <w:szCs w:val="21"/>
                <w:highlight w:val="none"/>
                <w:vertAlign w:val="baseline"/>
                <w:lang w:val="en-US" w:eastAsia="zh-CN"/>
              </w:rPr>
            </w:pPr>
            <w:r>
              <w:rPr>
                <w:rFonts w:hint="default" w:ascii="Times New Roman" w:hAnsi="Times New Roman" w:cs="Times New Roman"/>
                <w:b/>
                <w:bCs/>
                <w:color w:val="0000FF"/>
                <w:sz w:val="21"/>
                <w:szCs w:val="21"/>
                <w:highlight w:val="none"/>
                <w:vertAlign w:val="baseline"/>
                <w:lang w:val="en-US" w:eastAsia="zh-CN"/>
              </w:rPr>
              <w:t>接受本项目补水量（万m³）</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0000FF"/>
                <w:sz w:val="21"/>
                <w:szCs w:val="21"/>
                <w:highlight w:val="none"/>
                <w:vertAlign w:val="baseline"/>
                <w:lang w:val="en-US" w:eastAsia="zh-CN"/>
              </w:rPr>
            </w:pPr>
            <w:r>
              <w:rPr>
                <w:rFonts w:hint="default" w:ascii="Times New Roman" w:hAnsi="Times New Roman" w:cs="Times New Roman"/>
                <w:b/>
                <w:bCs/>
                <w:color w:val="0000FF"/>
                <w:sz w:val="21"/>
                <w:szCs w:val="21"/>
                <w:highlight w:val="none"/>
                <w:lang w:val="en-US" w:eastAsia="zh-CN"/>
              </w:rPr>
              <w:t>补水</w:t>
            </w:r>
            <w:r>
              <w:rPr>
                <w:rFonts w:hint="default" w:ascii="Times New Roman" w:hAnsi="Times New Roman" w:cs="Times New Roman"/>
                <w:b/>
                <w:bCs/>
                <w:color w:val="0000FF"/>
                <w:sz w:val="21"/>
                <w:szCs w:val="21"/>
                <w:highlight w:val="none"/>
              </w:rPr>
              <w:t>量占多年平均径流量百分比γ/%</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bCs/>
                <w:color w:val="0000FF"/>
                <w:sz w:val="21"/>
                <w:szCs w:val="21"/>
                <w:highlight w:val="none"/>
                <w:lang w:val="en-US" w:eastAsia="zh-CN"/>
              </w:rPr>
            </w:pPr>
            <w:r>
              <w:rPr>
                <w:rFonts w:hint="default" w:ascii="Times New Roman" w:hAnsi="Times New Roman" w:cs="Times New Roman"/>
                <w:b/>
                <w:bCs/>
                <w:color w:val="0000FF"/>
                <w:sz w:val="21"/>
                <w:szCs w:val="21"/>
                <w:highlight w:val="none"/>
              </w:rPr>
              <w:t>年径流量与总库容百分比 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cs="Times New Roman"/>
                <w:color w:val="0000FF"/>
                <w:sz w:val="21"/>
                <w:szCs w:val="21"/>
                <w:highlight w:val="none"/>
                <w:vertAlign w:val="baseline"/>
                <w:lang w:val="en-US" w:eastAsia="zh-CN"/>
              </w:rPr>
              <w:t>界牌箐水库</w:t>
            </w:r>
          </w:p>
        </w:tc>
        <w:tc>
          <w:tcPr>
            <w:tcW w:w="96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cs="Times New Roman"/>
                <w:color w:val="0000FF"/>
                <w:sz w:val="21"/>
                <w:szCs w:val="21"/>
                <w:highlight w:val="none"/>
                <w:vertAlign w:val="baseline"/>
                <w:lang w:val="en-US" w:eastAsia="zh-CN"/>
              </w:rPr>
              <w:t>10.1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8.46</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cs="Times New Roman"/>
                <w:color w:val="0000FF"/>
                <w:sz w:val="21"/>
                <w:szCs w:val="21"/>
                <w:highlight w:val="none"/>
                <w:vertAlign w:val="baseline"/>
                <w:lang w:val="en-US" w:eastAsia="zh-CN"/>
              </w:rPr>
              <w:t>2</w:t>
            </w:r>
          </w:p>
        </w:tc>
        <w:tc>
          <w:tcPr>
            <w:tcW w:w="196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23.64</w:t>
            </w:r>
          </w:p>
        </w:tc>
        <w:tc>
          <w:tcPr>
            <w:tcW w:w="171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103.56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cs="Times New Roman"/>
                <w:color w:val="0000FF"/>
                <w:sz w:val="21"/>
                <w:szCs w:val="21"/>
                <w:highlight w:val="none"/>
                <w:vertAlign w:val="baseline"/>
                <w:lang w:val="en-US" w:eastAsia="zh-CN"/>
              </w:rPr>
              <w:t>水平石水库</w:t>
            </w:r>
          </w:p>
        </w:tc>
        <w:tc>
          <w:tcPr>
            <w:tcW w:w="96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cs="Times New Roman"/>
                <w:color w:val="0000FF"/>
                <w:sz w:val="21"/>
                <w:szCs w:val="21"/>
                <w:highlight w:val="none"/>
                <w:vertAlign w:val="baseline"/>
                <w:lang w:val="en-US" w:eastAsia="zh-CN"/>
              </w:rPr>
              <w:t>31.5</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38.08</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cs="Times New Roman"/>
                <w:color w:val="0000FF"/>
                <w:sz w:val="21"/>
                <w:szCs w:val="21"/>
                <w:highlight w:val="none"/>
                <w:vertAlign w:val="baseline"/>
                <w:lang w:val="en-US" w:eastAsia="zh-CN"/>
              </w:rPr>
              <w:t>10.2</w:t>
            </w:r>
          </w:p>
        </w:tc>
        <w:tc>
          <w:tcPr>
            <w:tcW w:w="196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26.79</w:t>
            </w:r>
          </w:p>
        </w:tc>
        <w:tc>
          <w:tcPr>
            <w:tcW w:w="171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153.27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cs="Times New Roman"/>
                <w:color w:val="0000FF"/>
                <w:sz w:val="21"/>
                <w:szCs w:val="21"/>
                <w:highlight w:val="none"/>
                <w:vertAlign w:val="baseline"/>
                <w:lang w:val="en-US" w:eastAsia="zh-CN"/>
              </w:rPr>
              <w:t>姜中水库</w:t>
            </w:r>
          </w:p>
        </w:tc>
        <w:tc>
          <w:tcPr>
            <w:tcW w:w="96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cs="Times New Roman"/>
                <w:color w:val="0000FF"/>
                <w:sz w:val="21"/>
                <w:szCs w:val="21"/>
                <w:highlight w:val="none"/>
                <w:vertAlign w:val="baseline"/>
                <w:lang w:val="en-US" w:eastAsia="zh-CN"/>
              </w:rPr>
              <w:t>11.3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17.77</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cs="Times New Roman"/>
                <w:color w:val="0000FF"/>
                <w:sz w:val="21"/>
                <w:szCs w:val="21"/>
                <w:highlight w:val="none"/>
                <w:vertAlign w:val="baseline"/>
                <w:lang w:val="en-US" w:eastAsia="zh-CN"/>
              </w:rPr>
              <w:t>4.1</w:t>
            </w:r>
          </w:p>
        </w:tc>
        <w:tc>
          <w:tcPr>
            <w:tcW w:w="196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23.07</w:t>
            </w:r>
          </w:p>
        </w:tc>
        <w:tc>
          <w:tcPr>
            <w:tcW w:w="171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193.54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cs="Times New Roman"/>
                <w:color w:val="0000FF"/>
                <w:sz w:val="21"/>
                <w:szCs w:val="21"/>
                <w:highlight w:val="none"/>
                <w:vertAlign w:val="baseline"/>
                <w:lang w:val="en-US" w:eastAsia="zh-CN"/>
              </w:rPr>
              <w:t>李官坟水库</w:t>
            </w:r>
          </w:p>
        </w:tc>
        <w:tc>
          <w:tcPr>
            <w:tcW w:w="96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cs="Times New Roman"/>
                <w:color w:val="0000FF"/>
                <w:sz w:val="21"/>
                <w:szCs w:val="21"/>
                <w:highlight w:val="none"/>
                <w:vertAlign w:val="baseline"/>
                <w:lang w:val="en-US" w:eastAsia="zh-CN"/>
              </w:rPr>
              <w:t>11.3</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cs="Times New Roman"/>
                <w:color w:val="0000FF"/>
                <w:sz w:val="21"/>
                <w:szCs w:val="21"/>
                <w:highlight w:val="none"/>
                <w:vertAlign w:val="baseline"/>
                <w:lang w:val="en-US" w:eastAsia="zh-CN"/>
              </w:rPr>
              <w:t>11</w:t>
            </w:r>
          </w:p>
        </w:tc>
        <w:tc>
          <w:tcPr>
            <w:tcW w:w="0" w:type="auto"/>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cs="Times New Roman"/>
                <w:color w:val="0000FF"/>
                <w:sz w:val="21"/>
                <w:szCs w:val="21"/>
                <w:highlight w:val="none"/>
                <w:vertAlign w:val="baseline"/>
                <w:lang w:val="en-US" w:eastAsia="zh-CN"/>
              </w:rPr>
              <w:t>3.0</w:t>
            </w:r>
          </w:p>
        </w:tc>
        <w:tc>
          <w:tcPr>
            <w:tcW w:w="196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27.27</w:t>
            </w:r>
          </w:p>
        </w:tc>
        <w:tc>
          <w:tcPr>
            <w:tcW w:w="171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vertAlign w:val="baseli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123.89</w:t>
            </w:r>
          </w:p>
        </w:tc>
      </w:tr>
    </w:tbl>
    <w:p>
      <w:pPr>
        <w:keepNext w:val="0"/>
        <w:keepLines w:val="0"/>
        <w:pageBreakBefore w:val="0"/>
        <w:widowControl w:val="0"/>
        <w:kinsoku/>
        <w:wordWrap/>
        <w:overflowPunct/>
        <w:topLinePunct w:val="0"/>
        <w:autoSpaceDE/>
        <w:autoSpaceDN/>
        <w:bidi w:val="0"/>
        <w:adjustRightInd w:val="0"/>
        <w:snapToGrid w:val="0"/>
        <w:textAlignment w:val="auto"/>
        <w:rPr>
          <w:rFonts w:hint="default" w:cs="Times New Roman"/>
          <w:color w:val="0000FF"/>
          <w:highlight w:val="none"/>
          <w:lang w:val="en-US" w:eastAsia="zh-CN"/>
        </w:rPr>
      </w:pPr>
      <w:r>
        <w:rPr>
          <w:rFonts w:hint="eastAsia" w:cs="Times New Roman"/>
          <w:color w:val="0000FF"/>
          <w:highlight w:val="none"/>
          <w:lang w:val="en-US" w:eastAsia="zh-CN"/>
        </w:rPr>
        <w:t>根据上表，按照</w:t>
      </w:r>
      <w:r>
        <w:rPr>
          <w:rFonts w:hint="eastAsia" w:ascii="Times New Roman" w:hAnsi="Times New Roman" w:cs="Times New Roman"/>
          <w:color w:val="0000FF"/>
          <w:highlight w:val="none"/>
          <w:lang w:val="en-US" w:eastAsia="zh-CN"/>
        </w:rPr>
        <w:t>“取水量占多年平均径流量百分比γ/%”判定为二级评价，按照</w:t>
      </w:r>
      <w:r>
        <w:rPr>
          <w:rFonts w:hint="eastAsia" w:cs="Times New Roman"/>
          <w:color w:val="0000FF"/>
          <w:highlight w:val="none"/>
          <w:lang w:val="en-US" w:eastAsia="zh-CN"/>
        </w:rPr>
        <w:t>“本项目补水及水库年径流量与总库容百分比α/%”判定地表水评价等级为三级。按最高评价等级，确定地表水评价等级为二级。</w:t>
      </w:r>
    </w:p>
    <w:p>
      <w:pPr>
        <w:bidi w:val="0"/>
        <w:spacing w:line="36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综上所述，本项目</w:t>
      </w:r>
      <w:r>
        <w:rPr>
          <w:rFonts w:hint="eastAsia" w:cs="Times New Roman"/>
          <w:color w:val="auto"/>
          <w:highlight w:val="none"/>
          <w:lang w:val="en-US" w:eastAsia="zh-CN"/>
        </w:rPr>
        <w:t>按水污染影响型判定地表水评价等级为三级B，按水文要素型判定地表水评价等级为二级。</w:t>
      </w:r>
    </w:p>
    <w:p>
      <w:pPr>
        <w:pStyle w:val="5"/>
        <w:tabs>
          <w:tab w:val="clear" w:pos="420"/>
        </w:tabs>
        <w:bidi w:val="0"/>
        <w:ind w:left="480" w:leftChars="0" w:firstLineChars="0"/>
        <w:rPr>
          <w:rFonts w:hint="default"/>
          <w:color w:val="0000FF"/>
        </w:rPr>
      </w:pPr>
      <w:r>
        <w:rPr>
          <w:rFonts w:hint="default"/>
          <w:color w:val="0000FF"/>
        </w:rPr>
        <w:t>地下水环境</w:t>
      </w:r>
    </w:p>
    <w:p>
      <w:pPr>
        <w:ind w:firstLine="480"/>
        <w:rPr>
          <w:rFonts w:hint="default" w:ascii="Times New Roman" w:hAnsi="Times New Roman" w:eastAsia="宋体" w:cs="Times New Roman"/>
          <w:color w:val="0000FF"/>
          <w:highlight w:val="none"/>
          <w:lang w:val="en-US" w:eastAsia="zh-CN"/>
        </w:rPr>
      </w:pPr>
      <w:r>
        <w:rPr>
          <w:rFonts w:hint="default" w:ascii="Times New Roman" w:hAnsi="Times New Roman" w:cs="Times New Roman"/>
          <w:color w:val="0000FF"/>
          <w:highlight w:val="none"/>
        </w:rPr>
        <w:t>根据《环境影响评价技术导则-地下水环境》（HJ610-2016）附录A</w:t>
      </w:r>
      <w:r>
        <w:rPr>
          <w:rFonts w:hint="eastAsia" w:cs="Times New Roman"/>
          <w:color w:val="0000FF"/>
          <w:highlight w:val="none"/>
          <w:lang w:val="en-US" w:eastAsia="zh-CN"/>
        </w:rPr>
        <w:t>本项目属于：</w:t>
      </w:r>
      <w:r>
        <w:rPr>
          <w:rFonts w:hint="eastAsia" w:ascii="宋体" w:hAnsi="宋体" w:eastAsia="宋体" w:cs="宋体"/>
          <w:color w:val="0000FF"/>
          <w:highlight w:val="none"/>
          <w:lang w:eastAsia="zh-CN"/>
        </w:rPr>
        <w:t>“</w:t>
      </w:r>
      <w:r>
        <w:rPr>
          <w:rFonts w:hint="default" w:ascii="Times New Roman" w:hAnsi="Times New Roman" w:cs="Times New Roman"/>
          <w:color w:val="0000FF"/>
          <w:highlight w:val="none"/>
        </w:rPr>
        <w:t>A水利</w:t>
      </w:r>
      <w:r>
        <w:rPr>
          <w:rFonts w:hint="eastAsia" w:ascii="Times New Roman" w:hAnsi="Times New Roman" w:cs="Times New Roman"/>
          <w:color w:val="0000FF"/>
          <w:highlight w:val="none"/>
          <w:lang w:eastAsia="zh-CN"/>
        </w:rPr>
        <w:t>”</w:t>
      </w:r>
      <w:r>
        <w:rPr>
          <w:rFonts w:hint="eastAsia" w:ascii="Times New Roman" w:hAnsi="Times New Roman" w:cs="Times New Roman"/>
          <w:color w:val="0000FF"/>
          <w:highlight w:val="none"/>
          <w:lang w:val="en-US" w:eastAsia="zh-CN"/>
        </w:rPr>
        <w:t>中的“</w:t>
      </w:r>
      <w:r>
        <w:rPr>
          <w:rFonts w:hint="eastAsia" w:cs="Times New Roman"/>
          <w:color w:val="0000FF"/>
          <w:highlight w:val="none"/>
          <w:lang w:val="en-US" w:eastAsia="zh-CN"/>
        </w:rPr>
        <w:t>2</w:t>
      </w:r>
      <w:r>
        <w:rPr>
          <w:rFonts w:hint="eastAsia" w:cs="Times New Roman"/>
          <w:color w:val="0000FF"/>
          <w:highlight w:val="none"/>
          <w:lang w:eastAsia="zh-CN"/>
        </w:rPr>
        <w:t>灌区工程</w:t>
      </w:r>
      <w:r>
        <w:rPr>
          <w:rFonts w:hint="eastAsia" w:ascii="宋体" w:hAnsi="宋体" w:cs="宋体"/>
          <w:color w:val="0000FF"/>
          <w:highlight w:val="none"/>
          <w:lang w:eastAsia="zh-CN"/>
        </w:rPr>
        <w:t>（</w:t>
      </w:r>
      <w:r>
        <w:rPr>
          <w:rFonts w:hint="eastAsia" w:ascii="宋体" w:hAnsi="宋体" w:cs="宋体"/>
          <w:color w:val="0000FF"/>
          <w:highlight w:val="none"/>
          <w:lang w:val="en-US" w:eastAsia="zh-CN"/>
        </w:rPr>
        <w:t>不使用再生水灌溉</w:t>
      </w:r>
      <w:r>
        <w:rPr>
          <w:rFonts w:hint="eastAsia" w:ascii="宋体" w:hAnsi="宋体" w:cs="宋体"/>
          <w:color w:val="0000FF"/>
          <w:highlight w:val="none"/>
          <w:lang w:eastAsia="zh-CN"/>
        </w:rPr>
        <w:t>）</w:t>
      </w:r>
      <w:r>
        <w:rPr>
          <w:rFonts w:hint="eastAsia" w:ascii="宋体" w:hAnsi="宋体" w:eastAsia="宋体" w:cs="宋体"/>
          <w:color w:val="0000FF"/>
          <w:highlight w:val="none"/>
          <w:lang w:eastAsia="zh-CN"/>
        </w:rPr>
        <w:t>”</w:t>
      </w:r>
      <w:r>
        <w:rPr>
          <w:rFonts w:hint="eastAsia" w:ascii="宋体" w:hAnsi="宋体" w:cs="宋体"/>
          <w:color w:val="0000FF"/>
          <w:highlight w:val="none"/>
          <w:lang w:val="en-US" w:eastAsia="zh-CN"/>
        </w:rPr>
        <w:t>为</w:t>
      </w:r>
      <w:r>
        <w:rPr>
          <w:rFonts w:hint="eastAsia" w:ascii="宋体" w:hAnsi="宋体" w:eastAsia="宋体" w:cs="宋体"/>
          <w:color w:val="0000FF"/>
          <w:highlight w:val="none"/>
        </w:rPr>
        <w:t>Ⅳ</w:t>
      </w:r>
      <w:r>
        <w:rPr>
          <w:rFonts w:hint="default" w:ascii="Times New Roman" w:hAnsi="Times New Roman" w:cs="Times New Roman"/>
          <w:color w:val="0000FF"/>
          <w:highlight w:val="none"/>
        </w:rPr>
        <w:t>类</w:t>
      </w:r>
      <w:r>
        <w:rPr>
          <w:rFonts w:hint="eastAsia" w:cs="Times New Roman"/>
          <w:color w:val="0000FF"/>
          <w:highlight w:val="none"/>
          <w:lang w:val="en-US" w:eastAsia="zh-CN"/>
        </w:rPr>
        <w:t>项目；同时属于</w:t>
      </w:r>
      <w:r>
        <w:rPr>
          <w:rFonts w:hint="eastAsia" w:ascii="宋体" w:hAnsi="宋体" w:cs="宋体"/>
          <w:color w:val="0000FF"/>
          <w:highlight w:val="none"/>
          <w:lang w:eastAsia="zh-CN"/>
        </w:rPr>
        <w:t>“</w:t>
      </w:r>
      <w:r>
        <w:rPr>
          <w:rFonts w:hint="eastAsia" w:ascii="宋体" w:hAnsi="宋体" w:cs="宋体"/>
          <w:color w:val="0000FF"/>
          <w:highlight w:val="none"/>
          <w:lang w:val="en-US" w:eastAsia="zh-CN"/>
        </w:rPr>
        <w:t>3引水工程（涉及环境敏感区的）</w:t>
      </w:r>
      <w:r>
        <w:rPr>
          <w:rFonts w:hint="eastAsia" w:ascii="宋体" w:hAnsi="宋体" w:cs="宋体"/>
          <w:color w:val="0000FF"/>
          <w:highlight w:val="none"/>
          <w:lang w:eastAsia="zh-CN"/>
        </w:rPr>
        <w:t>”</w:t>
      </w:r>
      <w:r>
        <w:rPr>
          <w:rFonts w:hint="eastAsia" w:ascii="宋体" w:hAnsi="宋体" w:cs="宋体"/>
          <w:color w:val="0000FF"/>
          <w:highlight w:val="none"/>
          <w:lang w:val="en-US" w:eastAsia="zh-CN"/>
        </w:rPr>
        <w:t>为</w:t>
      </w:r>
      <w:r>
        <w:rPr>
          <w:rFonts w:hint="eastAsia" w:ascii="宋体" w:hAnsi="宋体" w:eastAsia="宋体" w:cs="宋体"/>
          <w:color w:val="0000FF"/>
          <w:highlight w:val="none"/>
          <w:lang w:val="en-US" w:eastAsia="zh-CN"/>
        </w:rPr>
        <w:t>Ⅲ</w:t>
      </w:r>
      <w:r>
        <w:rPr>
          <w:rFonts w:hint="eastAsia" w:ascii="宋体" w:hAnsi="宋体" w:cs="宋体"/>
          <w:color w:val="0000FF"/>
          <w:highlight w:val="none"/>
          <w:lang w:val="en-US" w:eastAsia="zh-CN"/>
        </w:rPr>
        <w:t>类项目。</w:t>
      </w:r>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根据《环境影响评价技术导则-地下水环境》（HJ610-2016），建设项目地下水环境影响评价工作等级划分见下表。</w:t>
      </w:r>
    </w:p>
    <w:p>
      <w:pPr>
        <w:spacing w:line="240" w:lineRule="auto"/>
        <w:ind w:left="0" w:leftChars="0" w:firstLine="0" w:firstLineChars="0"/>
        <w:jc w:val="center"/>
        <w:rPr>
          <w:rFonts w:hint="default" w:ascii="Times New Roman" w:hAnsi="Times New Roman" w:cs="Times New Roman"/>
          <w:b/>
          <w:color w:val="0000FF"/>
          <w:highlight w:val="none"/>
        </w:rPr>
      </w:pPr>
      <w:r>
        <w:rPr>
          <w:rFonts w:hint="default" w:ascii="Times New Roman" w:hAnsi="Times New Roman" w:cs="Times New Roman"/>
          <w:b/>
          <w:color w:val="0000FF"/>
          <w:highlight w:val="none"/>
        </w:rPr>
        <w:t>表 1.5</w:t>
      </w:r>
      <w:r>
        <w:rPr>
          <w:rFonts w:hint="eastAsia" w:cs="Times New Roman"/>
          <w:b/>
          <w:color w:val="0000FF"/>
          <w:highlight w:val="none"/>
          <w:lang w:val="en-US" w:eastAsia="zh-CN"/>
        </w:rPr>
        <w:t>.1</w:t>
      </w:r>
      <w:r>
        <w:rPr>
          <w:rFonts w:hint="default" w:ascii="Times New Roman" w:hAnsi="Times New Roman" w:cs="Times New Roman"/>
          <w:b/>
          <w:color w:val="0000FF"/>
          <w:highlight w:val="none"/>
        </w:rPr>
        <w:t>-4  地下水环境影响评价工作等级分级表</w:t>
      </w:r>
    </w:p>
    <w:tbl>
      <w:tblPr>
        <w:tblStyle w:val="57"/>
        <w:tblW w:w="8862"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732"/>
        <w:gridCol w:w="2041"/>
        <w:gridCol w:w="2042"/>
        <w:gridCol w:w="20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1" w:hRule="atLeast"/>
        </w:trPr>
        <w:tc>
          <w:tcPr>
            <w:tcW w:w="2732" w:type="dxa"/>
            <w:tcBorders>
              <w:tl2br w:val="single" w:color="000000"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right"/>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3"/>
                <w:sz w:val="21"/>
                <w:szCs w:val="21"/>
              </w:rPr>
              <w:t>项目类别</w:t>
            </w:r>
          </w:p>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left"/>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环境敏感程度</w:t>
            </w:r>
          </w:p>
        </w:tc>
        <w:tc>
          <w:tcPr>
            <w:tcW w:w="20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Times New Roman" w:cs="Times New Roman"/>
                <w:color w:val="0000FF"/>
                <w:spacing w:val="-1"/>
                <w:sz w:val="21"/>
                <w:szCs w:val="21"/>
              </w:rPr>
              <w:t>Ⅰ</w:t>
            </w:r>
            <w:r>
              <w:rPr>
                <w:rFonts w:hint="default" w:ascii="Times New Roman" w:hAnsi="Times New Roman" w:eastAsia="宋体" w:cs="Times New Roman"/>
                <w:color w:val="0000FF"/>
                <w:spacing w:val="-1"/>
                <w:sz w:val="21"/>
                <w:szCs w:val="21"/>
              </w:rPr>
              <w:t>类项目</w:t>
            </w:r>
          </w:p>
        </w:tc>
        <w:tc>
          <w:tcPr>
            <w:tcW w:w="204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Times New Roman" w:cs="Times New Roman"/>
                <w:color w:val="0000FF"/>
                <w:spacing w:val="-1"/>
                <w:sz w:val="21"/>
                <w:szCs w:val="21"/>
              </w:rPr>
              <w:t>Ⅱ</w:t>
            </w:r>
            <w:r>
              <w:rPr>
                <w:rFonts w:hint="default" w:ascii="Times New Roman" w:hAnsi="Times New Roman" w:eastAsia="宋体" w:cs="Times New Roman"/>
                <w:color w:val="0000FF"/>
                <w:spacing w:val="-1"/>
                <w:sz w:val="21"/>
                <w:szCs w:val="21"/>
              </w:rPr>
              <w:t>类项目</w:t>
            </w:r>
          </w:p>
        </w:tc>
        <w:tc>
          <w:tcPr>
            <w:tcW w:w="204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Times New Roman" w:cs="Times New Roman"/>
                <w:color w:val="0000FF"/>
                <w:spacing w:val="-1"/>
                <w:sz w:val="21"/>
                <w:szCs w:val="21"/>
              </w:rPr>
              <w:t>Ⅲ</w:t>
            </w:r>
            <w:r>
              <w:rPr>
                <w:rFonts w:hint="default" w:ascii="Times New Roman" w:hAnsi="Times New Roman" w:eastAsia="宋体" w:cs="Times New Roman"/>
                <w:color w:val="0000FF"/>
                <w:spacing w:val="-1"/>
                <w:sz w:val="21"/>
                <w:szCs w:val="21"/>
              </w:rPr>
              <w:t>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rPr>
        <w:tc>
          <w:tcPr>
            <w:tcW w:w="273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敏感</w:t>
            </w:r>
          </w:p>
        </w:tc>
        <w:tc>
          <w:tcPr>
            <w:tcW w:w="20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position w:val="-4"/>
                <w:sz w:val="21"/>
                <w:szCs w:val="21"/>
              </w:rPr>
              <w:t>一</w:t>
            </w:r>
          </w:p>
        </w:tc>
        <w:tc>
          <w:tcPr>
            <w:tcW w:w="204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position w:val="-4"/>
                <w:sz w:val="21"/>
                <w:szCs w:val="21"/>
              </w:rPr>
              <w:t>一</w:t>
            </w:r>
          </w:p>
        </w:tc>
        <w:tc>
          <w:tcPr>
            <w:tcW w:w="204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3" w:hRule="atLeast"/>
        </w:trPr>
        <w:tc>
          <w:tcPr>
            <w:tcW w:w="273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较敏感</w:t>
            </w:r>
          </w:p>
        </w:tc>
        <w:tc>
          <w:tcPr>
            <w:tcW w:w="20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position w:val="-4"/>
                <w:sz w:val="21"/>
                <w:szCs w:val="21"/>
              </w:rPr>
              <w:t>一</w:t>
            </w:r>
          </w:p>
        </w:tc>
        <w:tc>
          <w:tcPr>
            <w:tcW w:w="204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二</w:t>
            </w:r>
          </w:p>
        </w:tc>
        <w:tc>
          <w:tcPr>
            <w:tcW w:w="204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5" w:hRule="atLeast"/>
        </w:trPr>
        <w:tc>
          <w:tcPr>
            <w:tcW w:w="273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不敏感</w:t>
            </w:r>
          </w:p>
        </w:tc>
        <w:tc>
          <w:tcPr>
            <w:tcW w:w="204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二</w:t>
            </w:r>
          </w:p>
        </w:tc>
        <w:tc>
          <w:tcPr>
            <w:tcW w:w="204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三</w:t>
            </w:r>
          </w:p>
        </w:tc>
        <w:tc>
          <w:tcPr>
            <w:tcW w:w="204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三</w:t>
            </w:r>
          </w:p>
        </w:tc>
      </w:tr>
    </w:tbl>
    <w:p>
      <w:pPr>
        <w:bidi w:val="0"/>
        <w:rPr>
          <w:rFonts w:hint="default"/>
          <w:color w:val="0000FF"/>
        </w:rPr>
      </w:pPr>
      <w:r>
        <w:rPr>
          <w:rFonts w:hint="eastAsia" w:ascii="Times New Roman" w:hAnsi="Times New Roman" w:cs="Times New Roman"/>
          <w:color w:val="0000FF"/>
          <w:highlight w:val="none"/>
          <w:lang w:val="en-US" w:eastAsia="zh-CN"/>
        </w:rPr>
        <w:t>本项目同时属于</w:t>
      </w:r>
      <w:r>
        <w:rPr>
          <w:rFonts w:hint="default" w:ascii="Times New Roman" w:hAnsi="Times New Roman" w:cs="Times New Roman"/>
          <w:color w:val="0000FF"/>
          <w:highlight w:val="none"/>
        </w:rPr>
        <w:t>《环境影响评价技术导则-地下水环境》（HJ610-2016）附录A</w:t>
      </w:r>
      <w:r>
        <w:rPr>
          <w:rFonts w:hint="eastAsia" w:cs="Times New Roman"/>
          <w:color w:val="0000FF"/>
          <w:highlight w:val="none"/>
          <w:lang w:val="en-US" w:eastAsia="zh-CN"/>
        </w:rPr>
        <w:t>中的</w:t>
      </w:r>
      <w:r>
        <w:rPr>
          <w:rFonts w:hint="eastAsia" w:ascii="宋体" w:hAnsi="宋体" w:eastAsia="宋体" w:cs="宋体"/>
          <w:color w:val="0000FF"/>
          <w:highlight w:val="none"/>
        </w:rPr>
        <w:t>Ⅳ</w:t>
      </w:r>
      <w:r>
        <w:rPr>
          <w:rFonts w:hint="eastAsia" w:ascii="Times New Roman" w:hAnsi="Times New Roman" w:eastAsia="宋体" w:cs="Times New Roman"/>
          <w:color w:val="0000FF"/>
          <w:highlight w:val="none"/>
          <w:lang w:eastAsia="zh-CN"/>
        </w:rPr>
        <w:t>、</w:t>
      </w:r>
      <w:r>
        <w:rPr>
          <w:rFonts w:hint="eastAsia" w:ascii="宋体" w:hAnsi="宋体" w:eastAsia="宋体" w:cs="宋体"/>
          <w:color w:val="0000FF"/>
          <w:highlight w:val="none"/>
          <w:lang w:val="en-US" w:eastAsia="zh-CN"/>
        </w:rPr>
        <w:t>Ⅲ</w:t>
      </w:r>
      <w:r>
        <w:rPr>
          <w:rFonts w:hint="eastAsia" w:ascii="宋体" w:hAnsi="宋体" w:cs="宋体"/>
          <w:color w:val="0000FF"/>
          <w:highlight w:val="none"/>
          <w:lang w:val="en-US" w:eastAsia="zh-CN"/>
        </w:rPr>
        <w:t>类项目。</w:t>
      </w:r>
      <w:r>
        <w:rPr>
          <w:rFonts w:hint="default"/>
          <w:color w:val="0000FF"/>
        </w:rPr>
        <w:t>项目不涉及集中式地下水 供水水源，无热水、矿泉水、温泉等特殊地下水资源保护区分布，本项目建设区已全部采用自来水作为村民水源，村子水井等只作为灌溉使用，</w:t>
      </w:r>
      <w:r>
        <w:rPr>
          <w:rFonts w:hint="eastAsia"/>
          <w:color w:val="0000FF"/>
          <w:lang w:val="en-US" w:eastAsia="zh-CN"/>
        </w:rPr>
        <w:t>不</w:t>
      </w:r>
      <w:r>
        <w:rPr>
          <w:rFonts w:hint="default"/>
          <w:color w:val="0000FF"/>
        </w:rPr>
        <w:t>涉及分散式地下水供水水源。地下水环境敏感程度为</w:t>
      </w:r>
      <w:r>
        <w:rPr>
          <w:rFonts w:hint="eastAsia"/>
          <w:color w:val="0000FF"/>
          <w:lang w:val="en-US" w:eastAsia="zh-CN"/>
        </w:rPr>
        <w:t>不</w:t>
      </w:r>
      <w:r>
        <w:rPr>
          <w:rFonts w:hint="default"/>
          <w:color w:val="0000FF"/>
        </w:rPr>
        <w:t>敏感。</w:t>
      </w:r>
      <w:r>
        <w:rPr>
          <w:rFonts w:hint="eastAsia"/>
          <w:color w:val="0000FF"/>
          <w:lang w:val="en-US" w:eastAsia="zh-CN"/>
        </w:rPr>
        <w:t>综合评定</w:t>
      </w:r>
      <w:r>
        <w:rPr>
          <w:rFonts w:hint="default"/>
          <w:color w:val="0000FF"/>
        </w:rPr>
        <w:t>本项目地下水环境影响评价工作等级为三级。</w:t>
      </w:r>
    </w:p>
    <w:p>
      <w:pPr>
        <w:pStyle w:val="5"/>
        <w:tabs>
          <w:tab w:val="clear" w:pos="420"/>
        </w:tabs>
        <w:bidi w:val="0"/>
        <w:ind w:left="480" w:leftChars="0" w:firstLineChars="0"/>
        <w:rPr>
          <w:rFonts w:hint="default"/>
          <w:color w:val="auto"/>
        </w:rPr>
      </w:pPr>
      <w:r>
        <w:rPr>
          <w:rFonts w:hint="default"/>
          <w:color w:val="auto"/>
        </w:rPr>
        <w:t>声环境</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建设项目所处声环境功能区为</w:t>
      </w:r>
      <w:r>
        <w:rPr>
          <w:rFonts w:hint="eastAsia" w:cs="Times New Roman"/>
          <w:color w:val="auto"/>
          <w:highlight w:val="none"/>
          <w:lang w:val="en-US" w:eastAsia="zh-CN"/>
        </w:rPr>
        <w:t>1</w:t>
      </w:r>
      <w:r>
        <w:rPr>
          <w:rFonts w:hint="default" w:ascii="Times New Roman" w:hAnsi="Times New Roman" w:cs="Times New Roman"/>
          <w:color w:val="auto"/>
          <w:highlight w:val="none"/>
        </w:rPr>
        <w:t>类地区，或建设项目建设前后评价范围内敏感目标噪声级增高量达3-5dB（A）以上[含5 dB（A）]，或受影响人口数量增加较多时，按二级评价。</w:t>
      </w:r>
      <w:r>
        <w:rPr>
          <w:rFonts w:hint="default" w:ascii="Times New Roman" w:hAnsi="Times New Roman" w:cs="Times New Roman"/>
          <w:color w:val="0000FF"/>
          <w:highlight w:val="none"/>
        </w:rPr>
        <w:t>本项目位于声环境</w:t>
      </w:r>
      <w:r>
        <w:rPr>
          <w:rFonts w:hint="eastAsia" w:cs="Times New Roman"/>
          <w:color w:val="0000FF"/>
          <w:highlight w:val="none"/>
          <w:lang w:val="en-US" w:eastAsia="zh-CN"/>
        </w:rPr>
        <w:t>1</w:t>
      </w:r>
      <w:r>
        <w:rPr>
          <w:rFonts w:hint="default" w:ascii="Times New Roman" w:hAnsi="Times New Roman" w:cs="Times New Roman"/>
          <w:color w:val="0000FF"/>
          <w:highlight w:val="none"/>
        </w:rPr>
        <w:t>类功能区，项目</w:t>
      </w:r>
      <w:r>
        <w:rPr>
          <w:rFonts w:hint="eastAsia" w:cs="Times New Roman"/>
          <w:color w:val="0000FF"/>
          <w:highlight w:val="none"/>
          <w:lang w:val="en-US" w:eastAsia="zh-CN"/>
        </w:rPr>
        <w:t>运营期无声环境保护目标，</w:t>
      </w:r>
      <w:r>
        <w:rPr>
          <w:rFonts w:hint="default" w:ascii="Times New Roman" w:hAnsi="Times New Roman" w:cs="Times New Roman"/>
          <w:color w:val="auto"/>
          <w:highlight w:val="none"/>
        </w:rPr>
        <w:t>建设前后评价范围内敏感目标噪声级不会增加，且受影响人口数量未增加，确定声环境评价等级为二级。</w:t>
      </w:r>
    </w:p>
    <w:p>
      <w:pPr>
        <w:pStyle w:val="5"/>
        <w:tabs>
          <w:tab w:val="clear" w:pos="420"/>
        </w:tabs>
        <w:bidi w:val="0"/>
        <w:ind w:left="480" w:leftChars="0" w:firstLineChars="0"/>
        <w:rPr>
          <w:rFonts w:hint="default"/>
          <w:color w:val="0000FF"/>
        </w:rPr>
      </w:pPr>
      <w:r>
        <w:rPr>
          <w:rFonts w:hint="default"/>
          <w:color w:val="0000FF"/>
        </w:rPr>
        <w:t>土壤环境</w:t>
      </w:r>
    </w:p>
    <w:p>
      <w:pPr>
        <w:bidi w:val="0"/>
        <w:rPr>
          <w:color w:val="0000FF"/>
        </w:rPr>
      </w:pPr>
      <w:r>
        <w:rPr>
          <w:color w:val="0000FF"/>
        </w:rPr>
        <w:t>①土壤影响型判定</w:t>
      </w:r>
    </w:p>
    <w:p>
      <w:pPr>
        <w:bidi w:val="0"/>
        <w:rPr>
          <w:color w:val="0000FF"/>
        </w:rPr>
      </w:pPr>
      <w:r>
        <w:rPr>
          <w:color w:val="0000FF"/>
        </w:rPr>
        <w:t>本项目运营期不存在土壤污染源，引水灌溉可能引起土壤环境的盐化，根据《环境影响评价技术导则土壤环境（试行）》（HJ 964-2018），确定土壤影响型为生态影响型。</w:t>
      </w:r>
    </w:p>
    <w:p>
      <w:pPr>
        <w:bidi w:val="0"/>
        <w:rPr>
          <w:color w:val="0000FF"/>
        </w:rPr>
      </w:pPr>
      <w:r>
        <w:rPr>
          <w:color w:val="0000FF"/>
        </w:rPr>
        <w:t>②土壤环境影响评价项目类别</w:t>
      </w:r>
    </w:p>
    <w:p>
      <w:pPr>
        <w:bidi w:val="0"/>
        <w:rPr>
          <w:color w:val="0000FF"/>
        </w:rPr>
      </w:pPr>
      <w:r>
        <w:rPr>
          <w:rFonts w:hint="eastAsia"/>
          <w:color w:val="0000FF"/>
          <w:lang w:val="en-US" w:eastAsia="zh-CN"/>
        </w:rPr>
        <w:t>对照</w:t>
      </w:r>
      <w:r>
        <w:rPr>
          <w:color w:val="0000FF"/>
        </w:rPr>
        <w:t>《环境影响评价技术导则土壤环境（试行）》（HJ 964-2018）附录A</w:t>
      </w:r>
      <w:r>
        <w:rPr>
          <w:rFonts w:hint="eastAsia"/>
          <w:color w:val="0000FF"/>
          <w:lang w:val="en-US" w:eastAsia="zh-CN"/>
        </w:rPr>
        <w:t>本项目属于</w:t>
      </w:r>
      <w:r>
        <w:rPr>
          <w:rFonts w:hint="eastAsia"/>
          <w:color w:val="0000FF"/>
          <w:lang w:eastAsia="zh-CN"/>
        </w:rPr>
        <w:t>“农林牧渔业”</w:t>
      </w:r>
      <w:r>
        <w:rPr>
          <w:rFonts w:hint="eastAsia"/>
          <w:color w:val="0000FF"/>
          <w:lang w:val="en-US" w:eastAsia="zh-CN"/>
        </w:rPr>
        <w:t>中的其他，为</w:t>
      </w:r>
      <w:r>
        <w:rPr>
          <w:rFonts w:hint="eastAsia" w:ascii="宋体" w:hAnsi="宋体" w:eastAsia="宋体" w:cs="宋体"/>
          <w:color w:val="0000FF"/>
          <w:highlight w:val="none"/>
        </w:rPr>
        <w:t>Ⅳ</w:t>
      </w:r>
      <w:r>
        <w:rPr>
          <w:rFonts w:hint="eastAsia" w:ascii="宋体" w:hAnsi="宋体" w:cs="宋体"/>
          <w:color w:val="0000FF"/>
          <w:highlight w:val="none"/>
          <w:lang w:val="en-US" w:eastAsia="zh-CN"/>
        </w:rPr>
        <w:t>类项目；同时属于“水利”中的其他，</w:t>
      </w:r>
      <w:r>
        <w:rPr>
          <w:rFonts w:hint="eastAsia"/>
          <w:color w:val="0000FF"/>
          <w:lang w:val="en-US" w:eastAsia="zh-CN"/>
        </w:rPr>
        <w:t>为</w:t>
      </w:r>
      <w:r>
        <w:rPr>
          <w:color w:val="0000FF"/>
        </w:rPr>
        <w:t>Ⅲ类项目。</w:t>
      </w:r>
    </w:p>
    <w:p>
      <w:pPr>
        <w:bidi w:val="0"/>
        <w:rPr>
          <w:color w:val="0000FF"/>
        </w:rPr>
      </w:pPr>
      <w:r>
        <w:rPr>
          <w:color w:val="0000FF"/>
        </w:rPr>
        <w:t>③土壤环境敏感程度</w:t>
      </w:r>
    </w:p>
    <w:p>
      <w:pPr>
        <w:bidi w:val="0"/>
        <w:rPr>
          <w:color w:val="0000FF"/>
        </w:rPr>
      </w:pPr>
      <w:r>
        <w:rPr>
          <w:color w:val="0000FF"/>
        </w:rPr>
        <w:t>《环境影响评价技术导则土壤环境（试行）》 （HJ 964-2018），生态影响型土壤敏感程度分级见下表。</w:t>
      </w:r>
    </w:p>
    <w:p>
      <w:pPr>
        <w:pStyle w:val="40"/>
        <w:ind w:left="482" w:firstLine="482"/>
        <w:rPr>
          <w:rFonts w:hint="default" w:ascii="Times New Roman" w:hAnsi="Times New Roman" w:cs="Times New Roman"/>
          <w:color w:val="0000FF"/>
          <w:highlight w:val="none"/>
        </w:rPr>
      </w:pPr>
      <w:r>
        <w:rPr>
          <w:rFonts w:hint="eastAsia" w:ascii="Times New Roman" w:hAnsi="Times New Roman" w:cs="Times New Roman"/>
          <w:color w:val="0000FF"/>
          <w:highlight w:val="none"/>
          <w:lang w:val="en-US" w:eastAsia="zh-CN"/>
        </w:rPr>
        <w:t>表1.5.1-5</w:t>
      </w:r>
      <w:r>
        <w:rPr>
          <w:rFonts w:hint="default" w:ascii="Times New Roman" w:hAnsi="Times New Roman" w:cs="Times New Roman"/>
          <w:color w:val="0000FF"/>
          <w:highlight w:val="none"/>
        </w:rPr>
        <w:t xml:space="preserve">  生态影响型敏感程度分级表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4"/>
        <w:gridCol w:w="5465"/>
        <w:gridCol w:w="1066"/>
        <w:gridCol w:w="1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4" w:type="dxa"/>
            <w:vMerge w:val="restart"/>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敏感程度</w:t>
            </w:r>
          </w:p>
        </w:tc>
        <w:tc>
          <w:tcPr>
            <w:tcW w:w="7614" w:type="dxa"/>
            <w:gridSpan w:val="3"/>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4" w:type="dxa"/>
            <w:vMerge w:val="continue"/>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p>
        </w:tc>
        <w:tc>
          <w:tcPr>
            <w:tcW w:w="5465" w:type="dxa"/>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盐化</w:t>
            </w:r>
          </w:p>
        </w:tc>
        <w:tc>
          <w:tcPr>
            <w:tcW w:w="1066" w:type="dxa"/>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酸化</w:t>
            </w:r>
          </w:p>
        </w:tc>
        <w:tc>
          <w:tcPr>
            <w:tcW w:w="1083" w:type="dxa"/>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碱化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4" w:type="dxa"/>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敏感</w:t>
            </w:r>
          </w:p>
        </w:tc>
        <w:tc>
          <w:tcPr>
            <w:tcW w:w="5465" w:type="dxa"/>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建设项目所在地干燥度</w:t>
            </w:r>
            <w:r>
              <w:rPr>
                <w:rFonts w:hint="default" w:ascii="Times New Roman" w:hAnsi="Times New Roman" w:cs="Times New Roman"/>
                <w:color w:val="0000FF"/>
                <w:sz w:val="21"/>
                <w:szCs w:val="21"/>
                <w:highlight w:val="none"/>
                <w:vertAlign w:val="superscript"/>
              </w:rPr>
              <w:t>a</w:t>
            </w:r>
            <w:r>
              <w:rPr>
                <w:rFonts w:hint="default" w:ascii="Times New Roman" w:hAnsi="Times New Roman" w:cs="Times New Roman"/>
                <w:color w:val="0000FF"/>
                <w:sz w:val="21"/>
                <w:szCs w:val="21"/>
                <w:highlight w:val="none"/>
              </w:rPr>
              <w:t>＞2.5且常年地下水位平均埋深＜1.5m的地势平坦区；或土壤含盐量＞4g/kg的区域</w:t>
            </w:r>
          </w:p>
        </w:tc>
        <w:tc>
          <w:tcPr>
            <w:tcW w:w="1066" w:type="dxa"/>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pH≤4.5</w:t>
            </w:r>
          </w:p>
        </w:tc>
        <w:tc>
          <w:tcPr>
            <w:tcW w:w="1083" w:type="dxa"/>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pH≥9.0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4" w:type="dxa"/>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较敏感</w:t>
            </w:r>
          </w:p>
        </w:tc>
        <w:tc>
          <w:tcPr>
            <w:tcW w:w="5465" w:type="dxa"/>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建设项目所在地干燥度＞2.5且常年地下水位平均埋深≥1.5m的，或1.8＜干燥度≤2.5且常年地下水位平均埋深＜1.8的地势平坦区；建设项目所在地干燥度＞2.5或常年地下水位平均埋深＜1.5m的地势平原区；或2g/kg＜土壤含盐量≤4g/kg的区域</w:t>
            </w:r>
          </w:p>
        </w:tc>
        <w:tc>
          <w:tcPr>
            <w:tcW w:w="1066" w:type="dxa"/>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4.5＜pH≤5.5</w:t>
            </w:r>
          </w:p>
        </w:tc>
        <w:tc>
          <w:tcPr>
            <w:tcW w:w="1083" w:type="dxa"/>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8.5≤pH＜9.0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4" w:type="dxa"/>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不敏感</w:t>
            </w:r>
          </w:p>
        </w:tc>
        <w:tc>
          <w:tcPr>
            <w:tcW w:w="5465" w:type="dxa"/>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其他</w:t>
            </w:r>
          </w:p>
        </w:tc>
        <w:tc>
          <w:tcPr>
            <w:tcW w:w="2149" w:type="dxa"/>
            <w:gridSpan w:val="2"/>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5.5＜pH＜8.5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4"/>
            <w:noWrap w:val="0"/>
            <w:vAlign w:val="center"/>
          </w:tcPr>
          <w:p>
            <w:pPr>
              <w:pStyle w:val="43"/>
              <w:adjustRightInd/>
              <w:snapToGrid/>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a是指采用E601观测的多年平均水面蒸发量与降水量的比值，即蒸降比值。</w:t>
            </w:r>
          </w:p>
        </w:tc>
      </w:tr>
    </w:tbl>
    <w:p>
      <w:pPr>
        <w:bidi w:val="0"/>
        <w:rPr>
          <w:color w:val="0000FF"/>
        </w:rPr>
      </w:pPr>
      <w:r>
        <w:rPr>
          <w:color w:val="0000FF"/>
        </w:rPr>
        <w:t>根据元谋县气象站 40 多年的实测资料统计、多年平均蒸发量E601：1840.512mm，多年平均降水量 615.8366mm，即项目区多年平均干燥度为2.99，项目所在地干燥度&gt;2.5</w:t>
      </w:r>
      <w:r>
        <w:rPr>
          <w:rFonts w:hint="eastAsia"/>
          <w:color w:val="0000FF"/>
          <w:lang w:eastAsia="zh-CN"/>
        </w:rPr>
        <w:t>；</w:t>
      </w:r>
      <w:r>
        <w:rPr>
          <w:rFonts w:hint="eastAsia"/>
          <w:color w:val="0000FF"/>
          <w:lang w:val="en-US" w:eastAsia="zh-CN"/>
        </w:rPr>
        <w:t>地下水埋深约在4.5~15m。</w:t>
      </w:r>
      <w:r>
        <w:rPr>
          <w:color w:val="0000FF"/>
        </w:rPr>
        <w:t>判断项目区属于较敏感区域。</w:t>
      </w:r>
    </w:p>
    <w:p>
      <w:pPr>
        <w:bidi w:val="0"/>
        <w:rPr>
          <w:color w:val="0000FF"/>
        </w:rPr>
      </w:pPr>
      <w:r>
        <w:rPr>
          <w:color w:val="0000FF"/>
        </w:rPr>
        <w:t>④等级判定</w:t>
      </w:r>
    </w:p>
    <w:p>
      <w:pPr>
        <w:bidi w:val="0"/>
        <w:rPr>
          <w:rFonts w:hint="eastAsia" w:ascii="Times New Roman" w:hAnsi="Times New Roman" w:cs="Times New Roman"/>
          <w:b/>
          <w:bCs/>
          <w:color w:val="0000FF"/>
          <w:highlight w:val="none"/>
          <w:lang w:val="en-US" w:eastAsia="zh-CN"/>
        </w:rPr>
      </w:pPr>
      <w:r>
        <w:rPr>
          <w:color w:val="0000FF"/>
        </w:rPr>
        <w:t>根据《环境影响评价技术导则土壤环境（试行）》（HJ 964-2018）土壤环境生态影响型项目评价工作等级判别依据详见下表。</w:t>
      </w:r>
    </w:p>
    <w:p>
      <w:pPr>
        <w:pStyle w:val="43"/>
        <w:spacing w:line="240" w:lineRule="auto"/>
        <w:ind w:firstLine="0" w:firstLineChars="0"/>
        <w:jc w:val="center"/>
        <w:rPr>
          <w:rFonts w:hint="default" w:ascii="Times New Roman" w:hAnsi="Times New Roman" w:cs="Times New Roman"/>
          <w:b/>
          <w:bCs/>
          <w:color w:val="0000FF"/>
          <w:highlight w:val="none"/>
        </w:rPr>
      </w:pPr>
      <w:r>
        <w:rPr>
          <w:rFonts w:hint="eastAsia" w:ascii="Times New Roman" w:hAnsi="Times New Roman" w:cs="Times New Roman"/>
          <w:b/>
          <w:bCs/>
          <w:color w:val="0000FF"/>
          <w:highlight w:val="none"/>
          <w:lang w:val="en-US" w:eastAsia="zh-CN"/>
        </w:rPr>
        <w:t>表1.5.1-6</w:t>
      </w:r>
      <w:r>
        <w:rPr>
          <w:rFonts w:hint="default" w:ascii="Times New Roman" w:hAnsi="Times New Roman" w:cs="Times New Roman"/>
          <w:b/>
          <w:bCs/>
          <w:color w:val="0000FF"/>
          <w:highlight w:val="none"/>
        </w:rPr>
        <w:t xml:space="preserve">   生态影响型评价工作等级划分表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88"/>
        <w:gridCol w:w="1653"/>
        <w:gridCol w:w="1880"/>
        <w:gridCol w:w="1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3088" w:type="dxa"/>
            <w:noWrap w:val="0"/>
            <w:vAlign w:val="center"/>
          </w:tcPr>
          <w:p>
            <w:pPr>
              <w:pStyle w:val="43"/>
              <w:snapToGrid w:val="0"/>
              <w:spacing w:line="240" w:lineRule="auto"/>
              <w:ind w:firstLine="1680" w:firstLineChars="80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highlight w:val="none"/>
              </w:rPr>
              <mc:AlternateContent>
                <mc:Choice Requires="wps">
                  <w:drawing>
                    <wp:anchor distT="0" distB="0" distL="114300" distR="114300" simplePos="0" relativeHeight="251688960" behindDoc="0" locked="0" layoutInCell="1" allowOverlap="1">
                      <wp:simplePos x="0" y="0"/>
                      <wp:positionH relativeFrom="column">
                        <wp:posOffset>716280</wp:posOffset>
                      </wp:positionH>
                      <wp:positionV relativeFrom="paragraph">
                        <wp:posOffset>1905</wp:posOffset>
                      </wp:positionV>
                      <wp:extent cx="1169670" cy="532765"/>
                      <wp:effectExtent l="1905" t="4445" r="9525" b="15240"/>
                      <wp:wrapNone/>
                      <wp:docPr id="99" name="直接连接符 99"/>
                      <wp:cNvGraphicFramePr/>
                      <a:graphic xmlns:a="http://schemas.openxmlformats.org/drawingml/2006/main">
                        <a:graphicData uri="http://schemas.microsoft.com/office/word/2010/wordprocessingShape">
                          <wps:wsp>
                            <wps:cNvCnPr/>
                            <wps:spPr>
                              <a:xfrm flipH="1" flipV="1">
                                <a:off x="0" y="0"/>
                                <a:ext cx="1169670" cy="53276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flip:x y;margin-left:56.4pt;margin-top:0.15pt;height:41.95pt;width:92.1pt;z-index:251688960;mso-width-relative:page;mso-height-relative:page;" filled="f" stroked="t" coordsize="21600,21600" o:gfxdata="UEsDBAoAAAAAAIdO4kAAAAAAAAAAAAAAAAAEAAAAZHJzL1BLAwQUAAAACACHTuJAvfAxtdIAAAAH&#10;AQAADwAAAGRycy9kb3ducmV2LnhtbE2PwU7DMBBE70j8g7VI3KidgEgIcXqo1A9oQVWPbrzEEfY6&#10;xG5T/p7lBMfRjGbetOtr8OKCcxojaShWCgRSH+1Ig4b3t+1DDSJlQ9b4SKjhGxOsu9ub1jQ2LrTD&#10;yz4PgksoNUaDy3lqpEy9w2DSKk5I7H3EOZjMch6knc3C5cHLUqlnGcxIvODMhBuH/ef+HDT4WtVf&#10;h021HHeWV7YH76gqtL6/K9QriIzX/BeGX3xGh46ZTvFMNgnPuigZPWt4BMF2+VLxtZOG+qkE2bXy&#10;P3/3A1BLAwQUAAAACACHTuJA4dzGKgUCAAD/AwAADgAAAGRycy9lMm9Eb2MueG1srVO7jhMxFO2R&#10;+AfLPZkkKFkyymSLDQsFgkg8esePGUt+ydfJJD/BDyDRQUVJz9+wfAbXnhBgaVLgwrr2PT6+5/h6&#10;eX2whuxlBO1dQyejMSXScS+0axv69s3toyeUQGJOMOOdbOhRAr1ePXyw7EMtp77zRshIkMRB3YeG&#10;dimFuqqAd9IyGPkgHSaVj5YlXMa2EpH1yG5NNR2P51XvowjRcwmAu+shSU+M8RJCr5Tmcu35zkqX&#10;BtYoDUsoCTodgK5KtUpJnl4pBTIR01BUmsqMl2C8zXO1WrK6jSx0mp9KYJeUcE+TZdrhpWeqNUuM&#10;7KL+h8pqHj14lUbc22oQUhxBFZPxPW9edyzIogWthnA2Hf4fLX+530SiRUMXC0ocs/jidx++fn//&#10;6ce3jzjffflMMIM29QFqRN+4TTytIGxi1nxQ0RJldHiO/URL9C5HOYcKyaHYfTzbLQ+JcNycTOaL&#10;+RW+BMfc7PH0aj7LF1UDYz4dIqRn0luSg4Ya7bIdrGb7F5AG6C9I3jaO9ChkNp0hJ8PeVNgTGNqA&#10;+sC15Sx4o8WtNiafgNhub0wke5b7o4xTCX/B8iVrBt2AK6kMY3UnmXjqBEnHgMY5/DA0l2CloMRI&#10;/F85KsjEtLkEieqNQxOy3YPBOdp6ccR32oWo2w6dmJQqcwb7olh26uHceH+uC9Pvf7v6C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3wMbXSAAAABwEAAA8AAAAAAAAAAQAgAAAAIgAAAGRycy9kb3du&#10;cmV2LnhtbFBLAQIUABQAAAAIAIdO4kDh3MYqBQIAAP8DAAAOAAAAAAAAAAEAIAAAACEBAABkcnMv&#10;ZTJvRG9jLnhtbFBLBQYAAAAABgAGAFkBAACYBQAAAAA=&#10;">
                      <v:fill on="f" focussize="0,0"/>
                      <v:stroke color="#000000" joinstyle="round"/>
                      <v:imagedata o:title=""/>
                      <o:lock v:ext="edit" aspectratio="f"/>
                    </v:line>
                  </w:pict>
                </mc:Fallback>
              </mc:AlternateContent>
            </w:r>
            <w:r>
              <w:rPr>
                <w:rFonts w:hint="default" w:ascii="Times New Roman" w:hAnsi="Times New Roman" w:cs="Times New Roman"/>
                <w:color w:val="0000FF"/>
                <w:sz w:val="21"/>
                <w:szCs w:val="21"/>
                <w:highlight w:val="none"/>
              </w:rPr>
              <w:t>敏感程度</w:t>
            </w:r>
          </w:p>
          <w:p>
            <w:pPr>
              <w:pStyle w:val="43"/>
              <w:snapToGrid w:val="0"/>
              <w:spacing w:line="240" w:lineRule="auto"/>
              <w:ind w:firstLine="42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highlight w:val="none"/>
              </w:rPr>
              <mc:AlternateContent>
                <mc:Choice Requires="wps">
                  <w:drawing>
                    <wp:anchor distT="0" distB="0" distL="114300" distR="114300" simplePos="0" relativeHeight="251689984" behindDoc="0" locked="0" layoutInCell="1" allowOverlap="1">
                      <wp:simplePos x="0" y="0"/>
                      <wp:positionH relativeFrom="column">
                        <wp:posOffset>-68580</wp:posOffset>
                      </wp:positionH>
                      <wp:positionV relativeFrom="paragraph">
                        <wp:posOffset>122555</wp:posOffset>
                      </wp:positionV>
                      <wp:extent cx="1956435" cy="243840"/>
                      <wp:effectExtent l="635" t="4445" r="5080" b="18415"/>
                      <wp:wrapNone/>
                      <wp:docPr id="97" name="直接连接符 97"/>
                      <wp:cNvGraphicFramePr/>
                      <a:graphic xmlns:a="http://schemas.openxmlformats.org/drawingml/2006/main">
                        <a:graphicData uri="http://schemas.microsoft.com/office/word/2010/wordprocessingShape">
                          <wps:wsp>
                            <wps:cNvCnPr/>
                            <wps:spPr>
                              <a:xfrm flipH="1" flipV="1">
                                <a:off x="0" y="0"/>
                                <a:ext cx="1956435" cy="24384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flip:x y;margin-left:-5.4pt;margin-top:9.65pt;height:19.2pt;width:154.05pt;z-index:251689984;mso-width-relative:page;mso-height-relative:page;" filled="f" stroked="t" coordsize="21600,21600" o:gfxdata="UEsDBAoAAAAAAIdO4kAAAAAAAAAAAAAAAAAEAAAAZHJzL1BLAwQUAAAACACHTuJA5lp2zdQAAAAJ&#10;AQAADwAAAGRycy9kb3ducmV2LnhtbE2PwU7DMBBE70j8g7VI3Fo7ReA0xOmhUj+gBVU9uvGSRNjr&#10;ELtN+XuWE9x2NaOZN/XmFry44pSGSAaKpQKB1EY3UGfg/W23KEGkbMlZHwkNfGOCTXN/V9vKxZn2&#10;eD3kTnAIpcoa6HMeKylT22OwaRlHJNY+4hRs5nfqpJvszOHBy5VSLzLYgbihtyNue2w/D5dgwJeq&#10;/Dpu9XzaO27ZHX1PujDm8aFQryAy3vKfGX7xGR0aZjrHC7kkvIFFoRg9s7B+AsGG1VrzcTbwrDXI&#10;ppb/FzQ/UEsDBBQAAAAIAIdO4kDCgFkWCQIAAP8DAAAOAAAAZHJzL2Uyb0RvYy54bWytU7uOEzEU&#10;7ZH4B8s9mSSbXXZHmWyxYaFAEIlH7/gxY8kv+TqZ5Cf4ASQ6qLak529YPoNrTwiwNClwYV37Xh+f&#10;c3w9v95ZQ7YygvauoZPRmBLpuBfatQ199/b2ySUlkJgTzHgnG7qXQK8Xjx/N+1DLqe+8ETISBHFQ&#10;96GhXUqhrirgnbQMRj5Ih0nlo2UJl7GtRGQ9oltTTcfji6r3UYTouQTA3eWQpAfEeAqgV0pzufR8&#10;Y6VLA2qUhiWUBJ0OQBeFrVKSp9dKgUzENBSVpjLjJRiv81wt5qxuIwud5gcK7BQKDzRZph1eeoRa&#10;ssTIJup/oKzm0YNXacS9rQYhxRFUMRk/8OZNx4IsWtBqCEfT4f/B8lfbVSRaNPTqKSWOWXzx+49f&#10;v3/4/OPbJ5zv774QzKBNfYAaq2/cKh5WEFYxa96paIkyOrzAfqIlep+jnEOFZFfs3h/tlrtEOG5O&#10;rs4vZmfnlHDMTWdnl7PyHtWAmE+HCOm59JbkoKFGu2wHq9n2JSRkgaW/SvK2caRHIefTjMmwNxX2&#10;BIY2oD5wbTkL3mhxq43JJyC26xsTyZbl/igja0Xcv8ryJUsG3VBXUkPndJKJZ06QtA9onMMPQzMF&#10;KwUlRuL/yhECsjoxbU6pxKuNQwbZ7sHgHK292OM7bULUbYdOTArLnMG+KHwPPZwb7891Qfr9bxc/&#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OZads3UAAAACQEAAA8AAAAAAAAAAQAgAAAAIgAAAGRy&#10;cy9kb3ducmV2LnhtbFBLAQIUABQAAAAIAIdO4kDCgFkWCQIAAP8DAAAOAAAAAAAAAAEAIAAAACMB&#10;AABkcnMvZTJvRG9jLnhtbFBLBQYAAAAABgAGAFkBAACeBQAAAAA=&#10;">
                      <v:fill on="f" focussize="0,0"/>
                      <v:stroke color="#000000" joinstyle="round"/>
                      <v:imagedata o:title=""/>
                      <o:lock v:ext="edit" aspectratio="f"/>
                    </v:line>
                  </w:pict>
                </mc:Fallback>
              </mc:AlternateContent>
            </w:r>
            <w:r>
              <w:rPr>
                <w:rFonts w:hint="default" w:ascii="Times New Roman" w:hAnsi="Times New Roman" w:cs="Times New Roman"/>
                <w:color w:val="0000FF"/>
                <w:sz w:val="21"/>
                <w:szCs w:val="21"/>
                <w:highlight w:val="none"/>
              </w:rPr>
              <w:t>评价工作等级</w:t>
            </w:r>
          </w:p>
          <w:p>
            <w:pPr>
              <w:pStyle w:val="43"/>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 xml:space="preserve">项目类别                    </w:t>
            </w:r>
          </w:p>
        </w:tc>
        <w:tc>
          <w:tcPr>
            <w:tcW w:w="1653" w:type="dxa"/>
            <w:noWrap w:val="0"/>
            <w:vAlign w:val="center"/>
          </w:tcPr>
          <w:p>
            <w:pPr>
              <w:pStyle w:val="43"/>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I类</w:t>
            </w:r>
          </w:p>
        </w:tc>
        <w:tc>
          <w:tcPr>
            <w:tcW w:w="1880" w:type="dxa"/>
            <w:noWrap w:val="0"/>
            <w:vAlign w:val="center"/>
          </w:tcPr>
          <w:p>
            <w:pPr>
              <w:pStyle w:val="43"/>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II类</w:t>
            </w:r>
          </w:p>
        </w:tc>
        <w:tc>
          <w:tcPr>
            <w:tcW w:w="1901" w:type="dxa"/>
            <w:noWrap w:val="0"/>
            <w:vAlign w:val="center"/>
          </w:tcPr>
          <w:p>
            <w:pPr>
              <w:pStyle w:val="43"/>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III类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3088" w:type="dxa"/>
            <w:noWrap w:val="0"/>
            <w:vAlign w:val="center"/>
          </w:tcPr>
          <w:p>
            <w:pPr>
              <w:pStyle w:val="43"/>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敏感</w:t>
            </w:r>
          </w:p>
        </w:tc>
        <w:tc>
          <w:tcPr>
            <w:tcW w:w="1653" w:type="dxa"/>
            <w:noWrap w:val="0"/>
            <w:vAlign w:val="center"/>
          </w:tcPr>
          <w:p>
            <w:pPr>
              <w:pStyle w:val="43"/>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一级</w:t>
            </w:r>
          </w:p>
        </w:tc>
        <w:tc>
          <w:tcPr>
            <w:tcW w:w="1880" w:type="dxa"/>
            <w:noWrap w:val="0"/>
            <w:vAlign w:val="center"/>
          </w:tcPr>
          <w:p>
            <w:pPr>
              <w:pStyle w:val="43"/>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二级</w:t>
            </w:r>
          </w:p>
        </w:tc>
        <w:tc>
          <w:tcPr>
            <w:tcW w:w="1901" w:type="dxa"/>
            <w:noWrap w:val="0"/>
            <w:vAlign w:val="center"/>
          </w:tcPr>
          <w:p>
            <w:pPr>
              <w:pStyle w:val="43"/>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3088" w:type="dxa"/>
            <w:noWrap w:val="0"/>
            <w:vAlign w:val="center"/>
          </w:tcPr>
          <w:p>
            <w:pPr>
              <w:pStyle w:val="43"/>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较敏感</w:t>
            </w:r>
          </w:p>
        </w:tc>
        <w:tc>
          <w:tcPr>
            <w:tcW w:w="1653" w:type="dxa"/>
            <w:noWrap w:val="0"/>
            <w:vAlign w:val="center"/>
          </w:tcPr>
          <w:p>
            <w:pPr>
              <w:pStyle w:val="43"/>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二级</w:t>
            </w:r>
          </w:p>
        </w:tc>
        <w:tc>
          <w:tcPr>
            <w:tcW w:w="1880" w:type="dxa"/>
            <w:noWrap w:val="0"/>
            <w:vAlign w:val="center"/>
          </w:tcPr>
          <w:p>
            <w:pPr>
              <w:pStyle w:val="43"/>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二级</w:t>
            </w:r>
          </w:p>
        </w:tc>
        <w:tc>
          <w:tcPr>
            <w:tcW w:w="1901" w:type="dxa"/>
            <w:noWrap w:val="0"/>
            <w:vAlign w:val="center"/>
          </w:tcPr>
          <w:p>
            <w:pPr>
              <w:pStyle w:val="43"/>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3088" w:type="dxa"/>
            <w:noWrap w:val="0"/>
            <w:vAlign w:val="center"/>
          </w:tcPr>
          <w:p>
            <w:pPr>
              <w:pStyle w:val="43"/>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不敏感</w:t>
            </w:r>
          </w:p>
        </w:tc>
        <w:tc>
          <w:tcPr>
            <w:tcW w:w="1653" w:type="dxa"/>
            <w:noWrap w:val="0"/>
            <w:vAlign w:val="center"/>
          </w:tcPr>
          <w:p>
            <w:pPr>
              <w:pStyle w:val="43"/>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二级</w:t>
            </w:r>
          </w:p>
        </w:tc>
        <w:tc>
          <w:tcPr>
            <w:tcW w:w="1880" w:type="dxa"/>
            <w:noWrap w:val="0"/>
            <w:vAlign w:val="center"/>
          </w:tcPr>
          <w:p>
            <w:pPr>
              <w:pStyle w:val="43"/>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三级</w:t>
            </w:r>
          </w:p>
        </w:tc>
        <w:tc>
          <w:tcPr>
            <w:tcW w:w="1901" w:type="dxa"/>
            <w:noWrap w:val="0"/>
            <w:vAlign w:val="center"/>
          </w:tcPr>
          <w:p>
            <w:pPr>
              <w:pStyle w:val="43"/>
              <w:spacing w:line="240" w:lineRule="auto"/>
              <w:ind w:firstLine="0" w:firstLineChars="0"/>
              <w:jc w:val="center"/>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8522" w:type="dxa"/>
            <w:gridSpan w:val="4"/>
            <w:noWrap w:val="0"/>
            <w:vAlign w:val="center"/>
          </w:tcPr>
          <w:p>
            <w:pPr>
              <w:pStyle w:val="43"/>
              <w:spacing w:line="240" w:lineRule="auto"/>
              <w:ind w:firstLine="0" w:firstLineChars="0"/>
              <w:jc w:val="left"/>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注：“—”表示可不开展土壤环境影响评价工作。</w:t>
            </w:r>
          </w:p>
        </w:tc>
      </w:tr>
    </w:tbl>
    <w:p>
      <w:pPr>
        <w:pStyle w:val="43"/>
        <w:keepNext w:val="0"/>
        <w:keepLines w:val="0"/>
        <w:pageBreakBefore w:val="0"/>
        <w:widowControl w:val="0"/>
        <w:kinsoku/>
        <w:wordWrap w:val="0"/>
        <w:overflowPunct/>
        <w:topLinePunct w:val="0"/>
        <w:autoSpaceDE/>
        <w:autoSpaceDN/>
        <w:bidi w:val="0"/>
        <w:adjustRightInd/>
        <w:snapToGrid w:val="0"/>
        <w:ind w:firstLine="480"/>
        <w:textAlignment w:val="auto"/>
        <w:rPr>
          <w:rFonts w:hint="default" w:ascii="Times New Roman" w:hAnsi="Times New Roman" w:cs="Times New Roman"/>
          <w:color w:val="0000FF"/>
          <w:highlight w:val="none"/>
        </w:rPr>
      </w:pPr>
      <w:r>
        <w:rPr>
          <w:rFonts w:hint="default" w:ascii="Times New Roman" w:hAnsi="Times New Roman" w:cs="Times New Roman"/>
          <w:color w:val="0000FF"/>
          <w:highlight w:val="none"/>
        </w:rPr>
        <w:t>根据上述分析，</w:t>
      </w:r>
      <w:r>
        <w:rPr>
          <w:rFonts w:hint="eastAsia" w:cs="Times New Roman"/>
          <w:color w:val="0000FF"/>
          <w:highlight w:val="none"/>
          <w:lang w:val="en-US" w:eastAsia="zh-CN"/>
        </w:rPr>
        <w:t>本项目同时属于</w:t>
      </w:r>
      <w:r>
        <w:rPr>
          <w:color w:val="0000FF"/>
        </w:rPr>
        <w:t>《环境影响评价技术导则土壤环境（试行）》（HJ 964-2018）附录A</w:t>
      </w:r>
      <w:r>
        <w:rPr>
          <w:rFonts w:hint="eastAsia"/>
          <w:color w:val="0000FF"/>
          <w:lang w:val="en-US" w:eastAsia="zh-CN"/>
        </w:rPr>
        <w:t>中的</w:t>
      </w:r>
      <w:r>
        <w:rPr>
          <w:rFonts w:hint="eastAsia" w:ascii="宋体" w:hAnsi="宋体" w:eastAsia="宋体" w:cs="宋体"/>
          <w:color w:val="0000FF"/>
          <w:highlight w:val="none"/>
        </w:rPr>
        <w:t>Ⅳ</w:t>
      </w:r>
      <w:r>
        <w:rPr>
          <w:rFonts w:hint="eastAsia" w:ascii="宋体" w:hAnsi="宋体" w:cs="宋体"/>
          <w:color w:val="0000FF"/>
          <w:highlight w:val="none"/>
          <w:lang w:val="en-US" w:eastAsia="zh-CN"/>
        </w:rPr>
        <w:t>类、</w:t>
      </w:r>
      <w:r>
        <w:rPr>
          <w:rFonts w:hint="default" w:ascii="Times New Roman" w:hAnsi="Times New Roman" w:cs="Times New Roman"/>
          <w:color w:val="0000FF"/>
          <w:highlight w:val="none"/>
        </w:rPr>
        <w:t>Ⅲ类项目，土壤生态环境敏感程度为较敏感，</w:t>
      </w:r>
      <w:r>
        <w:rPr>
          <w:rFonts w:hint="eastAsia" w:cs="Times New Roman"/>
          <w:color w:val="0000FF"/>
          <w:highlight w:val="none"/>
          <w:lang w:val="en-US" w:eastAsia="zh-CN"/>
        </w:rPr>
        <w:t>综合判定</w:t>
      </w:r>
      <w:r>
        <w:rPr>
          <w:rFonts w:hint="default" w:ascii="Times New Roman" w:hAnsi="Times New Roman" w:cs="Times New Roman"/>
          <w:color w:val="0000FF"/>
          <w:highlight w:val="none"/>
        </w:rPr>
        <w:t>土壤</w:t>
      </w:r>
      <w:r>
        <w:rPr>
          <w:rFonts w:hint="eastAsia" w:cs="Times New Roman"/>
          <w:color w:val="0000FF"/>
          <w:highlight w:val="none"/>
          <w:lang w:val="en-US" w:eastAsia="zh-CN"/>
        </w:rPr>
        <w:t>评价等级</w:t>
      </w:r>
      <w:r>
        <w:rPr>
          <w:rFonts w:hint="default" w:ascii="Times New Roman" w:hAnsi="Times New Roman" w:cs="Times New Roman"/>
          <w:color w:val="0000FF"/>
          <w:highlight w:val="none"/>
        </w:rPr>
        <w:t>为三级。</w:t>
      </w:r>
    </w:p>
    <w:p>
      <w:pPr>
        <w:pStyle w:val="5"/>
        <w:tabs>
          <w:tab w:val="clear" w:pos="420"/>
        </w:tabs>
        <w:bidi w:val="0"/>
        <w:ind w:left="480" w:leftChars="0" w:firstLineChars="0"/>
        <w:rPr>
          <w:rFonts w:hint="default"/>
          <w:color w:val="auto"/>
        </w:rPr>
      </w:pPr>
      <w:r>
        <w:rPr>
          <w:rFonts w:hint="default"/>
          <w:color w:val="auto"/>
        </w:rPr>
        <w:t>生态环境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bookmarkStart w:id="217" w:name="_Toc26589"/>
      <w:bookmarkStart w:id="218" w:name="_Toc23641"/>
      <w:r>
        <w:rPr>
          <w:rFonts w:hint="default" w:ascii="Times New Roman" w:hAnsi="Times New Roman" w:eastAsia="宋体" w:cs="Times New Roman"/>
          <w:color w:val="auto"/>
          <w:sz w:val="24"/>
          <w:szCs w:val="24"/>
          <w:highlight w:val="none"/>
        </w:rPr>
        <w:t>根据《环境影响评价技术导则生态影响》（HJ19-2022）——6.1评价等级和评价范围确定判定，本项目</w:t>
      </w:r>
      <w:r>
        <w:rPr>
          <w:rFonts w:hint="eastAsia" w:cs="Times New Roman"/>
          <w:color w:val="auto"/>
          <w:sz w:val="24"/>
          <w:szCs w:val="24"/>
          <w:highlight w:val="none"/>
          <w:lang w:val="en-US" w:eastAsia="zh-CN"/>
        </w:rPr>
        <w:t>涉及到的敏感区为元谋风景名胜区及云南省生态保护红线，项目</w:t>
      </w:r>
      <w:r>
        <w:rPr>
          <w:rFonts w:hint="default" w:ascii="Times New Roman" w:hAnsi="Times New Roman" w:eastAsia="宋体" w:cs="Times New Roman"/>
          <w:color w:val="auto"/>
          <w:sz w:val="24"/>
          <w:szCs w:val="24"/>
          <w:highlight w:val="none"/>
        </w:rPr>
        <w:t>生态环境影响评价工作等级设为二级</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具体判定如下：</w:t>
      </w:r>
    </w:p>
    <w:p>
      <w:pPr>
        <w:pStyle w:val="40"/>
        <w:bidi w:val="0"/>
        <w:rPr>
          <w:rFonts w:hint="default"/>
          <w:color w:val="auto"/>
          <w:highlight w:val="none"/>
        </w:rPr>
      </w:pPr>
      <w:r>
        <w:rPr>
          <w:rFonts w:hint="default"/>
          <w:color w:val="auto"/>
          <w:highlight w:val="none"/>
        </w:rPr>
        <w:t>表1.5</w:t>
      </w:r>
      <w:r>
        <w:rPr>
          <w:rFonts w:hint="eastAsia"/>
          <w:color w:val="auto"/>
          <w:highlight w:val="none"/>
          <w:lang w:val="en-US" w:eastAsia="zh-CN"/>
        </w:rPr>
        <w:t>.1</w:t>
      </w:r>
      <w:r>
        <w:rPr>
          <w:rFonts w:hint="default"/>
          <w:color w:val="auto"/>
          <w:highlight w:val="none"/>
        </w:rPr>
        <w:t>-</w:t>
      </w:r>
      <w:r>
        <w:rPr>
          <w:rFonts w:hint="eastAsia"/>
          <w:color w:val="auto"/>
          <w:highlight w:val="none"/>
          <w:lang w:val="en-US" w:eastAsia="zh-CN"/>
        </w:rPr>
        <w:t xml:space="preserve">4  </w:t>
      </w:r>
      <w:r>
        <w:rPr>
          <w:rFonts w:hint="default"/>
          <w:color w:val="auto"/>
          <w:highlight w:val="none"/>
        </w:rPr>
        <w:t>生态环境评价工作等级划分表</w:t>
      </w:r>
    </w:p>
    <w:tbl>
      <w:tblPr>
        <w:tblStyle w:val="29"/>
        <w:tblW w:w="50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5772"/>
        <w:gridCol w:w="25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3468" w:type="pct"/>
            <w:tcBorders>
              <w:tl2br w:val="nil"/>
              <w:tr2bl w:val="nil"/>
            </w:tcBorders>
            <w:shd w:val="clear" w:color="auto" w:fill="auto"/>
            <w:noWrap w:val="0"/>
            <w:vAlign w:val="center"/>
          </w:tcPr>
          <w:p>
            <w:pPr>
              <w:pStyle w:val="42"/>
              <w:bidi w:val="0"/>
              <w:rPr>
                <w:rFonts w:hint="default"/>
                <w:color w:val="auto"/>
                <w:highlight w:val="none"/>
              </w:rPr>
            </w:pPr>
            <w:r>
              <w:rPr>
                <w:rFonts w:hint="default"/>
                <w:color w:val="auto"/>
                <w:highlight w:val="none"/>
                <w:lang w:val="zh-TW" w:eastAsia="zh-TW"/>
              </w:rPr>
              <w:t>判断依据</w:t>
            </w:r>
          </w:p>
        </w:tc>
        <w:tc>
          <w:tcPr>
            <w:tcW w:w="1531" w:type="pct"/>
            <w:tcBorders>
              <w:tl2br w:val="nil"/>
              <w:tr2bl w:val="nil"/>
            </w:tcBorders>
            <w:shd w:val="clear" w:color="auto" w:fill="auto"/>
            <w:noWrap w:val="0"/>
            <w:vAlign w:val="center"/>
          </w:tcPr>
          <w:p>
            <w:pPr>
              <w:pStyle w:val="42"/>
              <w:bidi w:val="0"/>
              <w:rPr>
                <w:rFonts w:hint="default"/>
                <w:color w:val="auto"/>
                <w:highlight w:val="none"/>
              </w:rPr>
            </w:pPr>
            <w:r>
              <w:rPr>
                <w:rFonts w:hint="default"/>
                <w:color w:val="auto"/>
                <w:highlight w:val="none"/>
                <w:lang w:val="zh-TW" w:eastAsia="zh-TW"/>
              </w:rPr>
              <w:t>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3468" w:type="pct"/>
            <w:tcBorders>
              <w:tl2br w:val="nil"/>
              <w:tr2bl w:val="nil"/>
            </w:tcBorders>
            <w:shd w:val="clear" w:color="auto" w:fill="auto"/>
            <w:noWrap w:val="0"/>
            <w:vAlign w:val="center"/>
          </w:tcPr>
          <w:p>
            <w:pPr>
              <w:pStyle w:val="42"/>
              <w:bidi w:val="0"/>
              <w:rPr>
                <w:rFonts w:hint="default"/>
                <w:color w:val="auto"/>
                <w:highlight w:val="none"/>
                <w:lang w:val="zh-TW" w:eastAsia="zh-TW"/>
              </w:rPr>
            </w:pPr>
            <w:r>
              <w:rPr>
                <w:rFonts w:hint="default"/>
                <w:color w:val="auto"/>
                <w:highlight w:val="none"/>
                <w:lang w:val="en-US" w:eastAsia="zh-CN"/>
              </w:rPr>
              <w:t>6.2.1按以下原则确定评价等级：</w:t>
            </w:r>
          </w:p>
        </w:tc>
        <w:tc>
          <w:tcPr>
            <w:tcW w:w="1531" w:type="pct"/>
            <w:tcBorders>
              <w:tl2br w:val="nil"/>
              <w:tr2bl w:val="nil"/>
            </w:tcBorders>
            <w:shd w:val="clear" w:color="auto" w:fill="auto"/>
            <w:noWrap w:val="0"/>
            <w:vAlign w:val="center"/>
          </w:tcPr>
          <w:p>
            <w:pPr>
              <w:pStyle w:val="42"/>
              <w:bidi w:val="0"/>
              <w:rPr>
                <w:rFonts w:hint="default"/>
                <w:color w:val="auto"/>
                <w:highlight w:val="none"/>
                <w:lang w:val="zh-TW" w:eastAsia="zh-T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3468" w:type="pct"/>
            <w:tcBorders>
              <w:tl2br w:val="nil"/>
              <w:tr2bl w:val="nil"/>
            </w:tcBorders>
            <w:shd w:val="clear" w:color="auto" w:fill="auto"/>
            <w:noWrap w:val="0"/>
            <w:vAlign w:val="center"/>
          </w:tcPr>
          <w:p>
            <w:pPr>
              <w:pStyle w:val="42"/>
              <w:bidi w:val="0"/>
              <w:rPr>
                <w:rFonts w:hint="default"/>
                <w:color w:val="auto"/>
                <w:highlight w:val="none"/>
                <w:lang w:eastAsia="zh-CN"/>
              </w:rPr>
            </w:pPr>
            <w:r>
              <w:rPr>
                <w:rFonts w:hint="default"/>
                <w:color w:val="auto"/>
                <w:highlight w:val="none"/>
                <w:lang w:val="en-US" w:eastAsia="zh-CN"/>
              </w:rPr>
              <w:t>a）</w:t>
            </w:r>
            <w:r>
              <w:rPr>
                <w:rFonts w:hint="default"/>
                <w:color w:val="auto"/>
                <w:highlight w:val="none"/>
                <w:lang w:val="zh-TW" w:eastAsia="zh-TW"/>
              </w:rPr>
              <w:t>涉及国家公园、自然保护区、世界自然遗产、重要生境时，评价等级为一级</w:t>
            </w:r>
            <w:r>
              <w:rPr>
                <w:rFonts w:hint="default"/>
                <w:color w:val="auto"/>
                <w:highlight w:val="none"/>
                <w:lang w:val="zh-TW" w:eastAsia="zh-CN"/>
              </w:rPr>
              <w:t>；</w:t>
            </w:r>
          </w:p>
        </w:tc>
        <w:tc>
          <w:tcPr>
            <w:tcW w:w="1531" w:type="pct"/>
            <w:tcBorders>
              <w:tl2br w:val="nil"/>
              <w:tr2bl w:val="nil"/>
            </w:tcBorders>
            <w:shd w:val="clear" w:color="auto" w:fill="auto"/>
            <w:noWrap w:val="0"/>
            <w:vAlign w:val="center"/>
          </w:tcPr>
          <w:p>
            <w:pPr>
              <w:pStyle w:val="42"/>
              <w:bidi w:val="0"/>
              <w:rPr>
                <w:rFonts w:hint="default"/>
                <w:color w:val="auto"/>
                <w:highlight w:val="none"/>
              </w:rPr>
            </w:pPr>
            <w:r>
              <w:rPr>
                <w:rFonts w:hint="default"/>
                <w:color w:val="auto"/>
                <w:highlight w:val="none"/>
                <w:lang w:val="zh-TW" w:eastAsia="zh-TW"/>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3468" w:type="pct"/>
            <w:tcBorders>
              <w:tl2br w:val="nil"/>
              <w:tr2bl w:val="nil"/>
            </w:tcBorders>
            <w:shd w:val="clear" w:color="auto" w:fill="auto"/>
            <w:noWrap w:val="0"/>
            <w:vAlign w:val="center"/>
          </w:tcPr>
          <w:p>
            <w:pPr>
              <w:pStyle w:val="42"/>
              <w:bidi w:val="0"/>
              <w:rPr>
                <w:rFonts w:hint="default"/>
                <w:color w:val="auto"/>
                <w:highlight w:val="none"/>
              </w:rPr>
            </w:pPr>
            <w:r>
              <w:rPr>
                <w:rFonts w:hint="default"/>
                <w:color w:val="auto"/>
                <w:highlight w:val="none"/>
                <w:lang w:val="en-US" w:eastAsia="zh-CN"/>
              </w:rPr>
              <w:t>b）</w:t>
            </w:r>
            <w:r>
              <w:rPr>
                <w:rFonts w:hint="default"/>
                <w:color w:val="auto"/>
                <w:highlight w:val="none"/>
                <w:lang w:val="zh-TW" w:eastAsia="zh-TW"/>
              </w:rPr>
              <w:t>涉及自然公园时，评价等级为二级；</w:t>
            </w:r>
          </w:p>
        </w:tc>
        <w:tc>
          <w:tcPr>
            <w:tcW w:w="1531" w:type="pct"/>
            <w:tcBorders>
              <w:tl2br w:val="nil"/>
              <w:tr2bl w:val="nil"/>
            </w:tcBorders>
            <w:shd w:val="clear" w:color="auto" w:fill="auto"/>
            <w:noWrap w:val="0"/>
            <w:vAlign w:val="center"/>
          </w:tcPr>
          <w:p>
            <w:pPr>
              <w:pStyle w:val="42"/>
              <w:bidi w:val="0"/>
              <w:rPr>
                <w:rFonts w:hint="default"/>
                <w:color w:val="auto"/>
                <w:highlight w:val="none"/>
                <w:lang w:val="en-US" w:eastAsia="zh-CN"/>
              </w:rPr>
            </w:pPr>
            <w:r>
              <w:rPr>
                <w:rFonts w:hint="eastAsia"/>
                <w:color w:val="auto"/>
                <w:highlight w:val="none"/>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3468" w:type="pct"/>
            <w:tcBorders>
              <w:tl2br w:val="nil"/>
              <w:tr2bl w:val="nil"/>
            </w:tcBorders>
            <w:shd w:val="clear" w:color="auto" w:fill="auto"/>
            <w:noWrap w:val="0"/>
            <w:vAlign w:val="center"/>
          </w:tcPr>
          <w:p>
            <w:pPr>
              <w:pStyle w:val="42"/>
              <w:bidi w:val="0"/>
              <w:rPr>
                <w:rFonts w:hint="default"/>
                <w:color w:val="auto"/>
                <w:highlight w:val="none"/>
                <w:lang w:eastAsia="zh-CN"/>
              </w:rPr>
            </w:pPr>
            <w:r>
              <w:rPr>
                <w:rFonts w:hint="default"/>
                <w:color w:val="auto"/>
                <w:highlight w:val="none"/>
                <w:lang w:val="en-US" w:eastAsia="zh-CN"/>
              </w:rPr>
              <w:t>c）</w:t>
            </w:r>
            <w:r>
              <w:rPr>
                <w:rFonts w:hint="default"/>
                <w:color w:val="auto"/>
                <w:highlight w:val="none"/>
                <w:lang w:val="zh-TW" w:eastAsia="zh-TW"/>
              </w:rPr>
              <w:t>涉及生态保护红线时，评价等级不低于二级</w:t>
            </w:r>
            <w:r>
              <w:rPr>
                <w:rFonts w:hint="default"/>
                <w:color w:val="auto"/>
                <w:highlight w:val="none"/>
                <w:lang w:val="zh-TW" w:eastAsia="zh-CN"/>
              </w:rPr>
              <w:t>；</w:t>
            </w:r>
          </w:p>
        </w:tc>
        <w:tc>
          <w:tcPr>
            <w:tcW w:w="1531" w:type="pct"/>
            <w:tcBorders>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zh-TW" w:eastAsia="zh-TW"/>
              </w:rPr>
              <w:t>涉及</w:t>
            </w:r>
            <w:r>
              <w:rPr>
                <w:rFonts w:hint="eastAsia"/>
                <w:color w:val="auto"/>
                <w:highlight w:val="none"/>
                <w:lang w:val="en-US" w:eastAsia="zh-CN"/>
              </w:rPr>
              <w:t>云南省</w:t>
            </w:r>
            <w:r>
              <w:rPr>
                <w:rFonts w:hint="default"/>
                <w:color w:val="auto"/>
                <w:highlight w:val="none"/>
                <w:lang w:val="en-US" w:eastAsia="zh-CN"/>
              </w:rPr>
              <w:t>生态保护红线，二级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3468" w:type="pct"/>
            <w:tcBorders>
              <w:tl2br w:val="nil"/>
              <w:tr2bl w:val="nil"/>
            </w:tcBorders>
            <w:shd w:val="clear" w:color="auto" w:fill="auto"/>
            <w:noWrap w:val="0"/>
            <w:vAlign w:val="center"/>
          </w:tcPr>
          <w:p>
            <w:pPr>
              <w:pStyle w:val="42"/>
              <w:bidi w:val="0"/>
              <w:rPr>
                <w:rFonts w:hint="default"/>
                <w:color w:val="auto"/>
                <w:highlight w:val="none"/>
              </w:rPr>
            </w:pPr>
            <w:r>
              <w:rPr>
                <w:rFonts w:hint="default"/>
                <w:color w:val="auto"/>
                <w:highlight w:val="none"/>
                <w:lang w:val="en-US" w:eastAsia="zh-CN"/>
              </w:rPr>
              <w:t>d）</w:t>
            </w:r>
            <w:r>
              <w:rPr>
                <w:rFonts w:hint="default"/>
                <w:color w:val="auto"/>
                <w:highlight w:val="none"/>
                <w:lang w:val="zh-TW" w:eastAsia="zh-TW"/>
              </w:rPr>
              <w:t>根据</w:t>
            </w:r>
            <w:r>
              <w:rPr>
                <w:rFonts w:hint="default"/>
                <w:color w:val="auto"/>
                <w:highlight w:val="none"/>
              </w:rPr>
              <w:t>HJ</w:t>
            </w:r>
            <w:r>
              <w:rPr>
                <w:rFonts w:hint="default"/>
                <w:color w:val="auto"/>
                <w:highlight w:val="none"/>
                <w:lang w:val="en-US" w:eastAsia="en-US"/>
              </w:rPr>
              <w:t>2.3</w:t>
            </w:r>
            <w:r>
              <w:rPr>
                <w:rFonts w:hint="default"/>
                <w:color w:val="auto"/>
                <w:highlight w:val="none"/>
                <w:lang w:val="zh-TW" w:eastAsia="zh-TW"/>
              </w:rPr>
              <w:t>判断属于水文要素影响型且地表水评价等级不低于二级的建设项目，生态影响评价等级不低于二级；</w:t>
            </w:r>
          </w:p>
        </w:tc>
        <w:tc>
          <w:tcPr>
            <w:tcW w:w="1531" w:type="pct"/>
            <w:tcBorders>
              <w:tl2br w:val="nil"/>
              <w:tr2bl w:val="nil"/>
            </w:tcBorders>
            <w:shd w:val="clear" w:color="auto" w:fill="auto"/>
            <w:noWrap w:val="0"/>
            <w:vAlign w:val="center"/>
          </w:tcPr>
          <w:p>
            <w:pPr>
              <w:pStyle w:val="42"/>
              <w:bidi w:val="0"/>
              <w:rPr>
                <w:rFonts w:hint="default"/>
                <w:color w:val="auto"/>
                <w:highlight w:val="none"/>
              </w:rPr>
            </w:pPr>
            <w:r>
              <w:rPr>
                <w:rFonts w:hint="default"/>
                <w:color w:val="auto"/>
                <w:highlight w:val="none"/>
                <w:lang w:val="zh-TW" w:eastAsia="zh-TW"/>
              </w:rPr>
              <w:t>地表水二级，生态影响评价等级不低于二级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3468" w:type="pct"/>
            <w:tcBorders>
              <w:tl2br w:val="nil"/>
              <w:tr2bl w:val="nil"/>
            </w:tcBorders>
            <w:shd w:val="clear" w:color="auto" w:fill="auto"/>
            <w:noWrap w:val="0"/>
            <w:vAlign w:val="center"/>
          </w:tcPr>
          <w:p>
            <w:pPr>
              <w:pStyle w:val="42"/>
              <w:bidi w:val="0"/>
              <w:rPr>
                <w:rFonts w:hint="default"/>
                <w:color w:val="auto"/>
                <w:highlight w:val="none"/>
                <w:lang w:eastAsia="zh-CN"/>
              </w:rPr>
            </w:pPr>
            <w:r>
              <w:rPr>
                <w:rFonts w:hint="default"/>
                <w:color w:val="auto"/>
                <w:highlight w:val="none"/>
                <w:lang w:val="en-US" w:eastAsia="zh-CN"/>
              </w:rPr>
              <w:t>e）</w:t>
            </w:r>
            <w:r>
              <w:rPr>
                <w:rFonts w:hint="default"/>
                <w:color w:val="auto"/>
                <w:highlight w:val="none"/>
                <w:lang w:val="zh-TW" w:eastAsia="zh-TW"/>
              </w:rPr>
              <w:t>根据</w:t>
            </w:r>
            <w:r>
              <w:rPr>
                <w:rFonts w:hint="default"/>
                <w:color w:val="auto"/>
                <w:highlight w:val="none"/>
              </w:rPr>
              <w:t>HJ</w:t>
            </w:r>
            <w:r>
              <w:rPr>
                <w:rFonts w:hint="default"/>
                <w:color w:val="auto"/>
                <w:highlight w:val="none"/>
                <w:lang w:val="zh-TW" w:eastAsia="zh-TW"/>
              </w:rPr>
              <w:t>610、</w:t>
            </w:r>
            <w:r>
              <w:rPr>
                <w:rFonts w:hint="default"/>
                <w:color w:val="auto"/>
                <w:highlight w:val="none"/>
              </w:rPr>
              <w:t>HJ</w:t>
            </w:r>
            <w:r>
              <w:rPr>
                <w:rFonts w:hint="default"/>
                <w:color w:val="auto"/>
                <w:highlight w:val="none"/>
                <w:lang w:val="zh-TW" w:eastAsia="zh-TW"/>
              </w:rPr>
              <w:t>964判断地下水水位或土壤影响范围内分布有天然林、公益林、湿地等生态保护目标的建设项目，生态影响评价等级不低于二级</w:t>
            </w:r>
            <w:r>
              <w:rPr>
                <w:rFonts w:hint="default"/>
                <w:color w:val="auto"/>
                <w:highlight w:val="none"/>
                <w:lang w:val="zh-TW" w:eastAsia="zh-CN"/>
              </w:rPr>
              <w:t>；</w:t>
            </w:r>
          </w:p>
        </w:tc>
        <w:tc>
          <w:tcPr>
            <w:tcW w:w="1531" w:type="pct"/>
            <w:tcBorders>
              <w:tl2br w:val="nil"/>
              <w:tr2bl w:val="nil"/>
            </w:tcBorders>
            <w:shd w:val="clear" w:color="auto" w:fill="auto"/>
            <w:noWrap w:val="0"/>
            <w:vAlign w:val="center"/>
          </w:tcPr>
          <w:p>
            <w:pPr>
              <w:pStyle w:val="42"/>
              <w:bidi w:val="0"/>
              <w:rPr>
                <w:rFonts w:hint="default" w:eastAsia="宋"/>
                <w:color w:val="auto"/>
                <w:highlight w:val="none"/>
                <w:lang w:val="en-US" w:eastAsia="zh-CN"/>
              </w:rPr>
            </w:pPr>
            <w:r>
              <w:rPr>
                <w:rFonts w:hint="eastAsia"/>
                <w:color w:val="0000FF"/>
                <w:highlight w:val="none"/>
                <w:lang w:val="en-US" w:eastAsia="zh-CN"/>
              </w:rPr>
              <w:t>本项目土壤评价范围内分布有公益林。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3468" w:type="pct"/>
            <w:tcBorders>
              <w:tl2br w:val="nil"/>
              <w:tr2bl w:val="nil"/>
            </w:tcBorders>
            <w:shd w:val="clear" w:color="auto" w:fill="auto"/>
            <w:noWrap w:val="0"/>
            <w:vAlign w:val="center"/>
          </w:tcPr>
          <w:p>
            <w:pPr>
              <w:pStyle w:val="42"/>
              <w:bidi w:val="0"/>
              <w:rPr>
                <w:rFonts w:hint="default"/>
                <w:color w:val="auto"/>
                <w:highlight w:val="none"/>
                <w:lang w:eastAsia="zh-CN"/>
              </w:rPr>
            </w:pPr>
            <w:r>
              <w:rPr>
                <w:rFonts w:hint="default"/>
                <w:color w:val="auto"/>
                <w:highlight w:val="none"/>
                <w:lang w:val="en-US" w:eastAsia="zh-CN"/>
              </w:rPr>
              <w:t>f）</w:t>
            </w:r>
            <w:r>
              <w:rPr>
                <w:rFonts w:hint="default"/>
                <w:color w:val="auto"/>
                <w:highlight w:val="none"/>
                <w:lang w:val="zh-TW" w:eastAsia="zh-TW"/>
              </w:rPr>
              <w:t>当工程占地规模大于</w:t>
            </w:r>
            <w:r>
              <w:rPr>
                <w:rFonts w:hint="default"/>
                <w:color w:val="auto"/>
                <w:highlight w:val="none"/>
                <w:lang w:val="en-US" w:eastAsia="en-US"/>
              </w:rPr>
              <w:t>20</w:t>
            </w:r>
            <w:r>
              <w:rPr>
                <w:rFonts w:hint="default"/>
                <w:color w:val="auto"/>
                <w:highlight w:val="none"/>
              </w:rPr>
              <w:t>km</w:t>
            </w:r>
            <w:r>
              <w:rPr>
                <w:rFonts w:hint="default"/>
                <w:color w:val="auto"/>
                <w:highlight w:val="none"/>
                <w:vertAlign w:val="superscript"/>
                <w:lang w:val="en-US" w:eastAsia="en-US"/>
              </w:rPr>
              <w:t>2</w:t>
            </w:r>
            <w:r>
              <w:rPr>
                <w:rFonts w:hint="default"/>
                <w:color w:val="auto"/>
                <w:highlight w:val="none"/>
                <w:lang w:val="zh-TW" w:eastAsia="zh-TW"/>
              </w:rPr>
              <w:t>时</w:t>
            </w:r>
            <w:r>
              <w:rPr>
                <w:rFonts w:hint="default"/>
                <w:color w:val="auto"/>
                <w:highlight w:val="none"/>
                <w:lang w:val="zh-TW" w:eastAsia="zh-CN"/>
              </w:rPr>
              <w:t>（</w:t>
            </w:r>
            <w:r>
              <w:rPr>
                <w:rFonts w:hint="default"/>
                <w:color w:val="auto"/>
                <w:highlight w:val="none"/>
                <w:lang w:val="zh-TW" w:eastAsia="zh-TW"/>
              </w:rPr>
              <w:t>包括永久和临时占用陆域和水域</w:t>
            </w:r>
            <w:r>
              <w:rPr>
                <w:rFonts w:hint="default"/>
                <w:color w:val="auto"/>
                <w:highlight w:val="none"/>
                <w:lang w:val="zh-TW" w:eastAsia="zh-CN"/>
              </w:rPr>
              <w:t>）</w:t>
            </w:r>
            <w:r>
              <w:rPr>
                <w:rFonts w:hint="default"/>
                <w:color w:val="auto"/>
                <w:highlight w:val="none"/>
                <w:lang w:val="zh-TW" w:eastAsia="zh-TW"/>
              </w:rPr>
              <w:t>，评价等级不低于二级；改扩建项目的占地范围以新増占地（包括陆域和水域）确定</w:t>
            </w:r>
            <w:r>
              <w:rPr>
                <w:rFonts w:hint="default"/>
                <w:color w:val="auto"/>
                <w:highlight w:val="none"/>
                <w:lang w:val="zh-TW" w:eastAsia="zh-CN"/>
              </w:rPr>
              <w:t>；</w:t>
            </w:r>
          </w:p>
        </w:tc>
        <w:tc>
          <w:tcPr>
            <w:tcW w:w="1531" w:type="pct"/>
            <w:tcBorders>
              <w:tl2br w:val="nil"/>
              <w:tr2bl w:val="nil"/>
            </w:tcBorders>
            <w:shd w:val="clear" w:color="auto" w:fill="auto"/>
            <w:noWrap w:val="0"/>
            <w:vAlign w:val="center"/>
          </w:tcPr>
          <w:p>
            <w:pPr>
              <w:pStyle w:val="42"/>
              <w:bidi w:val="0"/>
              <w:rPr>
                <w:rFonts w:hint="default"/>
                <w:color w:val="auto"/>
                <w:highlight w:val="none"/>
              </w:rPr>
            </w:pPr>
            <w:r>
              <w:rPr>
                <w:rFonts w:hint="default"/>
                <w:color w:val="auto"/>
                <w:highlight w:val="none"/>
                <w:lang w:val="zh-TW" w:eastAsia="zh-TW"/>
              </w:rPr>
              <w:t>占地范围小于</w:t>
            </w:r>
            <w:r>
              <w:rPr>
                <w:rFonts w:hint="default"/>
                <w:color w:val="auto"/>
                <w:highlight w:val="none"/>
                <w:lang w:val="en-US" w:eastAsia="en-US"/>
              </w:rPr>
              <w:t>20</w:t>
            </w:r>
            <w:r>
              <w:rPr>
                <w:rFonts w:hint="default"/>
                <w:color w:val="auto"/>
                <w:highlight w:val="none"/>
              </w:rPr>
              <w:t>km</w:t>
            </w:r>
            <w:r>
              <w:rPr>
                <w:rFonts w:hint="default"/>
                <w:color w:val="auto"/>
                <w:highlight w:val="none"/>
                <w:vertAlign w:val="superscript"/>
                <w:lang w:val="en-US" w:eastAsia="en-US"/>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3468" w:type="pct"/>
            <w:tcBorders>
              <w:tl2br w:val="nil"/>
              <w:tr2bl w:val="nil"/>
            </w:tcBorders>
            <w:shd w:val="clear" w:color="auto" w:fill="auto"/>
            <w:noWrap w:val="0"/>
            <w:vAlign w:val="center"/>
          </w:tcPr>
          <w:p>
            <w:pPr>
              <w:pStyle w:val="42"/>
              <w:bidi w:val="0"/>
              <w:rPr>
                <w:rFonts w:hint="default"/>
                <w:color w:val="auto"/>
                <w:highlight w:val="none"/>
              </w:rPr>
            </w:pPr>
            <w:r>
              <w:rPr>
                <w:rFonts w:hint="default"/>
                <w:color w:val="auto"/>
                <w:highlight w:val="none"/>
                <w:lang w:val="en-US" w:eastAsia="zh-CN"/>
              </w:rPr>
              <w:t>6.1.3</w:t>
            </w:r>
            <w:r>
              <w:rPr>
                <w:rFonts w:hint="default"/>
                <w:color w:val="auto"/>
                <w:highlight w:val="none"/>
                <w:lang w:val="zh-TW" w:eastAsia="zh-TW"/>
              </w:rPr>
              <w:t>建设项目涉及经论证对保护生物多样性具有重要意义的区域时，可适当上调评价等级。</w:t>
            </w:r>
          </w:p>
        </w:tc>
        <w:tc>
          <w:tcPr>
            <w:tcW w:w="1531" w:type="pct"/>
            <w:tcBorders>
              <w:tl2br w:val="nil"/>
              <w:tr2bl w:val="nil"/>
            </w:tcBorders>
            <w:shd w:val="clear" w:color="auto" w:fill="auto"/>
            <w:noWrap w:val="0"/>
            <w:vAlign w:val="center"/>
          </w:tcPr>
          <w:p>
            <w:pPr>
              <w:pStyle w:val="42"/>
              <w:bidi w:val="0"/>
              <w:rPr>
                <w:rFonts w:hint="default"/>
                <w:color w:val="auto"/>
                <w:highlight w:val="none"/>
              </w:rPr>
            </w:pPr>
            <w:r>
              <w:rPr>
                <w:rFonts w:hint="default"/>
                <w:color w:val="auto"/>
                <w:highlight w:val="none"/>
                <w:lang w:val="zh-TW" w:eastAsia="zh-TW"/>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3468" w:type="pct"/>
            <w:tcBorders>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en-US" w:eastAsia="zh-CN"/>
              </w:rPr>
              <w:t>6.1.5在矿山开采可能导致矿区土地利用类型明显改变，或</w:t>
            </w:r>
            <w:r>
              <w:rPr>
                <w:rFonts w:hint="default"/>
                <w:color w:val="auto"/>
                <w:highlight w:val="none"/>
                <w:lang w:val="zh-TW" w:eastAsia="zh-TW"/>
              </w:rPr>
              <w:t>拦河间坝建设可能明显改变水文情势等情况下，评价等级应上调一级。</w:t>
            </w:r>
          </w:p>
        </w:tc>
        <w:tc>
          <w:tcPr>
            <w:tcW w:w="1531" w:type="pct"/>
            <w:tcBorders>
              <w:tl2br w:val="nil"/>
              <w:tr2bl w:val="nil"/>
            </w:tcBorders>
            <w:shd w:val="clear" w:color="auto" w:fill="auto"/>
            <w:noWrap w:val="0"/>
            <w:vAlign w:val="center"/>
          </w:tcPr>
          <w:p>
            <w:pPr>
              <w:pStyle w:val="42"/>
              <w:bidi w:val="0"/>
              <w:rPr>
                <w:rFonts w:hint="default"/>
                <w:color w:val="auto"/>
                <w:highlight w:val="none"/>
                <w:lang w:val="zh-TW" w:eastAsia="zh-TW"/>
              </w:rPr>
            </w:pPr>
            <w:r>
              <w:rPr>
                <w:rFonts w:hint="default"/>
                <w:color w:val="auto"/>
                <w:highlight w:val="none"/>
                <w:lang w:val="zh-TW" w:eastAsia="zh-TW"/>
              </w:rPr>
              <w:t>不涉及</w:t>
            </w:r>
          </w:p>
        </w:tc>
      </w:tr>
    </w:tbl>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综上，综合考虑工程建设规模、特征及影响程度，确定本项目陆生生态环境影响评价等级</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水生生态环境影响评价等级</w:t>
      </w:r>
      <w:r>
        <w:rPr>
          <w:rFonts w:hint="eastAsia" w:ascii="Times New Roman" w:hAnsi="Times New Roman" w:cs="Times New Roman"/>
          <w:color w:val="auto"/>
          <w:highlight w:val="none"/>
          <w:lang w:val="en-US" w:eastAsia="zh-CN"/>
        </w:rPr>
        <w:t>均为二级</w:t>
      </w:r>
      <w:r>
        <w:rPr>
          <w:rFonts w:hint="default" w:ascii="Times New Roman" w:hAnsi="Times New Roman" w:cs="Times New Roman"/>
          <w:color w:val="auto"/>
          <w:highlight w:val="none"/>
          <w:lang w:val="en-US" w:eastAsia="zh-CN"/>
        </w:rPr>
        <w:t>。</w:t>
      </w:r>
    </w:p>
    <w:p>
      <w:pPr>
        <w:pStyle w:val="5"/>
        <w:tabs>
          <w:tab w:val="clear" w:pos="420"/>
        </w:tabs>
        <w:bidi w:val="0"/>
        <w:ind w:left="480" w:leftChars="0" w:firstLineChars="0"/>
        <w:rPr>
          <w:rFonts w:hint="default"/>
          <w:color w:val="auto"/>
        </w:rPr>
      </w:pPr>
      <w:r>
        <w:rPr>
          <w:rFonts w:hint="default"/>
          <w:color w:val="auto"/>
        </w:rPr>
        <w:t>环境风险</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（1）风险潜势初判</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则按照下列公式计算物质总量与其临界量比值（Q）：</w:t>
      </w:r>
    </w:p>
    <w:p>
      <w:pPr>
        <w:ind w:firstLine="480"/>
        <w:rPr>
          <w:rFonts w:hint="default" w:ascii="Times New Roman" w:hAnsi="Times New Roman" w:cs="Times New Roman"/>
          <w:color w:val="auto"/>
          <w:highlight w:val="none"/>
        </w:rPr>
      </w:pPr>
      <w:r>
        <w:rPr>
          <w:color w:val="auto"/>
        </w:rPr>
        <w:drawing>
          <wp:inline distT="0" distB="0" distL="114300" distR="114300">
            <wp:extent cx="1923415" cy="452755"/>
            <wp:effectExtent l="0" t="0" r="635" b="4445"/>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40"/>
                    <a:stretch>
                      <a:fillRect/>
                    </a:stretch>
                  </pic:blipFill>
                  <pic:spPr>
                    <a:xfrm>
                      <a:off x="0" y="0"/>
                      <a:ext cx="1923415" cy="452755"/>
                    </a:xfrm>
                    <a:prstGeom prst="rect">
                      <a:avLst/>
                    </a:prstGeom>
                    <a:noFill/>
                    <a:ln>
                      <a:noFill/>
                    </a:ln>
                  </pic:spPr>
                </pic:pic>
              </a:graphicData>
            </a:graphic>
          </wp:inline>
        </w:drawing>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式中：q1，q2，…，qn——每种危险物质的最大存在总量，t；</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Q1，Q2，…，Qn——每种危险物质的临界量，t。</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当Q＜1时，该项目环境风险潜势为I。</w:t>
      </w:r>
    </w:p>
    <w:p>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当Q≥1时，将Q值划分为：（1）1≤Q＜10；（2）10≤Q＜100；（3）Q≥100。</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本项目不设储油罐及炸药库，所需燃油由集镇加油站供给，</w:t>
      </w:r>
      <w:r>
        <w:rPr>
          <w:rFonts w:hint="eastAsia" w:cs="Times New Roman"/>
          <w:color w:val="auto"/>
          <w:highlight w:val="none"/>
          <w:shd w:val="clear"/>
          <w:lang w:val="en-US" w:eastAsia="zh-CN"/>
        </w:rPr>
        <w:t>运营期2座泵站各设置1间危废暂存间储存废机油</w:t>
      </w:r>
      <w:r>
        <w:rPr>
          <w:rFonts w:hint="eastAsia" w:cs="Times New Roman"/>
          <w:color w:val="auto"/>
          <w:highlight w:val="none"/>
          <w:shd w:val="clear"/>
          <w:lang w:eastAsia="zh-CN"/>
        </w:rPr>
        <w:t>，</w:t>
      </w:r>
      <w:r>
        <w:rPr>
          <w:rFonts w:hint="eastAsia" w:cs="Times New Roman"/>
          <w:color w:val="auto"/>
          <w:highlight w:val="none"/>
          <w:shd w:val="clear"/>
          <w:lang w:val="en-US" w:eastAsia="zh-CN"/>
        </w:rPr>
        <w:t>储存量为</w:t>
      </w:r>
      <w:r>
        <w:rPr>
          <w:rFonts w:hint="default" w:ascii="Times New Roman" w:hAnsi="Times New Roman" w:cs="Times New Roman"/>
          <w:color w:val="auto"/>
          <w:highlight w:val="none"/>
          <w:shd w:val="clear"/>
        </w:rPr>
        <w:t>0.005t，</w:t>
      </w:r>
      <w:r>
        <w:rPr>
          <w:rFonts w:hint="default" w:ascii="Times New Roman" w:hAnsi="Times New Roman" w:cs="Times New Roman"/>
          <w:color w:val="auto"/>
          <w:highlight w:val="none"/>
        </w:rPr>
        <w:t>HJ169-2018中油类物质临界量为2500t，Q=0.000002，因此确定项目环境风险潜势为I。</w:t>
      </w:r>
    </w:p>
    <w:p>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（2）评价等级</w:t>
      </w:r>
    </w:p>
    <w:p>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评价工作等级划分为一级、二级、三级。根据建设项目涉及的物质及工艺系统危险性和所在地的环境敏感性确定环境风险潜势，按照表1.5-8确定评价工作等级。风险潜势为Ⅳ及以上，进行一级评价；风险潜势为Ⅲ，进行二级评价；风险潜势为Ⅱ，进行三级评价；风险潜势为Ⅰ，可</w:t>
      </w:r>
      <w:r>
        <w:rPr>
          <w:rFonts w:hint="eastAsia" w:cs="Times New Roman"/>
          <w:color w:val="auto"/>
          <w:highlight w:val="none"/>
          <w:lang w:val="en-US" w:eastAsia="zh-CN"/>
        </w:rPr>
        <w:t>进行</w:t>
      </w:r>
      <w:r>
        <w:rPr>
          <w:rFonts w:hint="default" w:ascii="Times New Roman" w:hAnsi="Times New Roman" w:cs="Times New Roman"/>
          <w:color w:val="auto"/>
          <w:highlight w:val="none"/>
        </w:rPr>
        <w:t>简单分析。</w:t>
      </w:r>
    </w:p>
    <w:p>
      <w:pPr>
        <w:pStyle w:val="40"/>
        <w:ind w:left="482" w:hanging="482"/>
        <w:rPr>
          <w:rFonts w:hint="default" w:ascii="Times New Roman" w:hAnsi="Times New Roman" w:eastAsia="宋体" w:cs="Times New Roman"/>
          <w:color w:val="auto"/>
          <w:highlight w:val="none"/>
          <w:lang w:val="en-US" w:eastAsia="zh-CN"/>
        </w:rPr>
      </w:pPr>
    </w:p>
    <w:p>
      <w:pPr>
        <w:pStyle w:val="40"/>
        <w:ind w:left="482" w:hanging="482"/>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表</w:t>
      </w:r>
      <w:r>
        <w:rPr>
          <w:rFonts w:hint="eastAsia" w:cs="Times New Roman"/>
          <w:color w:val="auto"/>
          <w:highlight w:val="none"/>
          <w:lang w:val="en-US" w:eastAsia="zh-CN"/>
        </w:rPr>
        <w:t>1</w:t>
      </w:r>
      <w:r>
        <w:rPr>
          <w:rFonts w:hint="default" w:ascii="Times New Roman" w:hAnsi="Times New Roman" w:eastAsia="宋体" w:cs="Times New Roman"/>
          <w:color w:val="auto"/>
          <w:highlight w:val="none"/>
          <w:lang w:val="en-US" w:eastAsia="zh-CN"/>
        </w:rPr>
        <w:t>.5.1-</w:t>
      </w:r>
      <w:r>
        <w:rPr>
          <w:rFonts w:hint="eastAsia" w:cs="Times New Roman"/>
          <w:color w:val="auto"/>
          <w:highlight w:val="none"/>
          <w:lang w:val="en-US" w:eastAsia="zh-CN"/>
        </w:rPr>
        <w:t>5</w:t>
      </w:r>
      <w:r>
        <w:rPr>
          <w:rFonts w:hint="default" w:ascii="Times New Roman" w:hAnsi="Times New Roman" w:eastAsia="宋体" w:cs="Times New Roman"/>
          <w:color w:val="auto"/>
          <w:highlight w:val="none"/>
          <w:lang w:val="en-US" w:eastAsia="zh-CN"/>
        </w:rPr>
        <w:t xml:space="preserve">  </w:t>
      </w:r>
      <w:r>
        <w:rPr>
          <w:rFonts w:hint="eastAsia" w:cs="Times New Roman"/>
          <w:color w:val="auto"/>
          <w:highlight w:val="none"/>
          <w:lang w:val="en-US" w:eastAsia="zh-CN"/>
        </w:rPr>
        <w:t>环境风险</w:t>
      </w:r>
      <w:r>
        <w:rPr>
          <w:rFonts w:hint="default" w:ascii="Times New Roman" w:hAnsi="Times New Roman" w:eastAsia="宋体" w:cs="Times New Roman"/>
          <w:color w:val="auto"/>
          <w:highlight w:val="none"/>
          <w:lang w:val="en-US" w:eastAsia="zh-CN"/>
        </w:rPr>
        <w:t>评价等级判定表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3"/>
        <w:gridCol w:w="1703"/>
        <w:gridCol w:w="1703"/>
        <w:gridCol w:w="1703"/>
        <w:gridCol w:w="17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auto"/>
                <w:highlight w:val="none"/>
              </w:rPr>
            </w:pPr>
            <w:r>
              <w:rPr>
                <w:rFonts w:hint="default"/>
                <w:color w:val="auto"/>
                <w:highlight w:val="none"/>
              </w:rPr>
              <w:t>环境风险潜势</w:t>
            </w:r>
          </w:p>
        </w:tc>
        <w:tc>
          <w:tcPr>
            <w:tcW w:w="170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auto"/>
                <w:highlight w:val="none"/>
              </w:rPr>
            </w:pPr>
            <w:r>
              <w:rPr>
                <w:rFonts w:hint="default"/>
                <w:color w:val="auto"/>
                <w:highlight w:val="none"/>
              </w:rPr>
              <w:t>Ⅳ、Ⅳ+</w:t>
            </w:r>
          </w:p>
        </w:tc>
        <w:tc>
          <w:tcPr>
            <w:tcW w:w="170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eastAsia"/>
                <w:color w:val="auto"/>
                <w:highlight w:val="none"/>
              </w:rPr>
            </w:pPr>
            <w:r>
              <w:rPr>
                <w:rFonts w:hint="eastAsia"/>
                <w:color w:val="auto"/>
                <w:highlight w:val="none"/>
              </w:rPr>
              <w:t>Ⅲ</w:t>
            </w:r>
          </w:p>
        </w:tc>
        <w:tc>
          <w:tcPr>
            <w:tcW w:w="170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eastAsia"/>
                <w:color w:val="auto"/>
                <w:highlight w:val="none"/>
              </w:rPr>
            </w:pPr>
            <w:r>
              <w:rPr>
                <w:rFonts w:hint="eastAsia"/>
                <w:color w:val="auto"/>
                <w:highlight w:val="none"/>
              </w:rPr>
              <w:t>Ⅱ</w:t>
            </w:r>
          </w:p>
        </w:tc>
        <w:tc>
          <w:tcPr>
            <w:tcW w:w="1704"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eastAsia"/>
                <w:color w:val="auto"/>
                <w:highlight w:val="none"/>
              </w:rPr>
            </w:pPr>
            <w:r>
              <w:rPr>
                <w:rFonts w:hint="eastAsia"/>
                <w:color w:val="auto"/>
                <w:highlight w:val="none"/>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auto"/>
                <w:highlight w:val="none"/>
              </w:rPr>
            </w:pPr>
            <w:r>
              <w:rPr>
                <w:rFonts w:hint="default"/>
                <w:color w:val="auto"/>
                <w:highlight w:val="none"/>
              </w:rPr>
              <w:t>评价工作等级</w:t>
            </w:r>
          </w:p>
        </w:tc>
        <w:tc>
          <w:tcPr>
            <w:tcW w:w="170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auto"/>
                <w:highlight w:val="none"/>
              </w:rPr>
            </w:pPr>
            <w:r>
              <w:rPr>
                <w:rFonts w:hint="default"/>
                <w:color w:val="auto"/>
                <w:highlight w:val="none"/>
              </w:rPr>
              <w:t>一</w:t>
            </w:r>
          </w:p>
        </w:tc>
        <w:tc>
          <w:tcPr>
            <w:tcW w:w="170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auto"/>
                <w:highlight w:val="none"/>
              </w:rPr>
            </w:pPr>
            <w:r>
              <w:rPr>
                <w:rFonts w:hint="default"/>
                <w:color w:val="auto"/>
                <w:highlight w:val="none"/>
              </w:rPr>
              <w:t>二</w:t>
            </w:r>
          </w:p>
        </w:tc>
        <w:tc>
          <w:tcPr>
            <w:tcW w:w="170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auto"/>
                <w:highlight w:val="none"/>
              </w:rPr>
            </w:pPr>
            <w:r>
              <w:rPr>
                <w:rFonts w:hint="default"/>
                <w:color w:val="auto"/>
                <w:highlight w:val="none"/>
              </w:rPr>
              <w:t>三</w:t>
            </w:r>
          </w:p>
        </w:tc>
        <w:tc>
          <w:tcPr>
            <w:tcW w:w="1704"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auto"/>
                <w:highlight w:val="none"/>
              </w:rPr>
            </w:pPr>
            <w:r>
              <w:rPr>
                <w:rFonts w:hint="default"/>
                <w:color w:val="auto"/>
                <w:highlight w:val="none"/>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6" w:type="dxa"/>
            <w:gridSpan w:val="5"/>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auto"/>
                <w:highlight w:val="none"/>
              </w:rPr>
            </w:pPr>
            <w:r>
              <w:rPr>
                <w:rFonts w:hint="default"/>
                <w:color w:val="auto"/>
                <w:highlight w:val="none"/>
              </w:rPr>
              <w:t>a是相对于详细评价工作内容而言，在描述危险物质、环境影响途径、环境危害后果、风险防范措施等方面给出定性的说明。</w:t>
            </w:r>
          </w:p>
        </w:tc>
      </w:tr>
    </w:tbl>
    <w:p>
      <w:pPr>
        <w:pStyle w:val="4"/>
        <w:bidi w:val="0"/>
        <w:rPr>
          <w:rFonts w:hint="default"/>
          <w:color w:val="auto"/>
          <w:highlight w:val="none"/>
        </w:rPr>
      </w:pPr>
      <w:bookmarkStart w:id="219" w:name="_Toc7435"/>
      <w:bookmarkStart w:id="220" w:name="_Toc24318"/>
      <w:bookmarkStart w:id="221" w:name="_Toc16041"/>
      <w:bookmarkStart w:id="222" w:name="_Toc23953"/>
      <w:bookmarkStart w:id="223" w:name="_Toc12643"/>
      <w:bookmarkStart w:id="224" w:name="_Toc12960"/>
      <w:r>
        <w:rPr>
          <w:rFonts w:hint="default"/>
          <w:color w:val="auto"/>
          <w:highlight w:val="none"/>
        </w:rPr>
        <w:t>评价范围</w:t>
      </w:r>
      <w:bookmarkEnd w:id="217"/>
      <w:bookmarkEnd w:id="218"/>
      <w:bookmarkEnd w:id="219"/>
      <w:bookmarkEnd w:id="220"/>
      <w:bookmarkEnd w:id="221"/>
      <w:bookmarkEnd w:id="222"/>
      <w:bookmarkEnd w:id="223"/>
      <w:bookmarkEnd w:id="224"/>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总纲、地面水环境、地下水环境、大气环境、声环境、生态影响、环境风险）》中对环境影响评价范围要求，结合工程实际，确定本工程各要素的评价范围如下。工程环境影响评价范围</w:t>
      </w:r>
      <w:r>
        <w:rPr>
          <w:rFonts w:hint="default" w:ascii="Times New Roman" w:hAnsi="Times New Roman" w:cs="Times New Roman"/>
          <w:color w:val="auto"/>
          <w:highlight w:val="none"/>
          <w:lang w:val="en-US" w:eastAsia="zh-CN"/>
        </w:rPr>
        <w:t>及评价时段</w:t>
      </w:r>
      <w:r>
        <w:rPr>
          <w:rFonts w:hint="default" w:ascii="Times New Roman" w:hAnsi="Times New Roman" w:cs="Times New Roman"/>
          <w:color w:val="auto"/>
          <w:highlight w:val="none"/>
        </w:rPr>
        <w:t>详见下表。</w:t>
      </w:r>
    </w:p>
    <w:p>
      <w:pPr>
        <w:pStyle w:val="40"/>
        <w:ind w:left="482" w:hanging="482"/>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cs="Times New Roman"/>
          <w:color w:val="auto"/>
          <w:highlight w:val="none"/>
          <w:lang w:val="en-US" w:eastAsia="zh-CN"/>
        </w:rPr>
        <w:t>1</w:t>
      </w:r>
      <w:r>
        <w:rPr>
          <w:rFonts w:hint="default" w:ascii="Times New Roman" w:hAnsi="Times New Roman" w:cs="Times New Roman"/>
          <w:color w:val="auto"/>
          <w:highlight w:val="none"/>
        </w:rPr>
        <w:t>.5.2-1  工程评价等级范围与评价时段一览表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8"/>
        <w:gridCol w:w="5439"/>
        <w:gridCol w:w="1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1308"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环境要素</w:t>
            </w:r>
          </w:p>
        </w:tc>
        <w:tc>
          <w:tcPr>
            <w:tcW w:w="5439"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评价范围</w:t>
            </w:r>
          </w:p>
        </w:tc>
        <w:tc>
          <w:tcPr>
            <w:tcW w:w="1769"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评价时段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08"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环境空气</w:t>
            </w:r>
          </w:p>
        </w:tc>
        <w:tc>
          <w:tcPr>
            <w:tcW w:w="5439" w:type="dxa"/>
            <w:tcBorders>
              <w:top w:val="single" w:color="auto" w:sz="4" w:space="0"/>
              <w:left w:val="single" w:color="auto" w:sz="4" w:space="0"/>
              <w:bottom w:val="single" w:color="auto" w:sz="4" w:space="0"/>
              <w:right w:val="single" w:color="auto" w:sz="4" w:space="0"/>
            </w:tcBorders>
            <w:noWrap w:val="0"/>
            <w:vAlign w:val="center"/>
          </w:tcPr>
          <w:p>
            <w:pPr>
              <w:pStyle w:val="42"/>
              <w:jc w:val="both"/>
              <w:rPr>
                <w:rFonts w:hint="default" w:ascii="Times New Roman" w:hAnsi="Times New Roman" w:eastAsia="宋" w:cs="Times New Roman"/>
                <w:color w:val="auto"/>
                <w:highlight w:val="none"/>
                <w:lang w:val="en-US" w:eastAsia="zh-CN"/>
              </w:rPr>
            </w:pPr>
            <w:r>
              <w:rPr>
                <w:rFonts w:hint="eastAsia" w:ascii="Times New Roman" w:hAnsi="Times New Roman" w:cs="Times New Roman"/>
                <w:color w:val="auto"/>
                <w:highlight w:val="none"/>
                <w:lang w:val="en-US" w:eastAsia="zh-CN"/>
              </w:rPr>
              <w:t>不设评价范围</w:t>
            </w:r>
            <w:r>
              <w:rPr>
                <w:rFonts w:hint="eastAsia" w:cs="Times New Roman"/>
                <w:color w:val="auto"/>
                <w:highlight w:val="none"/>
                <w:lang w:val="en-US" w:eastAsia="zh-CN"/>
              </w:rPr>
              <w:t>，本环评施工期环境空气保护目标调查范围以项目用</w:t>
            </w:r>
            <w:r>
              <w:rPr>
                <w:rFonts w:hint="eastAsia" w:cs="Times New Roman"/>
                <w:color w:val="auto"/>
                <w:highlight w:val="none"/>
                <w:shd w:val="clear"/>
                <w:lang w:val="en-US" w:eastAsia="zh-CN"/>
              </w:rPr>
              <w:t>地外</w:t>
            </w:r>
            <w:r>
              <w:rPr>
                <w:rFonts w:hint="eastAsia" w:cs="Times New Roman"/>
                <w:color w:val="0000FF"/>
                <w:highlight w:val="none"/>
                <w:shd w:val="clear"/>
                <w:lang w:val="en-US" w:eastAsia="zh-CN"/>
              </w:rPr>
              <w:t xml:space="preserve">500m范围计。 </w:t>
            </w:r>
          </w:p>
        </w:tc>
        <w:tc>
          <w:tcPr>
            <w:tcW w:w="1769"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施工期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08"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地表水环境</w:t>
            </w:r>
          </w:p>
        </w:tc>
        <w:tc>
          <w:tcPr>
            <w:tcW w:w="5439" w:type="dxa"/>
            <w:tcBorders>
              <w:top w:val="single" w:color="auto" w:sz="4" w:space="0"/>
              <w:left w:val="single" w:color="auto" w:sz="4" w:space="0"/>
              <w:bottom w:val="single" w:color="auto" w:sz="4" w:space="0"/>
              <w:right w:val="single" w:color="auto" w:sz="4" w:space="0"/>
            </w:tcBorders>
            <w:noWrap w:val="0"/>
            <w:vAlign w:val="center"/>
          </w:tcPr>
          <w:p>
            <w:pPr>
              <w:pStyle w:val="42"/>
              <w:jc w:val="both"/>
              <w:rPr>
                <w:rFonts w:hint="default" w:ascii="Times New Roman" w:hAnsi="Times New Roman" w:eastAsia="宋体" w:cs="Times New Roman"/>
                <w:color w:val="0000FF"/>
                <w:highlight w:val="none"/>
                <w:lang w:val="en-US" w:eastAsia="zh-CN"/>
              </w:rPr>
            </w:pPr>
            <w:r>
              <w:rPr>
                <w:rFonts w:hint="eastAsia" w:ascii="Times New Roman" w:hAnsi="Times New Roman" w:eastAsia="宋体" w:cs="Times New Roman"/>
                <w:color w:val="0000FF"/>
                <w:highlight w:val="none"/>
                <w:lang w:val="en-US" w:eastAsia="zh-CN"/>
              </w:rPr>
              <w:t>①</w:t>
            </w:r>
            <w:r>
              <w:rPr>
                <w:rFonts w:hint="eastAsia" w:cs="Times New Roman"/>
                <w:color w:val="0000FF"/>
                <w:highlight w:val="none"/>
                <w:lang w:val="en-US" w:eastAsia="zh-CN"/>
              </w:rPr>
              <w:t>调出区</w:t>
            </w:r>
            <w:r>
              <w:rPr>
                <w:rFonts w:hint="eastAsia" w:ascii="Times New Roman" w:hAnsi="Times New Roman" w:eastAsia="宋体" w:cs="Times New Roman"/>
                <w:color w:val="0000FF"/>
                <w:highlight w:val="none"/>
                <w:lang w:val="en-US" w:eastAsia="zh-CN"/>
              </w:rPr>
              <w:t>：姜驿中型灌区规划灌溉水源为“金沙江乌东德水电站水资源综合利用—元谋县姜驿乡提水工程”，该工程从金沙江乌东德电站库区取水，水源区的水文情势影响已纳入该项目，不在本次评价范围内。</w:t>
            </w:r>
          </w:p>
          <w:p>
            <w:pPr>
              <w:pStyle w:val="42"/>
              <w:jc w:val="both"/>
              <w:rPr>
                <w:rFonts w:hint="eastAsia" w:cs="Times New Roman"/>
                <w:color w:val="0000FF"/>
                <w:highlight w:val="none"/>
                <w:lang w:val="en-US" w:eastAsia="zh-CN"/>
              </w:rPr>
            </w:pPr>
            <w:r>
              <w:rPr>
                <w:rFonts w:hint="eastAsia" w:cs="Times New Roman"/>
                <w:color w:val="0000FF"/>
                <w:highlight w:val="none"/>
                <w:lang w:val="en-US" w:eastAsia="zh-CN"/>
              </w:rPr>
              <w:t>②</w:t>
            </w:r>
            <w:r>
              <w:rPr>
                <w:rFonts w:hint="default" w:ascii="Times New Roman" w:hAnsi="Times New Roman" w:cs="Times New Roman"/>
                <w:color w:val="0000FF"/>
                <w:highlight w:val="none"/>
                <w:lang w:val="en-US" w:eastAsia="zh-CN"/>
              </w:rPr>
              <w:t>受水区</w:t>
            </w:r>
            <w:r>
              <w:rPr>
                <w:rFonts w:hint="eastAsia" w:cs="Times New Roman"/>
                <w:color w:val="0000FF"/>
                <w:highlight w:val="none"/>
                <w:lang w:val="en-US" w:eastAsia="zh-CN"/>
              </w:rPr>
              <w:t>水库及下游河道</w:t>
            </w:r>
            <w:r>
              <w:rPr>
                <w:rFonts w:hint="default" w:ascii="Times New Roman" w:hAnsi="Times New Roman" w:cs="Times New Roman"/>
                <w:color w:val="0000FF"/>
                <w:highlight w:val="none"/>
                <w:lang w:val="en-US" w:eastAsia="zh-CN"/>
              </w:rPr>
              <w:t>：受水区水库</w:t>
            </w:r>
            <w:r>
              <w:rPr>
                <w:rFonts w:hint="eastAsia" w:cs="Times New Roman"/>
                <w:color w:val="0000FF"/>
                <w:highlight w:val="none"/>
                <w:lang w:val="en-US" w:eastAsia="zh-CN"/>
              </w:rPr>
              <w:t>：</w:t>
            </w:r>
            <w:r>
              <w:rPr>
                <w:rFonts w:hint="default" w:ascii="Times New Roman" w:hAnsi="Times New Roman" w:cs="Times New Roman"/>
                <w:color w:val="0000FF"/>
                <w:highlight w:val="none"/>
                <w:lang w:val="en-US" w:eastAsia="zh-CN"/>
              </w:rPr>
              <w:t>界牌箐水库、水平石水库、姜中水库、李官坟水库</w:t>
            </w:r>
            <w:r>
              <w:rPr>
                <w:rFonts w:hint="eastAsia" w:cs="Times New Roman"/>
                <w:color w:val="0000FF"/>
                <w:highlight w:val="none"/>
                <w:lang w:val="en-US" w:eastAsia="zh-CN"/>
              </w:rPr>
              <w:t>，及坝下减水河段。</w:t>
            </w:r>
          </w:p>
          <w:p>
            <w:pPr>
              <w:pStyle w:val="42"/>
              <w:jc w:val="both"/>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③</w:t>
            </w:r>
            <w:r>
              <w:rPr>
                <w:rFonts w:hint="default" w:ascii="Times New Roman" w:hAnsi="Times New Roman" w:cs="Times New Roman"/>
                <w:color w:val="auto"/>
                <w:highlight w:val="none"/>
                <w:lang w:val="en-US" w:eastAsia="zh-CN"/>
              </w:rPr>
              <w:t>输水线路区：输水线路穿越的</w:t>
            </w:r>
            <w:r>
              <w:rPr>
                <w:rFonts w:hint="eastAsia" w:cs="Times New Roman"/>
                <w:color w:val="auto"/>
                <w:highlight w:val="none"/>
                <w:lang w:val="en-US" w:eastAsia="zh-CN"/>
              </w:rPr>
              <w:t>姜驿河、沙沟箐</w:t>
            </w:r>
            <w:r>
              <w:rPr>
                <w:rFonts w:hint="default" w:ascii="Times New Roman" w:hAnsi="Times New Roman" w:cs="Times New Roman"/>
                <w:color w:val="auto"/>
                <w:highlight w:val="none"/>
                <w:lang w:val="en-US" w:eastAsia="zh-CN"/>
              </w:rPr>
              <w:t>。</w:t>
            </w:r>
          </w:p>
          <w:p>
            <w:pPr>
              <w:pStyle w:val="42"/>
              <w:bidi w:val="0"/>
              <w:jc w:val="both"/>
              <w:rPr>
                <w:rFonts w:hint="default" w:ascii="Times New Roman" w:hAnsi="Times New Roman" w:eastAsia="宋" w:cs="Times New Roman"/>
                <w:color w:val="auto"/>
                <w:highlight w:val="none"/>
                <w:lang w:val="en-US" w:eastAsia="zh-CN"/>
              </w:rPr>
            </w:pPr>
            <w:r>
              <w:rPr>
                <w:rFonts w:hint="eastAsia" w:cs="Times New Roman"/>
                <w:color w:val="auto"/>
                <w:highlight w:val="none"/>
                <w:lang w:val="en-US" w:eastAsia="zh-CN"/>
              </w:rPr>
              <w:t>④</w:t>
            </w:r>
            <w:r>
              <w:rPr>
                <w:rFonts w:hint="default" w:ascii="Times New Roman" w:hAnsi="Times New Roman" w:eastAsia="宋体" w:cs="Times New Roman"/>
                <w:color w:val="auto"/>
                <w:highlight w:val="none"/>
                <w:lang w:val="en-US" w:eastAsia="zh-CN"/>
              </w:rPr>
              <w:t>退水区：项目对地表水水体的影响主要包括水文情势及农业退水影响，地表水评价范围考虑上述两个影响方式，其中农业退水影响河段主要为姜驿河、沙沟箐，合28.42km。</w:t>
            </w:r>
          </w:p>
        </w:tc>
        <w:tc>
          <w:tcPr>
            <w:tcW w:w="1769"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08"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地下水环境</w:t>
            </w:r>
          </w:p>
        </w:tc>
        <w:tc>
          <w:tcPr>
            <w:tcW w:w="5439" w:type="dxa"/>
            <w:tcBorders>
              <w:top w:val="single" w:color="auto" w:sz="4" w:space="0"/>
              <w:left w:val="single" w:color="auto" w:sz="4" w:space="0"/>
              <w:bottom w:val="single" w:color="auto" w:sz="4" w:space="0"/>
              <w:right w:val="single" w:color="auto" w:sz="4" w:space="0"/>
            </w:tcBorders>
            <w:noWrap w:val="0"/>
            <w:vAlign w:val="center"/>
          </w:tcPr>
          <w:p>
            <w:pPr>
              <w:pStyle w:val="42"/>
              <w:jc w:val="both"/>
              <w:rPr>
                <w:rFonts w:hint="default" w:ascii="Times New Roman" w:hAnsi="Times New Roman" w:eastAsia="宋" w:cs="Times New Roman"/>
                <w:color w:val="auto"/>
                <w:highlight w:val="none"/>
                <w:lang w:val="en-US" w:eastAsia="zh-CN"/>
              </w:rPr>
            </w:pPr>
            <w:r>
              <w:rPr>
                <w:rFonts w:hint="default" w:ascii="Times New Roman" w:hAnsi="Times New Roman" w:cs="Times New Roman"/>
                <w:color w:val="0000FF"/>
                <w:highlight w:val="none"/>
                <w:lang w:val="en-US" w:eastAsia="zh-CN"/>
              </w:rPr>
              <w:t>地下水评价范围为输水线路沿线边界外延200m的范围；泵站工程</w:t>
            </w:r>
            <w:r>
              <w:rPr>
                <w:rFonts w:hint="eastAsia" w:cs="Times New Roman"/>
                <w:color w:val="0000FF"/>
                <w:highlight w:val="none"/>
                <w:lang w:val="en-US" w:eastAsia="zh-CN"/>
              </w:rPr>
              <w:t>、管首调节池</w:t>
            </w:r>
            <w:r>
              <w:rPr>
                <w:rFonts w:hint="default" w:ascii="Times New Roman" w:hAnsi="Times New Roman" w:cs="Times New Roman"/>
                <w:color w:val="0000FF"/>
                <w:highlight w:val="none"/>
                <w:lang w:val="en-US" w:eastAsia="zh-CN"/>
              </w:rPr>
              <w:t>周边半径1km范围；本工程供水灌区范围。</w:t>
            </w:r>
          </w:p>
        </w:tc>
        <w:tc>
          <w:tcPr>
            <w:tcW w:w="1769"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08"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w:t>
            </w:r>
          </w:p>
        </w:tc>
        <w:tc>
          <w:tcPr>
            <w:tcW w:w="5439" w:type="dxa"/>
            <w:tcBorders>
              <w:top w:val="single" w:color="auto" w:sz="4" w:space="0"/>
              <w:left w:val="single" w:color="auto" w:sz="4" w:space="0"/>
              <w:bottom w:val="single" w:color="auto" w:sz="4" w:space="0"/>
              <w:right w:val="single" w:color="auto" w:sz="4" w:space="0"/>
            </w:tcBorders>
            <w:noWrap w:val="0"/>
            <w:vAlign w:val="center"/>
          </w:tcPr>
          <w:p>
            <w:pPr>
              <w:pStyle w:val="42"/>
              <w:jc w:val="both"/>
              <w:rPr>
                <w:rFonts w:hint="default" w:ascii="Times New Roman" w:hAnsi="Times New Roman" w:eastAsia="宋" w:cs="Times New Roman"/>
                <w:color w:val="auto"/>
                <w:kern w:val="0"/>
                <w:sz w:val="21"/>
                <w:szCs w:val="21"/>
                <w:highlight w:val="none"/>
                <w:lang w:val="en-US" w:eastAsia="zh-CN" w:bidi="ar-SA"/>
              </w:rPr>
            </w:pPr>
            <w:r>
              <w:rPr>
                <w:rFonts w:hint="eastAsia" w:ascii="Times New Roman" w:hAnsi="Times New Roman" w:eastAsia="宋" w:cs="Times New Roman"/>
                <w:color w:val="auto"/>
                <w:kern w:val="0"/>
                <w:sz w:val="21"/>
                <w:szCs w:val="21"/>
                <w:highlight w:val="none"/>
                <w:lang w:val="en-US" w:eastAsia="zh-CN" w:bidi="ar-SA"/>
              </w:rPr>
              <w:t>评价范围</w:t>
            </w:r>
            <w:r>
              <w:rPr>
                <w:rFonts w:hint="default" w:ascii="Times New Roman" w:hAnsi="Times New Roman" w:eastAsia="宋" w:cs="Times New Roman"/>
                <w:color w:val="auto"/>
                <w:kern w:val="0"/>
                <w:sz w:val="21"/>
                <w:szCs w:val="21"/>
                <w:highlight w:val="none"/>
                <w:lang w:val="en-US" w:eastAsia="zh-CN" w:bidi="ar-SA"/>
              </w:rPr>
              <w:t>为管线、泵站及其施工区占地外扩200m范围</w:t>
            </w:r>
            <w:r>
              <w:rPr>
                <w:rFonts w:hint="eastAsia" w:ascii="Times New Roman" w:hAnsi="Times New Roman" w:eastAsia="宋" w:cs="Times New Roman"/>
                <w:color w:val="auto"/>
                <w:kern w:val="0"/>
                <w:sz w:val="21"/>
                <w:szCs w:val="21"/>
                <w:highlight w:val="none"/>
                <w:lang w:val="en-US" w:eastAsia="zh-CN" w:bidi="ar-SA"/>
              </w:rPr>
              <w:t>，施工道路中心线两侧外延200m范围内。</w:t>
            </w:r>
          </w:p>
        </w:tc>
        <w:tc>
          <w:tcPr>
            <w:tcW w:w="1769"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w:t>
            </w:r>
            <w:r>
              <w:rPr>
                <w:rFonts w:hint="eastAsia" w:cs="Times New Roman"/>
                <w:color w:val="0000FF"/>
                <w:highlight w:val="none"/>
                <w:lang w:val="en-US" w:eastAsia="zh-CN"/>
              </w:rPr>
              <w:t>、运营期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08"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eastAsia="宋" w:cs="Times New Roman"/>
                <w:color w:val="auto"/>
                <w:highlight w:val="none"/>
                <w:lang w:val="en-US" w:eastAsia="zh-CN"/>
              </w:rPr>
            </w:pPr>
            <w:r>
              <w:rPr>
                <w:rFonts w:hint="default" w:ascii="Times New Roman" w:hAnsi="Times New Roman" w:cs="Times New Roman"/>
                <w:color w:val="auto"/>
                <w:highlight w:val="none"/>
                <w:lang w:val="en-US" w:eastAsia="zh-CN"/>
              </w:rPr>
              <w:t>土壤环境</w:t>
            </w:r>
          </w:p>
        </w:tc>
        <w:tc>
          <w:tcPr>
            <w:tcW w:w="5439"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left="0" w:leftChars="0" w:firstLine="0" w:firstLineChars="0"/>
              <w:jc w:val="both"/>
              <w:rPr>
                <w:rFonts w:hint="default" w:ascii="Times New Roman" w:hAnsi="Times New Roman" w:eastAsia="宋" w:cs="Times New Roman"/>
                <w:color w:val="0000FF"/>
                <w:kern w:val="0"/>
                <w:sz w:val="21"/>
                <w:szCs w:val="21"/>
                <w:highlight w:val="none"/>
                <w:lang w:val="en-US" w:eastAsia="zh-CN" w:bidi="ar-SA"/>
              </w:rPr>
            </w:pPr>
            <w:r>
              <w:rPr>
                <w:rFonts w:hint="default" w:ascii="Times New Roman" w:hAnsi="Times New Roman" w:eastAsia="宋" w:cs="Times New Roman"/>
                <w:color w:val="0000FF"/>
                <w:kern w:val="0"/>
                <w:sz w:val="21"/>
                <w:szCs w:val="21"/>
                <w:highlight w:val="none"/>
                <w:lang w:val="en-US" w:eastAsia="zh-CN" w:bidi="ar-SA"/>
              </w:rPr>
              <w:t>工程永久占地外扩1km范围；施工临时占地外扩1km范围；输水线路中心线两侧1km范围；施工道路中心线两侧外延1km范围内；工程灌区范围。</w:t>
            </w:r>
          </w:p>
        </w:tc>
        <w:tc>
          <w:tcPr>
            <w:tcW w:w="1769"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eastAsia="宋" w:cs="Times New Roman"/>
                <w:color w:val="auto"/>
                <w:highlight w:val="none"/>
                <w:lang w:val="en-US" w:eastAsia="zh-CN"/>
              </w:rPr>
            </w:pPr>
            <w:r>
              <w:rPr>
                <w:rFonts w:hint="default" w:ascii="Times New Roman" w:hAnsi="Times New Roman" w:cs="Times New Roman"/>
                <w:color w:val="auto"/>
                <w:highlight w:val="none"/>
                <w:lang w:val="en-US" w:eastAsia="zh-CN"/>
              </w:rPr>
              <w:t>施工期、运营期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08"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生态环境</w:t>
            </w:r>
          </w:p>
        </w:tc>
        <w:tc>
          <w:tcPr>
            <w:tcW w:w="5439" w:type="dxa"/>
            <w:tcBorders>
              <w:top w:val="single" w:color="auto" w:sz="4" w:space="0"/>
              <w:left w:val="single" w:color="auto" w:sz="4" w:space="0"/>
              <w:bottom w:val="single" w:color="auto" w:sz="4" w:space="0"/>
              <w:right w:val="single" w:color="auto" w:sz="4" w:space="0"/>
            </w:tcBorders>
            <w:noWrap w:val="0"/>
            <w:vAlign w:val="center"/>
          </w:tcPr>
          <w:p>
            <w:pPr>
              <w:pStyle w:val="42"/>
              <w:bidi w:val="0"/>
              <w:jc w:val="both"/>
              <w:rPr>
                <w:rFonts w:hint="default" w:ascii="Times New Roman" w:hAnsi="Times New Roman" w:cs="Times New Roman"/>
                <w:color w:val="auto"/>
                <w:highlight w:val="none"/>
              </w:rPr>
            </w:pPr>
            <w:r>
              <w:rPr>
                <w:rFonts w:hint="eastAsia"/>
                <w:color w:val="0000FF"/>
                <w:highlight w:val="none"/>
                <w:shd w:val="clear"/>
                <w:lang w:val="en-US" w:eastAsia="zh-CN"/>
              </w:rPr>
              <w:t>涉及到生态红线、风景名胜区的</w:t>
            </w:r>
            <w:r>
              <w:rPr>
                <w:rFonts w:hint="eastAsia"/>
                <w:color w:val="auto"/>
                <w:highlight w:val="none"/>
                <w:shd w:val="clear"/>
                <w:lang w:val="en-US" w:eastAsia="zh-CN"/>
              </w:rPr>
              <w:t>管段两侧</w:t>
            </w:r>
            <w:r>
              <w:rPr>
                <w:rFonts w:hint="default"/>
                <w:color w:val="auto"/>
                <w:highlight w:val="none"/>
                <w:shd w:val="clear"/>
              </w:rPr>
              <w:t>外延1km，</w:t>
            </w:r>
            <w:r>
              <w:rPr>
                <w:rFonts w:hint="default"/>
                <w:color w:val="auto"/>
                <w:highlight w:val="none"/>
              </w:rPr>
              <w:t>线路中心线两侧边缘外扩1km；其他部分输水管道、施工三场等征占地边界外延300m，总面积约4309.52hm²。</w:t>
            </w:r>
          </w:p>
        </w:tc>
        <w:tc>
          <w:tcPr>
            <w:tcW w:w="1769"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08"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eastAsia="宋" w:cs="Times New Roman"/>
                <w:color w:val="auto"/>
                <w:highlight w:val="none"/>
                <w:lang w:val="en-US" w:eastAsia="zh-CN"/>
              </w:rPr>
            </w:pPr>
            <w:bookmarkStart w:id="225" w:name="_Toc19548"/>
            <w:bookmarkStart w:id="226" w:name="_Toc28595"/>
            <w:bookmarkStart w:id="227" w:name="_Toc6125"/>
            <w:bookmarkStart w:id="228" w:name="_Toc21459"/>
            <w:r>
              <w:rPr>
                <w:rFonts w:hint="default" w:ascii="Times New Roman" w:hAnsi="Times New Roman" w:cs="Times New Roman"/>
                <w:color w:val="auto"/>
                <w:highlight w:val="none"/>
                <w:lang w:val="en-US" w:eastAsia="zh-CN"/>
              </w:rPr>
              <w:t>环境风险</w:t>
            </w:r>
          </w:p>
        </w:tc>
        <w:tc>
          <w:tcPr>
            <w:tcW w:w="5439"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eastAsia="宋" w:cs="Times New Roman"/>
                <w:color w:val="auto"/>
                <w:highlight w:val="none"/>
                <w:lang w:val="en-US" w:eastAsia="zh-CN"/>
              </w:rPr>
            </w:pPr>
            <w:r>
              <w:rPr>
                <w:rFonts w:hint="default" w:ascii="Times New Roman" w:hAnsi="Times New Roman" w:cs="Times New Roman"/>
                <w:color w:val="auto"/>
                <w:highlight w:val="none"/>
                <w:lang w:val="en-US" w:eastAsia="zh-CN"/>
              </w:rPr>
              <w:t>简单分析，不设评价范围</w:t>
            </w:r>
          </w:p>
        </w:tc>
        <w:tc>
          <w:tcPr>
            <w:tcW w:w="1769" w:type="dxa"/>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eastAsia="宋" w:cs="Times New Roman"/>
                <w:color w:val="auto"/>
                <w:highlight w:val="none"/>
                <w:lang w:val="en-US" w:eastAsia="zh-CN"/>
              </w:rPr>
            </w:pPr>
            <w:r>
              <w:rPr>
                <w:rFonts w:hint="default" w:ascii="Times New Roman" w:hAnsi="Times New Roman" w:cs="Times New Roman"/>
                <w:color w:val="auto"/>
                <w:highlight w:val="none"/>
                <w:lang w:val="en-US" w:eastAsia="zh-CN"/>
              </w:rPr>
              <w:t>施工期</w:t>
            </w:r>
            <w:r>
              <w:rPr>
                <w:rFonts w:hint="eastAsia" w:cs="Times New Roman"/>
                <w:color w:val="0000FF"/>
                <w:highlight w:val="none"/>
                <w:lang w:val="en-US" w:eastAsia="zh-CN"/>
              </w:rPr>
              <w:t>、运营期</w:t>
            </w:r>
          </w:p>
        </w:tc>
      </w:tr>
    </w:tbl>
    <w:p>
      <w:pPr>
        <w:pStyle w:val="3"/>
        <w:bidi w:val="0"/>
        <w:rPr>
          <w:rFonts w:hint="default"/>
          <w:color w:val="auto"/>
          <w:highlight w:val="none"/>
        </w:rPr>
      </w:pPr>
      <w:bookmarkStart w:id="229" w:name="_Toc5907"/>
      <w:bookmarkStart w:id="230" w:name="_Toc10848"/>
      <w:bookmarkStart w:id="231" w:name="_Toc5868"/>
      <w:bookmarkStart w:id="232" w:name="_Toc12121"/>
      <w:bookmarkStart w:id="233" w:name="_Toc27330"/>
      <w:r>
        <w:rPr>
          <w:rFonts w:hint="default"/>
          <w:color w:val="auto"/>
          <w:highlight w:val="none"/>
        </w:rPr>
        <w:t>评价内容及重点</w:t>
      </w:r>
      <w:bookmarkEnd w:id="225"/>
      <w:bookmarkEnd w:id="226"/>
      <w:bookmarkEnd w:id="227"/>
      <w:bookmarkEnd w:id="228"/>
      <w:bookmarkEnd w:id="229"/>
      <w:bookmarkEnd w:id="230"/>
      <w:bookmarkEnd w:id="231"/>
      <w:bookmarkEnd w:id="232"/>
      <w:bookmarkEnd w:id="233"/>
    </w:p>
    <w:p>
      <w:pPr>
        <w:pStyle w:val="4"/>
        <w:bidi w:val="0"/>
        <w:rPr>
          <w:rFonts w:hint="default"/>
          <w:color w:val="auto"/>
          <w:highlight w:val="none"/>
        </w:rPr>
      </w:pPr>
      <w:bookmarkStart w:id="234" w:name="_Toc32031"/>
      <w:bookmarkStart w:id="235" w:name="_Toc31426"/>
      <w:bookmarkStart w:id="236" w:name="_Toc32311"/>
      <w:bookmarkStart w:id="237" w:name="_Toc23365"/>
      <w:bookmarkStart w:id="238" w:name="_Toc23916"/>
      <w:bookmarkStart w:id="239" w:name="_Toc12423"/>
      <w:bookmarkStart w:id="240" w:name="_Toc31854"/>
      <w:r>
        <w:rPr>
          <w:rFonts w:hint="default"/>
          <w:color w:val="auto"/>
          <w:highlight w:val="none"/>
        </w:rPr>
        <w:t>评价内容</w:t>
      </w:r>
      <w:bookmarkEnd w:id="234"/>
      <w:bookmarkEnd w:id="235"/>
      <w:bookmarkEnd w:id="236"/>
      <w:bookmarkEnd w:id="237"/>
      <w:bookmarkEnd w:id="238"/>
      <w:bookmarkEnd w:id="239"/>
      <w:bookmarkEnd w:id="240"/>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评价的主要内容包括工程概况、工程分析、区域环境现状、生态环境影响评价及生态保护措施、环境空气影响分析及污染防治措施、水环境影响分析及污染防治措施、声环境影响分析及污染防治措施、固体废物对环境的影响分析及污染防治措施、环境经济损益分析、环境管理与环境监测计划、结论建议等。</w:t>
      </w:r>
    </w:p>
    <w:p>
      <w:pPr>
        <w:pStyle w:val="4"/>
        <w:bidi w:val="0"/>
        <w:rPr>
          <w:rFonts w:hint="default"/>
          <w:color w:val="auto"/>
          <w:highlight w:val="none"/>
        </w:rPr>
      </w:pPr>
      <w:bookmarkStart w:id="241" w:name="_Toc21309"/>
      <w:bookmarkStart w:id="242" w:name="_Toc27550"/>
      <w:bookmarkStart w:id="243" w:name="_Toc3826"/>
      <w:bookmarkStart w:id="244" w:name="_Toc12290"/>
      <w:bookmarkStart w:id="245" w:name="_Toc5435"/>
      <w:bookmarkStart w:id="246" w:name="_Toc29503"/>
      <w:bookmarkStart w:id="247" w:name="_Toc26065"/>
      <w:r>
        <w:rPr>
          <w:rFonts w:hint="default"/>
          <w:color w:val="auto"/>
          <w:highlight w:val="none"/>
        </w:rPr>
        <w:t>评价重点</w:t>
      </w:r>
      <w:bookmarkEnd w:id="241"/>
      <w:bookmarkEnd w:id="242"/>
      <w:bookmarkEnd w:id="243"/>
      <w:bookmarkEnd w:id="244"/>
      <w:bookmarkEnd w:id="245"/>
      <w:bookmarkEnd w:id="246"/>
      <w:bookmarkEnd w:id="247"/>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根据本项目的工程特点及项目所在区域环境特征，确定本次评价重点包括</w:t>
      </w:r>
      <w:r>
        <w:rPr>
          <w:rFonts w:hint="default" w:ascii="Times New Roman" w:hAnsi="Times New Roman" w:cs="Times New Roman"/>
          <w:color w:val="auto"/>
          <w:highlight w:val="none"/>
          <w:lang w:val="en-US" w:eastAsia="zh-CN"/>
        </w:rPr>
        <w:t>以下几个方面</w:t>
      </w:r>
      <w:r>
        <w:rPr>
          <w:rFonts w:hint="default" w:ascii="Times New Roman" w:hAnsi="Times New Roman" w:cs="Times New Roman"/>
          <w:color w:val="auto"/>
          <w:highlight w:val="none"/>
        </w:rPr>
        <w:t>：</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1</w:t>
      </w:r>
      <w:r>
        <w:rPr>
          <w:rFonts w:hint="default" w:ascii="Times New Roman" w:hAnsi="Times New Roman" w:cs="Times New Roman"/>
          <w:color w:val="auto"/>
          <w:highlight w:val="none"/>
        </w:rPr>
        <w:t>）</w:t>
      </w:r>
      <w:r>
        <w:rPr>
          <w:rFonts w:hint="default"/>
          <w:color w:val="0000FF"/>
          <w:highlight w:val="none"/>
        </w:rPr>
        <w:t>项目</w:t>
      </w:r>
      <w:r>
        <w:rPr>
          <w:rFonts w:hint="eastAsia"/>
          <w:color w:val="0000FF"/>
          <w:highlight w:val="none"/>
          <w:lang w:val="en-US" w:eastAsia="zh-CN"/>
        </w:rPr>
        <w:t>涉及基本农田、生态保护红线、元谋风景名胜区金沙江景区、公益林</w:t>
      </w:r>
      <w:r>
        <w:rPr>
          <w:rFonts w:hint="default"/>
          <w:color w:val="0000FF"/>
          <w:highlight w:val="none"/>
        </w:rPr>
        <w:t>的选址可行性、合理性及影响；</w:t>
      </w:r>
    </w:p>
    <w:p>
      <w:pPr>
        <w:keepNext w:val="0"/>
        <w:keepLines w:val="0"/>
        <w:pageBreakBefore w:val="0"/>
        <w:widowControl w:val="0"/>
        <w:numPr>
          <w:ilvl w:val="0"/>
          <w:numId w:val="0"/>
        </w:numPr>
        <w:kinsoku/>
        <w:overflowPunct/>
        <w:topLinePunct w:val="0"/>
        <w:autoSpaceDE/>
        <w:autoSpaceDN/>
        <w:bidi w:val="0"/>
        <w:adjustRightInd/>
        <w:ind w:leftChars="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2</w:t>
      </w:r>
      <w:r>
        <w:rPr>
          <w:rFonts w:hint="default" w:ascii="Times New Roman" w:hAnsi="Times New Roman" w:cs="Times New Roman"/>
          <w:color w:val="auto"/>
          <w:highlight w:val="none"/>
        </w:rPr>
        <w:t>）</w:t>
      </w:r>
      <w:r>
        <w:rPr>
          <w:rFonts w:hint="default"/>
          <w:color w:val="auto"/>
          <w:highlight w:val="none"/>
        </w:rPr>
        <w:t>灌区供水对受水水库水文情势、水质的影响；农业退水对地表水的影响</w:t>
      </w:r>
      <w:r>
        <w:rPr>
          <w:rFonts w:hint="default" w:ascii="Times New Roman" w:hAnsi="Times New Roman" w:cs="Times New Roman"/>
          <w:color w:val="auto"/>
          <w:highlight w:val="none"/>
        </w:rPr>
        <w:t>；</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w:t>
      </w:r>
      <w:r>
        <w:rPr>
          <w:rFonts w:hint="eastAsia" w:cs="Times New Roman"/>
          <w:color w:val="auto"/>
          <w:highlight w:val="none"/>
          <w:lang w:val="en-US" w:eastAsia="zh-CN"/>
        </w:rPr>
        <w:t>3</w:t>
      </w:r>
      <w:r>
        <w:rPr>
          <w:rFonts w:hint="default" w:ascii="Times New Roman" w:hAnsi="Times New Roman" w:cs="Times New Roman"/>
          <w:color w:val="auto"/>
          <w:highlight w:val="none"/>
        </w:rPr>
        <w:t>）项目施工期主体工程、渣场、施工生产生活区、临时道路等建设对生态环境的影响</w:t>
      </w:r>
      <w:r>
        <w:rPr>
          <w:rFonts w:hint="eastAsia" w:cs="Times New Roman"/>
          <w:color w:val="auto"/>
          <w:highlight w:val="none"/>
          <w:lang w:val="en-US" w:eastAsia="zh-CN"/>
        </w:rPr>
        <w:t>。</w:t>
      </w:r>
    </w:p>
    <w:p>
      <w:pPr>
        <w:pStyle w:val="3"/>
        <w:bidi w:val="0"/>
        <w:rPr>
          <w:rFonts w:hint="default"/>
          <w:color w:val="auto"/>
          <w:highlight w:val="none"/>
        </w:rPr>
      </w:pPr>
      <w:bookmarkStart w:id="248" w:name="_Toc1764"/>
      <w:bookmarkStart w:id="249" w:name="_Toc24186"/>
      <w:bookmarkStart w:id="250" w:name="_Toc20481"/>
      <w:bookmarkStart w:id="251" w:name="_Toc22656"/>
      <w:bookmarkStart w:id="252" w:name="_Toc18194"/>
      <w:bookmarkStart w:id="253" w:name="_Toc13717"/>
      <w:bookmarkStart w:id="254" w:name="_Toc31632"/>
      <w:bookmarkStart w:id="255" w:name="_Toc27949"/>
      <w:bookmarkStart w:id="256" w:name="_Toc29858"/>
      <w:r>
        <w:rPr>
          <w:rFonts w:hint="default"/>
          <w:color w:val="auto"/>
          <w:highlight w:val="none"/>
        </w:rPr>
        <w:t>环境保护目标</w:t>
      </w:r>
      <w:bookmarkEnd w:id="248"/>
      <w:bookmarkEnd w:id="249"/>
      <w:bookmarkEnd w:id="250"/>
      <w:bookmarkEnd w:id="251"/>
      <w:bookmarkEnd w:id="252"/>
      <w:bookmarkEnd w:id="253"/>
      <w:bookmarkEnd w:id="254"/>
      <w:bookmarkEnd w:id="255"/>
      <w:bookmarkEnd w:id="256"/>
    </w:p>
    <w:p>
      <w:pPr>
        <w:pStyle w:val="4"/>
        <w:bidi w:val="0"/>
        <w:rPr>
          <w:rFonts w:hint="default"/>
          <w:color w:val="auto"/>
          <w:highlight w:val="none"/>
        </w:rPr>
      </w:pPr>
      <w:bookmarkStart w:id="257" w:name="_Toc21019"/>
      <w:bookmarkStart w:id="258" w:name="_Toc25641"/>
      <w:bookmarkStart w:id="259" w:name="_Toc7071"/>
      <w:bookmarkStart w:id="260" w:name="_Toc10507"/>
      <w:bookmarkStart w:id="261" w:name="_Toc19194"/>
      <w:bookmarkStart w:id="262" w:name="_Toc23849"/>
      <w:bookmarkStart w:id="263" w:name="_Toc25654"/>
      <w:bookmarkStart w:id="264" w:name="_Toc30923"/>
      <w:r>
        <w:rPr>
          <w:rFonts w:hint="eastAsia"/>
          <w:color w:val="auto"/>
          <w:highlight w:val="none"/>
          <w:lang w:val="en-US" w:eastAsia="zh-CN"/>
        </w:rPr>
        <w:t>生态</w:t>
      </w:r>
      <w:r>
        <w:rPr>
          <w:rFonts w:hint="default"/>
          <w:color w:val="auto"/>
          <w:highlight w:val="none"/>
        </w:rPr>
        <w:t>环境保护目标</w:t>
      </w:r>
      <w:bookmarkEnd w:id="257"/>
      <w:bookmarkEnd w:id="258"/>
      <w:bookmarkEnd w:id="259"/>
      <w:bookmarkEnd w:id="260"/>
      <w:bookmarkEnd w:id="261"/>
      <w:bookmarkEnd w:id="262"/>
      <w:bookmarkEnd w:id="263"/>
      <w:bookmarkEnd w:id="264"/>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工程评价范围内生态环境保护目标详见下表。</w:t>
      </w:r>
    </w:p>
    <w:p>
      <w:pPr>
        <w:pStyle w:val="40"/>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.7.</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-1  生态环境保护目标一览表</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4"/>
        <w:gridCol w:w="1005"/>
        <w:gridCol w:w="2658"/>
        <w:gridCol w:w="1072"/>
        <w:gridCol w:w="1554"/>
        <w:gridCol w:w="1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eastAsia" w:ascii="Times New Roman" w:hAnsi="Times New Roman" w:cs="Times New Roman"/>
                <w:b/>
                <w:bCs/>
                <w:color w:val="auto"/>
                <w:kern w:val="0"/>
                <w:sz w:val="21"/>
                <w:szCs w:val="21"/>
                <w:highlight w:val="none"/>
                <w:lang w:val="en-US" w:eastAsia="zh-CN"/>
              </w:rPr>
              <w:t>环境要素</w:t>
            </w:r>
          </w:p>
        </w:tc>
        <w:tc>
          <w:tcPr>
            <w:tcW w:w="5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eastAsia" w:ascii="Times New Roman" w:hAnsi="Times New Roman" w:cs="Times New Roman"/>
                <w:b/>
                <w:bCs/>
                <w:color w:val="auto"/>
                <w:kern w:val="0"/>
                <w:sz w:val="21"/>
                <w:szCs w:val="21"/>
                <w:highlight w:val="none"/>
                <w:lang w:val="en-US" w:eastAsia="zh-CN"/>
              </w:rPr>
              <w:t>保护对象概况</w:t>
            </w:r>
          </w:p>
        </w:tc>
        <w:tc>
          <w:tcPr>
            <w:tcW w:w="156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主要保护内容</w:t>
            </w:r>
          </w:p>
        </w:tc>
        <w:tc>
          <w:tcPr>
            <w:tcW w:w="62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auto"/>
                <w:kern w:val="0"/>
                <w:sz w:val="21"/>
                <w:szCs w:val="21"/>
                <w:highlight w:val="none"/>
                <w:lang w:eastAsia="zh-CN"/>
              </w:rPr>
            </w:pPr>
            <w:r>
              <w:rPr>
                <w:rFonts w:hint="eastAsia" w:ascii="Times New Roman" w:hAnsi="Times New Roman" w:cs="Times New Roman"/>
                <w:b/>
                <w:bCs/>
                <w:color w:val="auto"/>
                <w:kern w:val="0"/>
                <w:sz w:val="21"/>
                <w:szCs w:val="21"/>
                <w:highlight w:val="none"/>
                <w:lang w:val="en-US" w:eastAsia="zh-CN"/>
              </w:rPr>
              <w:t>相对位置</w:t>
            </w:r>
          </w:p>
        </w:tc>
        <w:tc>
          <w:tcPr>
            <w:tcW w:w="91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eastAsia" w:ascii="Times New Roman" w:hAnsi="Times New Roman" w:cs="Times New Roman"/>
                <w:b/>
                <w:bCs/>
                <w:color w:val="auto"/>
                <w:kern w:val="0"/>
                <w:sz w:val="21"/>
                <w:szCs w:val="21"/>
                <w:highlight w:val="none"/>
                <w:lang w:val="en-US" w:eastAsia="zh-CN"/>
              </w:rPr>
              <w:t>影响途径</w:t>
            </w:r>
          </w:p>
        </w:tc>
        <w:tc>
          <w:tcPr>
            <w:tcW w:w="92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eastAsia" w:ascii="Times New Roman" w:hAnsi="Times New Roman" w:cs="Times New Roman"/>
                <w:b/>
                <w:bCs/>
                <w:color w:val="auto"/>
                <w:kern w:val="0"/>
                <w:sz w:val="21"/>
                <w:szCs w:val="21"/>
                <w:highlight w:val="none"/>
                <w:lang w:val="en-US" w:eastAsia="zh-CN"/>
              </w:rPr>
              <w:t>保护目标及要求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9" w:hRule="atLeast"/>
        </w:trPr>
        <w:tc>
          <w:tcPr>
            <w:tcW w:w="384"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环境敏感区</w:t>
            </w:r>
          </w:p>
        </w:tc>
        <w:tc>
          <w:tcPr>
            <w:tcW w:w="5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元谋风景名胜区-金沙江景区</w:t>
            </w:r>
          </w:p>
        </w:tc>
        <w:tc>
          <w:tcPr>
            <w:tcW w:w="156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风景名胜区植被、野生动植物（包括珍稀濒危动植物）</w:t>
            </w:r>
          </w:p>
        </w:tc>
        <w:tc>
          <w:tcPr>
            <w:tcW w:w="62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Hans"/>
              </w:rPr>
            </w:pPr>
            <w:r>
              <w:rPr>
                <w:rFonts w:hint="default" w:ascii="Times New Roman" w:hAnsi="Times New Roman" w:eastAsia="宋体" w:cs="Times New Roman"/>
                <w:color w:val="auto"/>
                <w:kern w:val="0"/>
                <w:sz w:val="21"/>
                <w:szCs w:val="21"/>
                <w:highlight w:val="none"/>
                <w:lang w:val="en-US" w:eastAsia="zh-Hans"/>
              </w:rPr>
              <w:t>高位调节水池永久占地1.831hm</w:t>
            </w:r>
            <w:r>
              <w:rPr>
                <w:rFonts w:hint="default" w:ascii="Times New Roman" w:hAnsi="Times New Roman" w:eastAsia="宋体" w:cs="Times New Roman"/>
                <w:color w:val="auto"/>
                <w:kern w:val="0"/>
                <w:sz w:val="21"/>
                <w:szCs w:val="21"/>
                <w:highlight w:val="none"/>
                <w:vertAlign w:val="superscript"/>
                <w:lang w:val="en-US" w:eastAsia="zh-Hans"/>
              </w:rPr>
              <w:t>2</w:t>
            </w:r>
            <w:r>
              <w:rPr>
                <w:rFonts w:hint="default" w:ascii="Times New Roman" w:hAnsi="Times New Roman" w:eastAsia="宋体" w:cs="Times New Roman"/>
                <w:color w:val="auto"/>
                <w:kern w:val="0"/>
                <w:sz w:val="21"/>
                <w:szCs w:val="21"/>
                <w:highlight w:val="none"/>
                <w:lang w:val="en-US" w:eastAsia="zh-Hans"/>
              </w:rPr>
              <w:t>，</w:t>
            </w:r>
            <w:r>
              <w:rPr>
                <w:rFonts w:hint="eastAsia" w:cs="Times New Roman"/>
                <w:color w:val="auto"/>
                <w:kern w:val="0"/>
                <w:sz w:val="21"/>
                <w:szCs w:val="21"/>
                <w:highlight w:val="none"/>
                <w:lang w:val="en-US" w:eastAsia="zh-CN"/>
              </w:rPr>
              <w:t>北干管</w:t>
            </w:r>
            <w:r>
              <w:rPr>
                <w:rFonts w:hint="default" w:ascii="Times New Roman" w:hAnsi="Times New Roman" w:eastAsia="宋体" w:cs="Times New Roman"/>
                <w:color w:val="auto"/>
                <w:kern w:val="0"/>
                <w:sz w:val="21"/>
                <w:szCs w:val="21"/>
                <w:highlight w:val="none"/>
                <w:lang w:val="en-US" w:eastAsia="zh-Hans"/>
              </w:rPr>
              <w:t>临时占地0.98hm</w:t>
            </w:r>
            <w:r>
              <w:rPr>
                <w:rFonts w:hint="default" w:ascii="Times New Roman" w:hAnsi="Times New Roman" w:eastAsia="宋体" w:cs="Times New Roman"/>
                <w:color w:val="auto"/>
                <w:kern w:val="0"/>
                <w:sz w:val="21"/>
                <w:szCs w:val="21"/>
                <w:highlight w:val="none"/>
                <w:vertAlign w:val="superscript"/>
                <w:lang w:val="en-US" w:eastAsia="zh-Hans"/>
              </w:rPr>
              <w:t>2</w:t>
            </w:r>
            <w:r>
              <w:rPr>
                <w:rFonts w:hint="default" w:ascii="Times New Roman" w:hAnsi="Times New Roman" w:eastAsia="宋体" w:cs="Times New Roman"/>
                <w:color w:val="auto"/>
                <w:kern w:val="0"/>
                <w:sz w:val="21"/>
                <w:szCs w:val="21"/>
                <w:highlight w:val="none"/>
                <w:lang w:val="en-US" w:eastAsia="zh-Hans"/>
              </w:rPr>
              <w:t>。</w:t>
            </w:r>
          </w:p>
        </w:tc>
        <w:tc>
          <w:tcPr>
            <w:tcW w:w="91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工程占地，施工废气及噪声。</w:t>
            </w:r>
          </w:p>
        </w:tc>
        <w:tc>
          <w:tcPr>
            <w:tcW w:w="92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维护生态完整性，保护敏感目标。维护区域生物多样性，不因工程建设而造成当地物种消失和生态功能退化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3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kern w:val="0"/>
                <w:sz w:val="21"/>
                <w:szCs w:val="21"/>
                <w:highlight w:val="none"/>
                <w:lang w:val="en-US" w:eastAsia="zh-CN"/>
              </w:rPr>
            </w:pPr>
          </w:p>
        </w:tc>
        <w:tc>
          <w:tcPr>
            <w:tcW w:w="5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云南省生态保护红线</w:t>
            </w:r>
          </w:p>
        </w:tc>
        <w:tc>
          <w:tcPr>
            <w:tcW w:w="156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生态红线类型为：金沙江干热河谷及山原水土保持生态保护红线。</w:t>
            </w:r>
          </w:p>
        </w:tc>
        <w:tc>
          <w:tcPr>
            <w:tcW w:w="62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管道穿越</w:t>
            </w:r>
          </w:p>
        </w:tc>
        <w:tc>
          <w:tcPr>
            <w:tcW w:w="91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工程占地</w:t>
            </w:r>
          </w:p>
        </w:tc>
        <w:tc>
          <w:tcPr>
            <w:tcW w:w="92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维护生态保护红线内的功能不因工程建设而降低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4"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陆生生态</w:t>
            </w:r>
          </w:p>
        </w:tc>
        <w:tc>
          <w:tcPr>
            <w:tcW w:w="5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陆生植被</w:t>
            </w:r>
          </w:p>
        </w:tc>
        <w:tc>
          <w:tcPr>
            <w:tcW w:w="156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暖温性针叶林</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干热河谷灌丛</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干热性稀树灌木草丛</w:t>
            </w:r>
            <w:r>
              <w:rPr>
                <w:rFonts w:hint="eastAsia" w:ascii="Times New Roman" w:hAnsi="Times New Roman" w:cs="Times New Roman"/>
                <w:color w:val="auto"/>
                <w:sz w:val="21"/>
                <w:szCs w:val="21"/>
                <w:highlight w:val="none"/>
                <w:lang w:val="en-US" w:eastAsia="zh-CN"/>
              </w:rPr>
              <w:t>及人工植被。</w:t>
            </w:r>
          </w:p>
        </w:tc>
        <w:tc>
          <w:tcPr>
            <w:tcW w:w="629"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评价区</w:t>
            </w:r>
          </w:p>
        </w:tc>
        <w:tc>
          <w:tcPr>
            <w:tcW w:w="912"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工程施工及运行间接影响、土地利用类型变评价区域评价区化</w:t>
            </w:r>
          </w:p>
        </w:tc>
        <w:tc>
          <w:tcPr>
            <w:tcW w:w="922"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维护生态完整性，维护区域生物多样性，不因工程建设而造成当地物种消失和生态功能退化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kern w:val="0"/>
                <w:sz w:val="21"/>
                <w:szCs w:val="21"/>
                <w:highlight w:val="none"/>
                <w:lang w:val="en-US" w:eastAsia="zh-CN"/>
              </w:rPr>
            </w:pPr>
          </w:p>
        </w:tc>
        <w:tc>
          <w:tcPr>
            <w:tcW w:w="59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陆生动物</w:t>
            </w:r>
          </w:p>
        </w:tc>
        <w:tc>
          <w:tcPr>
            <w:tcW w:w="1561"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国家二级保护动物</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zh-TW" w:eastAsia="zh-TW"/>
              </w:rPr>
              <w:t>红隼</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zh-TW" w:eastAsia="zh-TW"/>
              </w:rPr>
              <w:t>黑翅鸢</w:t>
            </w:r>
          </w:p>
        </w:tc>
        <w:tc>
          <w:tcPr>
            <w:tcW w:w="629"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1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92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4"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highlight w:val="none"/>
              </w:rPr>
            </w:pPr>
            <w:r>
              <w:rPr>
                <w:rFonts w:hint="eastAsia" w:ascii="Times New Roman" w:hAnsi="Times New Roman" w:cs="Times New Roman"/>
                <w:color w:val="0000FF"/>
                <w:kern w:val="0"/>
                <w:sz w:val="21"/>
                <w:szCs w:val="21"/>
                <w:highlight w:val="none"/>
                <w:lang w:val="en-US" w:eastAsia="zh-CN"/>
              </w:rPr>
              <w:t>水生生态</w:t>
            </w:r>
          </w:p>
        </w:tc>
        <w:tc>
          <w:tcPr>
            <w:tcW w:w="1561" w:type="pct"/>
            <w:noWrap w:val="0"/>
            <w:vAlign w:val="center"/>
          </w:tcPr>
          <w:p>
            <w:pPr>
              <w:pStyle w:val="42"/>
              <w:bidi w:val="0"/>
              <w:spacing w:line="240" w:lineRule="auto"/>
              <w:rPr>
                <w:rFonts w:hint="default" w:ascii="Times New Roman" w:hAnsi="Times New Roman" w:cs="Times New Roman"/>
                <w:b w:val="0"/>
                <w:bCs w:val="0"/>
                <w:color w:val="0000FF"/>
                <w:szCs w:val="28"/>
                <w:highlight w:val="none"/>
                <w:lang w:val="en-US" w:eastAsia="zh-CN"/>
              </w:rPr>
            </w:pPr>
            <w:r>
              <w:rPr>
                <w:rFonts w:hint="eastAsia" w:ascii="Times New Roman" w:hAnsi="Times New Roman" w:cs="Times New Roman"/>
                <w:b w:val="0"/>
                <w:bCs w:val="0"/>
                <w:color w:val="0000FF"/>
                <w:szCs w:val="28"/>
                <w:highlight w:val="none"/>
                <w:lang w:val="en-US" w:eastAsia="zh-CN"/>
              </w:rPr>
              <w:t>土著鱼：</w:t>
            </w:r>
            <w:r>
              <w:rPr>
                <w:rFonts w:hint="default" w:ascii="Times New Roman" w:hAnsi="Times New Roman" w:cs="Times New Roman"/>
                <w:b w:val="0"/>
                <w:bCs w:val="0"/>
                <w:color w:val="0000FF"/>
                <w:szCs w:val="28"/>
                <w:highlight w:val="none"/>
                <w:lang w:val="en-US" w:eastAsia="zh-CN"/>
              </w:rPr>
              <w:t>棒花鱼。</w:t>
            </w:r>
          </w:p>
        </w:tc>
        <w:tc>
          <w:tcPr>
            <w:tcW w:w="629"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91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水文情势变化导致鱼类生境发生变化</w:t>
            </w:r>
          </w:p>
        </w:tc>
        <w:tc>
          <w:tcPr>
            <w:tcW w:w="922"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4" w:type="pct"/>
            <w:gridSpan w:val="2"/>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FF"/>
                <w:kern w:val="0"/>
                <w:sz w:val="21"/>
                <w:szCs w:val="21"/>
                <w:highlight w:val="none"/>
                <w:lang w:val="en-US" w:eastAsia="zh-CN"/>
              </w:rPr>
            </w:pPr>
            <w:r>
              <w:rPr>
                <w:rFonts w:hint="eastAsia" w:cs="Times New Roman"/>
                <w:color w:val="0000FF"/>
                <w:kern w:val="0"/>
                <w:sz w:val="21"/>
                <w:szCs w:val="21"/>
                <w:highlight w:val="none"/>
                <w:lang w:val="en-US" w:eastAsia="zh-CN"/>
              </w:rPr>
              <w:t>基本农田</w:t>
            </w:r>
          </w:p>
        </w:tc>
        <w:tc>
          <w:tcPr>
            <w:tcW w:w="3103" w:type="pct"/>
            <w:gridSpan w:val="3"/>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highlight w:val="none"/>
                <w:shd w:val="clear"/>
                <w:lang w:val="en-US" w:eastAsia="zh-CN"/>
              </w:rPr>
            </w:pPr>
            <w:r>
              <w:rPr>
                <w:rFonts w:hint="eastAsia" w:cs="Times New Roman"/>
                <w:color w:val="0000FF"/>
                <w:kern w:val="0"/>
                <w:sz w:val="21"/>
                <w:szCs w:val="21"/>
                <w:highlight w:val="none"/>
                <w:shd w:val="clear"/>
                <w:lang w:val="en-US" w:eastAsia="zh-CN"/>
              </w:rPr>
              <w:t>临时施工便道占用基本农田</w:t>
            </w:r>
            <w:r>
              <w:rPr>
                <w:rFonts w:hint="eastAsia"/>
                <w:color w:val="0000FF"/>
                <w:sz w:val="21"/>
                <w:szCs w:val="21"/>
                <w:highlight w:val="none"/>
                <w:lang w:val="en-US" w:eastAsia="zh-CN"/>
              </w:rPr>
              <w:t>3967.30m</w:t>
            </w:r>
            <w:r>
              <w:rPr>
                <w:rFonts w:hint="eastAsia"/>
                <w:color w:val="0000FF"/>
                <w:sz w:val="21"/>
                <w:szCs w:val="21"/>
                <w:highlight w:val="none"/>
                <w:vertAlign w:val="superscript"/>
                <w:lang w:val="en-US" w:eastAsia="zh-CN"/>
              </w:rPr>
              <w:t>2</w:t>
            </w:r>
            <w:r>
              <w:rPr>
                <w:rFonts w:hint="eastAsia"/>
                <w:color w:val="0000FF"/>
                <w:sz w:val="21"/>
                <w:szCs w:val="21"/>
                <w:highlight w:val="none"/>
                <w:vertAlign w:val="baseline"/>
                <w:lang w:val="en-US" w:eastAsia="zh-CN"/>
              </w:rPr>
              <w:t>，</w:t>
            </w:r>
            <w:r>
              <w:rPr>
                <w:rFonts w:hint="eastAsia"/>
                <w:color w:val="0000FF"/>
                <w:sz w:val="21"/>
                <w:szCs w:val="21"/>
                <w:highlight w:val="none"/>
                <w:lang w:val="en-US" w:eastAsia="zh-CN"/>
              </w:rPr>
              <w:t>管道临时占用基本农田面积为25500m</w:t>
            </w:r>
            <w:r>
              <w:rPr>
                <w:rFonts w:hint="eastAsia"/>
                <w:color w:val="0000FF"/>
                <w:sz w:val="21"/>
                <w:szCs w:val="21"/>
                <w:highlight w:val="none"/>
                <w:vertAlign w:val="superscript"/>
                <w:lang w:val="en-US" w:eastAsia="zh-CN"/>
              </w:rPr>
              <w:t>2</w:t>
            </w:r>
          </w:p>
        </w:tc>
        <w:tc>
          <w:tcPr>
            <w:tcW w:w="922" w:type="pct"/>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0000FF"/>
                <w:kern w:val="0"/>
                <w:sz w:val="21"/>
                <w:szCs w:val="21"/>
                <w:highlight w:val="none"/>
                <w:lang w:val="en-US" w:eastAsia="zh-CN"/>
              </w:rPr>
            </w:pPr>
            <w:r>
              <w:rPr>
                <w:rFonts w:hint="eastAsia" w:cs="Times New Roman"/>
                <w:color w:val="0000FF"/>
                <w:kern w:val="0"/>
                <w:sz w:val="21"/>
                <w:szCs w:val="21"/>
                <w:highlight w:val="none"/>
                <w:lang w:val="en-US" w:eastAsia="zh-CN"/>
              </w:rPr>
              <w:t>取得逐步按部门意见，施工结束后及时复耕。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74" w:type="pct"/>
            <w:gridSpan w:val="2"/>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0000FF"/>
                <w:kern w:val="0"/>
                <w:sz w:val="21"/>
                <w:szCs w:val="21"/>
                <w:highlight w:val="none"/>
                <w:lang w:val="en-US" w:eastAsia="zh-CN"/>
              </w:rPr>
            </w:pPr>
            <w:r>
              <w:rPr>
                <w:rFonts w:hint="eastAsia" w:ascii="Times New Roman" w:hAnsi="Times New Roman" w:cs="Times New Roman"/>
                <w:color w:val="0000FF"/>
                <w:kern w:val="0"/>
                <w:sz w:val="21"/>
                <w:szCs w:val="21"/>
                <w:highlight w:val="none"/>
                <w:lang w:val="en-US" w:eastAsia="zh-CN"/>
              </w:rPr>
              <w:t>公益林</w:t>
            </w:r>
          </w:p>
        </w:tc>
        <w:tc>
          <w:tcPr>
            <w:tcW w:w="3103" w:type="pct"/>
            <w:gridSpan w:val="3"/>
            <w:shd w:val="clear" w:color="auto" w:fill="auto"/>
            <w:noWrap w:val="0"/>
            <w:vAlign w:val="center"/>
          </w:tcPr>
          <w:p>
            <w:pPr>
              <w:spacing w:line="240" w:lineRule="auto"/>
              <w:ind w:left="0" w:leftChars="0" w:firstLine="0" w:firstLineChars="0"/>
              <w:rPr>
                <w:rFonts w:hint="eastAsia" w:ascii="Times New Roman" w:hAnsi="Times New Roman" w:eastAsia="宋体" w:cs="Times New Roman"/>
                <w:color w:val="0000FF"/>
                <w:kern w:val="0"/>
                <w:sz w:val="21"/>
                <w:szCs w:val="21"/>
                <w:highlight w:val="none"/>
                <w:lang w:val="en-US" w:eastAsia="zh-CN"/>
              </w:rPr>
            </w:pPr>
            <w:r>
              <w:rPr>
                <w:rFonts w:hint="eastAsia"/>
                <w:color w:val="0000FF"/>
                <w:sz w:val="21"/>
                <w:szCs w:val="21"/>
                <w:lang w:val="en-US" w:eastAsia="zh-CN"/>
              </w:rPr>
              <w:t>北干管羊腊席至火焰山段、金马分干管接近沙沟箐段占用省二级公益林5.7437hm</w:t>
            </w:r>
            <w:r>
              <w:rPr>
                <w:rFonts w:hint="eastAsia"/>
                <w:color w:val="0000FF"/>
                <w:sz w:val="21"/>
                <w:szCs w:val="21"/>
                <w:vertAlign w:val="superscript"/>
                <w:lang w:val="en-US" w:eastAsia="zh-CN"/>
              </w:rPr>
              <w:t>2</w:t>
            </w:r>
            <w:r>
              <w:rPr>
                <w:rFonts w:hint="eastAsia"/>
                <w:color w:val="0000FF"/>
                <w:sz w:val="21"/>
                <w:szCs w:val="21"/>
                <w:lang w:val="en-US" w:eastAsia="zh-CN"/>
              </w:rPr>
              <w:t>；金马分干管干海梁子~金马村沿路部分管段占用国家二级公益林0.8939hm</w:t>
            </w:r>
            <w:r>
              <w:rPr>
                <w:rFonts w:hint="eastAsia"/>
                <w:color w:val="0000FF"/>
                <w:sz w:val="21"/>
                <w:szCs w:val="21"/>
                <w:vertAlign w:val="superscript"/>
                <w:lang w:val="en-US" w:eastAsia="zh-CN"/>
              </w:rPr>
              <w:t>2</w:t>
            </w:r>
            <w:r>
              <w:rPr>
                <w:rFonts w:hint="eastAsia"/>
                <w:color w:val="0000FF"/>
                <w:sz w:val="21"/>
                <w:szCs w:val="21"/>
                <w:vertAlign w:val="baseline"/>
                <w:lang w:val="en-US" w:eastAsia="zh-CN"/>
              </w:rPr>
              <w:t>。</w:t>
            </w:r>
          </w:p>
        </w:tc>
        <w:tc>
          <w:tcPr>
            <w:tcW w:w="922" w:type="pct"/>
            <w:shd w:val="clear" w:color="auto" w:fill="auto"/>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0000FF"/>
                <w:kern w:val="0"/>
                <w:sz w:val="21"/>
                <w:szCs w:val="21"/>
                <w:highlight w:val="none"/>
                <w:lang w:val="en-US" w:eastAsia="zh-CN"/>
              </w:rPr>
            </w:pPr>
            <w:r>
              <w:rPr>
                <w:rFonts w:hint="eastAsia" w:ascii="Times New Roman" w:hAnsi="Times New Roman" w:eastAsia="宋体" w:cs="Times New Roman"/>
                <w:color w:val="0000FF"/>
                <w:kern w:val="0"/>
                <w:sz w:val="21"/>
                <w:szCs w:val="21"/>
                <w:highlight w:val="none"/>
                <w:lang w:val="en-US" w:eastAsia="zh-CN"/>
              </w:rPr>
              <w:t>依法办理</w:t>
            </w:r>
            <w:r>
              <w:rPr>
                <w:rFonts w:hint="eastAsia" w:cs="Times New Roman"/>
                <w:color w:val="0000FF"/>
                <w:kern w:val="0"/>
                <w:sz w:val="21"/>
                <w:szCs w:val="21"/>
                <w:highlight w:val="none"/>
                <w:lang w:val="en-US" w:eastAsia="zh-CN"/>
              </w:rPr>
              <w:t>林地</w:t>
            </w:r>
            <w:r>
              <w:rPr>
                <w:rFonts w:hint="eastAsia" w:ascii="Times New Roman" w:hAnsi="Times New Roman" w:eastAsia="宋体" w:cs="Times New Roman"/>
                <w:color w:val="0000FF"/>
                <w:kern w:val="0"/>
                <w:sz w:val="21"/>
                <w:szCs w:val="21"/>
                <w:highlight w:val="none"/>
                <w:lang w:val="en-US" w:eastAsia="zh-CN"/>
              </w:rPr>
              <w:t>审批手续</w:t>
            </w:r>
          </w:p>
        </w:tc>
      </w:tr>
    </w:tbl>
    <w:p>
      <w:pPr>
        <w:pStyle w:val="4"/>
        <w:bidi w:val="0"/>
        <w:rPr>
          <w:rFonts w:hint="default"/>
          <w:color w:val="auto"/>
        </w:rPr>
      </w:pPr>
      <w:bookmarkStart w:id="265" w:name="_Toc6602"/>
      <w:bookmarkStart w:id="266" w:name="_Toc3060"/>
      <w:bookmarkStart w:id="267" w:name="_Toc163"/>
      <w:bookmarkStart w:id="268" w:name="_Toc21701"/>
      <w:bookmarkStart w:id="269" w:name="_Toc5587"/>
      <w:bookmarkStart w:id="270" w:name="_Toc1092"/>
      <w:bookmarkStart w:id="271" w:name="_Toc899"/>
      <w:bookmarkStart w:id="272" w:name="_Toc25950"/>
      <w:r>
        <w:rPr>
          <w:rFonts w:hint="default"/>
          <w:color w:val="auto"/>
        </w:rPr>
        <w:t>水环境保护目标</w:t>
      </w:r>
      <w:bookmarkEnd w:id="265"/>
      <w:bookmarkEnd w:id="266"/>
      <w:bookmarkEnd w:id="267"/>
      <w:bookmarkEnd w:id="268"/>
      <w:bookmarkEnd w:id="269"/>
      <w:bookmarkEnd w:id="270"/>
      <w:bookmarkEnd w:id="271"/>
      <w:bookmarkEnd w:id="272"/>
    </w:p>
    <w:p>
      <w:pPr>
        <w:pStyle w:val="43"/>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项目地表水环境保护目标详见表</w:t>
      </w:r>
      <w:r>
        <w:rPr>
          <w:rFonts w:hint="eastAsia" w:cs="Times New Roman"/>
          <w:color w:val="auto"/>
          <w:highlight w:val="none"/>
          <w:lang w:val="en-US" w:eastAsia="zh-CN"/>
        </w:rPr>
        <w:t>1</w:t>
      </w:r>
      <w:r>
        <w:rPr>
          <w:rFonts w:hint="default" w:ascii="Times New Roman" w:hAnsi="Times New Roman" w:cs="Times New Roman"/>
          <w:color w:val="auto"/>
          <w:highlight w:val="none"/>
        </w:rPr>
        <w:t>.7</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p>
    <w:p>
      <w:pPr>
        <w:pStyle w:val="4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cs="Times New Roman"/>
          <w:color w:val="auto"/>
          <w:highlight w:val="none"/>
          <w:lang w:val="en-US" w:eastAsia="zh-CN"/>
        </w:rPr>
        <w:t>1</w:t>
      </w:r>
      <w:r>
        <w:rPr>
          <w:rFonts w:hint="default" w:ascii="Times New Roman" w:hAnsi="Times New Roman" w:cs="Times New Roman"/>
          <w:color w:val="auto"/>
          <w:highlight w:val="none"/>
        </w:rPr>
        <w:t>.7</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 xml:space="preserve">  项目地表水环境保护目标一览表</w:t>
      </w:r>
    </w:p>
    <w:tbl>
      <w:tblPr>
        <w:tblStyle w:val="30"/>
        <w:tblW w:w="84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1"/>
        <w:gridCol w:w="1744"/>
        <w:gridCol w:w="1850"/>
        <w:gridCol w:w="2152"/>
        <w:gridCol w:w="1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051" w:type="dxa"/>
            <w:vAlign w:val="center"/>
          </w:tcPr>
          <w:p>
            <w:pPr>
              <w:pStyle w:val="42"/>
              <w:bidi w:val="0"/>
              <w:rPr>
                <w:rFonts w:hint="eastAsia"/>
                <w:b/>
                <w:bCs/>
                <w:color w:val="auto"/>
                <w:highlight w:val="none"/>
                <w:lang w:eastAsia="zh-CN"/>
              </w:rPr>
            </w:pPr>
            <w:r>
              <w:rPr>
                <w:rFonts w:hint="eastAsia"/>
                <w:b/>
                <w:bCs/>
                <w:color w:val="auto"/>
                <w:highlight w:val="none"/>
                <w:lang w:eastAsia="zh-CN"/>
              </w:rPr>
              <w:t>类别</w:t>
            </w:r>
          </w:p>
        </w:tc>
        <w:tc>
          <w:tcPr>
            <w:tcW w:w="1744" w:type="dxa"/>
            <w:vAlign w:val="center"/>
          </w:tcPr>
          <w:p>
            <w:pPr>
              <w:pStyle w:val="42"/>
              <w:bidi w:val="0"/>
              <w:rPr>
                <w:rFonts w:hint="eastAsia"/>
                <w:b/>
                <w:bCs/>
                <w:color w:val="auto"/>
                <w:highlight w:val="none"/>
                <w:lang w:eastAsia="zh-CN"/>
              </w:rPr>
            </w:pPr>
            <w:r>
              <w:rPr>
                <w:rFonts w:hint="eastAsia"/>
                <w:b/>
                <w:bCs/>
                <w:color w:val="auto"/>
                <w:highlight w:val="none"/>
                <w:lang w:eastAsia="zh-CN"/>
              </w:rPr>
              <w:t>名称</w:t>
            </w:r>
          </w:p>
        </w:tc>
        <w:tc>
          <w:tcPr>
            <w:tcW w:w="1850" w:type="dxa"/>
            <w:vAlign w:val="center"/>
          </w:tcPr>
          <w:p>
            <w:pPr>
              <w:pStyle w:val="42"/>
              <w:bidi w:val="0"/>
              <w:rPr>
                <w:rFonts w:hint="eastAsia"/>
                <w:b/>
                <w:bCs/>
                <w:color w:val="auto"/>
                <w:highlight w:val="none"/>
                <w:lang w:eastAsia="zh-CN"/>
              </w:rPr>
            </w:pPr>
            <w:r>
              <w:rPr>
                <w:rFonts w:hint="eastAsia"/>
                <w:b/>
                <w:bCs/>
                <w:color w:val="auto"/>
                <w:highlight w:val="none"/>
                <w:lang w:eastAsia="zh-CN"/>
              </w:rPr>
              <w:t>特征</w:t>
            </w:r>
          </w:p>
        </w:tc>
        <w:tc>
          <w:tcPr>
            <w:tcW w:w="2152" w:type="dxa"/>
            <w:vAlign w:val="center"/>
          </w:tcPr>
          <w:p>
            <w:pPr>
              <w:pStyle w:val="42"/>
              <w:bidi w:val="0"/>
              <w:rPr>
                <w:rFonts w:hint="eastAsia"/>
                <w:b/>
                <w:bCs/>
                <w:color w:val="auto"/>
                <w:highlight w:val="none"/>
                <w:lang w:eastAsia="zh-CN"/>
              </w:rPr>
            </w:pPr>
            <w:r>
              <w:rPr>
                <w:rFonts w:hint="eastAsia"/>
                <w:b/>
                <w:bCs/>
                <w:color w:val="auto"/>
                <w:highlight w:val="none"/>
                <w:lang w:eastAsia="zh-CN"/>
              </w:rPr>
              <w:t>影响方式和途径</w:t>
            </w:r>
          </w:p>
        </w:tc>
        <w:tc>
          <w:tcPr>
            <w:tcW w:w="1700" w:type="dxa"/>
            <w:vAlign w:val="center"/>
          </w:tcPr>
          <w:p>
            <w:pPr>
              <w:pStyle w:val="42"/>
              <w:bidi w:val="0"/>
              <w:rPr>
                <w:rFonts w:hint="eastAsia" w:eastAsia="宋"/>
                <w:b/>
                <w:bCs/>
                <w:color w:val="auto"/>
                <w:highlight w:val="none"/>
                <w:lang w:eastAsia="zh-CN"/>
              </w:rPr>
            </w:pPr>
            <w:r>
              <w:rPr>
                <w:rFonts w:hint="eastAsia"/>
                <w:b/>
                <w:bCs/>
                <w:color w:val="auto"/>
                <w:highlight w:val="none"/>
                <w:lang w:eastAsia="zh-CN"/>
              </w:rPr>
              <w:t>环境功能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1051" w:type="dxa"/>
            <w:vMerge w:val="restart"/>
            <w:vAlign w:val="center"/>
          </w:tcPr>
          <w:p>
            <w:pPr>
              <w:pStyle w:val="42"/>
              <w:bidi w:val="0"/>
              <w:rPr>
                <w:rFonts w:hint="eastAsia" w:eastAsia="宋"/>
                <w:color w:val="auto"/>
                <w:highlight w:val="none"/>
                <w:lang w:eastAsia="zh-CN"/>
              </w:rPr>
            </w:pPr>
            <w:r>
              <w:rPr>
                <w:rFonts w:hint="eastAsia"/>
                <w:color w:val="auto"/>
                <w:highlight w:val="none"/>
                <w:lang w:eastAsia="zh-CN"/>
              </w:rPr>
              <w:t>地表水</w:t>
            </w:r>
          </w:p>
        </w:tc>
        <w:tc>
          <w:tcPr>
            <w:tcW w:w="1744" w:type="dxa"/>
            <w:vAlign w:val="center"/>
          </w:tcPr>
          <w:p>
            <w:pPr>
              <w:pStyle w:val="42"/>
              <w:bidi w:val="0"/>
              <w:rPr>
                <w:rFonts w:hint="default"/>
                <w:color w:val="auto"/>
                <w:highlight w:val="none"/>
              </w:rPr>
            </w:pPr>
            <w:r>
              <w:rPr>
                <w:rFonts w:hint="default"/>
                <w:color w:val="auto"/>
                <w:highlight w:val="none"/>
              </w:rPr>
              <w:t>沙沟箐</w:t>
            </w:r>
          </w:p>
        </w:tc>
        <w:tc>
          <w:tcPr>
            <w:tcW w:w="1850" w:type="dxa"/>
            <w:vAlign w:val="center"/>
          </w:tcPr>
          <w:p>
            <w:pPr>
              <w:pStyle w:val="42"/>
              <w:bidi w:val="0"/>
              <w:rPr>
                <w:rFonts w:hint="default"/>
                <w:color w:val="auto"/>
                <w:highlight w:val="none"/>
              </w:rPr>
            </w:pPr>
            <w:r>
              <w:rPr>
                <w:rFonts w:hint="default"/>
                <w:color w:val="auto"/>
                <w:highlight w:val="none"/>
              </w:rPr>
              <w:t>金沙江支流，灌溉</w:t>
            </w:r>
          </w:p>
        </w:tc>
        <w:tc>
          <w:tcPr>
            <w:tcW w:w="2152" w:type="dxa"/>
            <w:vAlign w:val="center"/>
          </w:tcPr>
          <w:p>
            <w:pPr>
              <w:pStyle w:val="42"/>
              <w:bidi w:val="0"/>
              <w:rPr>
                <w:rFonts w:hint="default"/>
                <w:color w:val="auto"/>
                <w:highlight w:val="none"/>
              </w:rPr>
            </w:pPr>
            <w:r>
              <w:rPr>
                <w:rFonts w:hint="default"/>
                <w:color w:val="auto"/>
                <w:highlight w:val="none"/>
              </w:rPr>
              <w:t>灌溉退水</w:t>
            </w:r>
          </w:p>
        </w:tc>
        <w:tc>
          <w:tcPr>
            <w:tcW w:w="1700" w:type="dxa"/>
            <w:vMerge w:val="restart"/>
            <w:vAlign w:val="center"/>
          </w:tcPr>
          <w:p>
            <w:pPr>
              <w:pStyle w:val="42"/>
              <w:bidi w:val="0"/>
              <w:rPr>
                <w:rFonts w:hint="default"/>
                <w:color w:val="auto"/>
                <w:highlight w:val="none"/>
              </w:rPr>
            </w:pPr>
            <w:r>
              <w:rPr>
                <w:rFonts w:hint="default"/>
                <w:color w:val="auto"/>
                <w:highlight w:val="none"/>
              </w:rPr>
              <w:t>GB3838-2002《地表水环</w:t>
            </w:r>
          </w:p>
          <w:p>
            <w:pPr>
              <w:pStyle w:val="42"/>
              <w:bidi w:val="0"/>
              <w:rPr>
                <w:rFonts w:hint="default"/>
                <w:color w:val="auto"/>
                <w:highlight w:val="none"/>
              </w:rPr>
            </w:pPr>
            <w:r>
              <w:rPr>
                <w:rFonts w:hint="default"/>
                <w:color w:val="auto"/>
                <w:highlight w:val="none"/>
              </w:rPr>
              <w:t>境质量标准》</w:t>
            </w:r>
            <w:r>
              <w:rPr>
                <w:rFonts w:hint="eastAsia" w:ascii="宋体" w:hAnsi="宋体" w:eastAsia="宋体" w:cs="宋体"/>
                <w:color w:val="auto"/>
                <w:highlight w:val="none"/>
              </w:rPr>
              <w:t>Ⅱ</w:t>
            </w:r>
            <w:r>
              <w:rPr>
                <w:rFonts w:hint="default"/>
                <w:color w:val="auto"/>
                <w:highlight w:val="none"/>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1051" w:type="dxa"/>
            <w:vMerge w:val="continue"/>
            <w:vAlign w:val="center"/>
          </w:tcPr>
          <w:p>
            <w:pPr>
              <w:pStyle w:val="42"/>
              <w:bidi w:val="0"/>
              <w:rPr>
                <w:rFonts w:hint="default"/>
                <w:color w:val="auto"/>
                <w:highlight w:val="none"/>
              </w:rPr>
            </w:pPr>
          </w:p>
        </w:tc>
        <w:tc>
          <w:tcPr>
            <w:tcW w:w="1744" w:type="dxa"/>
            <w:vAlign w:val="center"/>
          </w:tcPr>
          <w:p>
            <w:pPr>
              <w:pStyle w:val="42"/>
              <w:bidi w:val="0"/>
              <w:rPr>
                <w:rFonts w:hint="eastAsia" w:eastAsia="宋"/>
                <w:color w:val="auto"/>
                <w:highlight w:val="none"/>
                <w:lang w:eastAsia="zh-CN"/>
              </w:rPr>
            </w:pPr>
            <w:r>
              <w:rPr>
                <w:rFonts w:hint="eastAsia"/>
                <w:color w:val="auto"/>
                <w:highlight w:val="none"/>
                <w:lang w:eastAsia="zh-CN"/>
              </w:rPr>
              <w:t>姜驿河</w:t>
            </w:r>
          </w:p>
        </w:tc>
        <w:tc>
          <w:tcPr>
            <w:tcW w:w="1850" w:type="dxa"/>
            <w:vAlign w:val="center"/>
          </w:tcPr>
          <w:p>
            <w:pPr>
              <w:pStyle w:val="42"/>
              <w:bidi w:val="0"/>
              <w:rPr>
                <w:rFonts w:hint="default"/>
                <w:color w:val="auto"/>
                <w:highlight w:val="none"/>
              </w:rPr>
            </w:pPr>
            <w:r>
              <w:rPr>
                <w:rFonts w:hint="default"/>
                <w:color w:val="auto"/>
                <w:highlight w:val="none"/>
              </w:rPr>
              <w:t>金沙江支流，灌溉</w:t>
            </w:r>
          </w:p>
        </w:tc>
        <w:tc>
          <w:tcPr>
            <w:tcW w:w="2152" w:type="dxa"/>
            <w:vAlign w:val="center"/>
          </w:tcPr>
          <w:p>
            <w:pPr>
              <w:pStyle w:val="42"/>
              <w:bidi w:val="0"/>
              <w:rPr>
                <w:rFonts w:hint="default"/>
                <w:color w:val="auto"/>
                <w:highlight w:val="none"/>
              </w:rPr>
            </w:pPr>
            <w:r>
              <w:rPr>
                <w:rFonts w:hint="default"/>
                <w:color w:val="auto"/>
                <w:highlight w:val="none"/>
              </w:rPr>
              <w:t>灌溉退水</w:t>
            </w:r>
          </w:p>
        </w:tc>
        <w:tc>
          <w:tcPr>
            <w:tcW w:w="1700" w:type="dxa"/>
            <w:vMerge w:val="continue"/>
            <w:vAlign w:val="center"/>
          </w:tcPr>
          <w:p>
            <w:pPr>
              <w:pStyle w:val="42"/>
              <w:bidi w:val="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1051" w:type="dxa"/>
            <w:vMerge w:val="continue"/>
            <w:vAlign w:val="center"/>
          </w:tcPr>
          <w:p>
            <w:pPr>
              <w:pStyle w:val="42"/>
              <w:bidi w:val="0"/>
              <w:rPr>
                <w:rFonts w:hint="default"/>
                <w:color w:val="auto"/>
                <w:highlight w:val="none"/>
              </w:rPr>
            </w:pPr>
          </w:p>
        </w:tc>
        <w:tc>
          <w:tcPr>
            <w:tcW w:w="1744"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界牌箐水库</w:t>
            </w:r>
          </w:p>
        </w:tc>
        <w:tc>
          <w:tcPr>
            <w:tcW w:w="1850" w:type="dxa"/>
            <w:vMerge w:val="restart"/>
            <w:vAlign w:val="center"/>
          </w:tcPr>
          <w:p>
            <w:pPr>
              <w:pStyle w:val="42"/>
              <w:bidi w:val="0"/>
              <w:rPr>
                <w:rFonts w:hint="default"/>
                <w:color w:val="auto"/>
                <w:highlight w:val="none"/>
              </w:rPr>
            </w:pPr>
            <w:r>
              <w:rPr>
                <w:rFonts w:hint="default"/>
                <w:color w:val="auto"/>
                <w:highlight w:val="none"/>
              </w:rPr>
              <w:t>受水水库，主要功能灌溉</w:t>
            </w:r>
          </w:p>
        </w:tc>
        <w:tc>
          <w:tcPr>
            <w:tcW w:w="2152" w:type="dxa"/>
            <w:vMerge w:val="restart"/>
            <w:vAlign w:val="center"/>
          </w:tcPr>
          <w:p>
            <w:pPr>
              <w:pStyle w:val="42"/>
              <w:bidi w:val="0"/>
              <w:rPr>
                <w:rFonts w:hint="default"/>
                <w:color w:val="auto"/>
                <w:highlight w:val="none"/>
              </w:rPr>
            </w:pPr>
            <w:r>
              <w:rPr>
                <w:rFonts w:hint="default"/>
                <w:color w:val="auto"/>
                <w:highlight w:val="none"/>
              </w:rPr>
              <w:t>工程补水</w:t>
            </w:r>
          </w:p>
        </w:tc>
        <w:tc>
          <w:tcPr>
            <w:tcW w:w="1700" w:type="dxa"/>
            <w:vMerge w:val="restart"/>
            <w:vAlign w:val="center"/>
          </w:tcPr>
          <w:p>
            <w:pPr>
              <w:pStyle w:val="42"/>
              <w:bidi w:val="0"/>
              <w:rPr>
                <w:rFonts w:hint="default"/>
                <w:color w:val="auto"/>
                <w:highlight w:val="none"/>
              </w:rPr>
            </w:pPr>
            <w:r>
              <w:rPr>
                <w:rFonts w:hint="default"/>
                <w:color w:val="auto"/>
                <w:highlight w:val="none"/>
              </w:rPr>
              <w:t>GB3838-2002《地表水环</w:t>
            </w:r>
          </w:p>
          <w:p>
            <w:pPr>
              <w:pStyle w:val="42"/>
              <w:bidi w:val="0"/>
              <w:rPr>
                <w:rFonts w:hint="default"/>
                <w:color w:val="auto"/>
                <w:highlight w:val="none"/>
              </w:rPr>
            </w:pPr>
            <w:r>
              <w:rPr>
                <w:rFonts w:hint="default"/>
                <w:color w:val="auto"/>
                <w:highlight w:val="none"/>
              </w:rPr>
              <w:t>境质量标准》Ⅲ类标准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1051" w:type="dxa"/>
            <w:vMerge w:val="continue"/>
            <w:vAlign w:val="center"/>
          </w:tcPr>
          <w:p>
            <w:pPr>
              <w:pStyle w:val="42"/>
              <w:bidi w:val="0"/>
              <w:rPr>
                <w:rFonts w:hint="default"/>
                <w:color w:val="auto"/>
                <w:highlight w:val="none"/>
              </w:rPr>
            </w:pPr>
          </w:p>
        </w:tc>
        <w:tc>
          <w:tcPr>
            <w:tcW w:w="1744" w:type="dxa"/>
            <w:vAlign w:val="center"/>
          </w:tcPr>
          <w:p>
            <w:pPr>
              <w:pStyle w:val="42"/>
              <w:bidi w:val="0"/>
              <w:rPr>
                <w:rFonts w:hint="eastAsia" w:eastAsia="宋"/>
                <w:color w:val="auto"/>
                <w:highlight w:val="none"/>
                <w:lang w:eastAsia="zh-CN"/>
              </w:rPr>
            </w:pPr>
            <w:r>
              <w:rPr>
                <w:rFonts w:hint="eastAsia"/>
                <w:color w:val="auto"/>
                <w:highlight w:val="none"/>
                <w:lang w:eastAsia="zh-CN"/>
              </w:rPr>
              <w:t>水平石水库</w:t>
            </w:r>
          </w:p>
        </w:tc>
        <w:tc>
          <w:tcPr>
            <w:tcW w:w="1850" w:type="dxa"/>
            <w:vMerge w:val="continue"/>
            <w:vAlign w:val="center"/>
          </w:tcPr>
          <w:p>
            <w:pPr>
              <w:pStyle w:val="42"/>
              <w:bidi w:val="0"/>
              <w:rPr>
                <w:rFonts w:hint="default"/>
                <w:color w:val="auto"/>
                <w:highlight w:val="none"/>
              </w:rPr>
            </w:pPr>
          </w:p>
        </w:tc>
        <w:tc>
          <w:tcPr>
            <w:tcW w:w="2152" w:type="dxa"/>
            <w:vMerge w:val="continue"/>
            <w:vAlign w:val="center"/>
          </w:tcPr>
          <w:p>
            <w:pPr>
              <w:pStyle w:val="42"/>
              <w:bidi w:val="0"/>
              <w:rPr>
                <w:rFonts w:hint="default"/>
                <w:color w:val="auto"/>
                <w:highlight w:val="none"/>
              </w:rPr>
            </w:pPr>
          </w:p>
        </w:tc>
        <w:tc>
          <w:tcPr>
            <w:tcW w:w="1700" w:type="dxa"/>
            <w:vMerge w:val="continue"/>
            <w:vAlign w:val="center"/>
          </w:tcPr>
          <w:p>
            <w:pPr>
              <w:pStyle w:val="42"/>
              <w:bidi w:val="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1051" w:type="dxa"/>
            <w:vMerge w:val="continue"/>
            <w:vAlign w:val="center"/>
          </w:tcPr>
          <w:p>
            <w:pPr>
              <w:pStyle w:val="42"/>
              <w:bidi w:val="0"/>
              <w:rPr>
                <w:rFonts w:hint="default"/>
                <w:color w:val="auto"/>
                <w:highlight w:val="none"/>
              </w:rPr>
            </w:pPr>
            <w:bookmarkStart w:id="273" w:name="_Toc24448"/>
            <w:bookmarkStart w:id="274" w:name="_Toc12049"/>
            <w:bookmarkStart w:id="275" w:name="_Toc5096"/>
            <w:bookmarkStart w:id="276" w:name="_Toc17206"/>
            <w:bookmarkStart w:id="277" w:name="_Toc16753"/>
            <w:bookmarkStart w:id="278" w:name="_Toc30475"/>
            <w:bookmarkStart w:id="279" w:name="_Toc16772"/>
            <w:bookmarkStart w:id="280" w:name="_Toc12056"/>
          </w:p>
        </w:tc>
        <w:tc>
          <w:tcPr>
            <w:tcW w:w="1744" w:type="dxa"/>
            <w:vAlign w:val="center"/>
          </w:tcPr>
          <w:p>
            <w:pPr>
              <w:pStyle w:val="42"/>
              <w:bidi w:val="0"/>
              <w:rPr>
                <w:rFonts w:hint="default"/>
                <w:color w:val="0000FF"/>
                <w:highlight w:val="none"/>
                <w:lang w:val="en-US" w:eastAsia="zh-CN"/>
              </w:rPr>
            </w:pPr>
            <w:r>
              <w:rPr>
                <w:rFonts w:hint="eastAsia"/>
                <w:color w:val="0000FF"/>
                <w:highlight w:val="none"/>
                <w:lang w:val="en-US" w:eastAsia="zh-CN"/>
              </w:rPr>
              <w:t>姜中水库</w:t>
            </w:r>
          </w:p>
        </w:tc>
        <w:tc>
          <w:tcPr>
            <w:tcW w:w="1850" w:type="dxa"/>
            <w:vMerge w:val="continue"/>
            <w:vAlign w:val="center"/>
          </w:tcPr>
          <w:p>
            <w:pPr>
              <w:pStyle w:val="42"/>
              <w:bidi w:val="0"/>
              <w:rPr>
                <w:rFonts w:hint="default"/>
                <w:color w:val="auto"/>
                <w:highlight w:val="none"/>
              </w:rPr>
            </w:pPr>
          </w:p>
        </w:tc>
        <w:tc>
          <w:tcPr>
            <w:tcW w:w="2152" w:type="dxa"/>
            <w:vMerge w:val="continue"/>
            <w:vAlign w:val="center"/>
          </w:tcPr>
          <w:p>
            <w:pPr>
              <w:pStyle w:val="42"/>
              <w:bidi w:val="0"/>
              <w:rPr>
                <w:rFonts w:hint="default"/>
                <w:color w:val="auto"/>
                <w:highlight w:val="none"/>
              </w:rPr>
            </w:pPr>
          </w:p>
        </w:tc>
        <w:tc>
          <w:tcPr>
            <w:tcW w:w="1700" w:type="dxa"/>
            <w:vMerge w:val="continue"/>
            <w:vAlign w:val="center"/>
          </w:tcPr>
          <w:p>
            <w:pPr>
              <w:pStyle w:val="42"/>
              <w:bidi w:val="0"/>
              <w:rPr>
                <w:rFonts w:hint="default"/>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1051" w:type="dxa"/>
            <w:vMerge w:val="continue"/>
            <w:vAlign w:val="center"/>
          </w:tcPr>
          <w:p>
            <w:pPr>
              <w:pStyle w:val="42"/>
              <w:bidi w:val="0"/>
              <w:rPr>
                <w:rFonts w:hint="default"/>
                <w:color w:val="auto"/>
                <w:highlight w:val="none"/>
              </w:rPr>
            </w:pPr>
          </w:p>
        </w:tc>
        <w:tc>
          <w:tcPr>
            <w:tcW w:w="1744" w:type="dxa"/>
            <w:vAlign w:val="center"/>
          </w:tcPr>
          <w:p>
            <w:pPr>
              <w:pStyle w:val="42"/>
              <w:bidi w:val="0"/>
              <w:rPr>
                <w:rFonts w:hint="default"/>
                <w:color w:val="0000FF"/>
                <w:highlight w:val="none"/>
                <w:lang w:val="en-US" w:eastAsia="zh-CN"/>
              </w:rPr>
            </w:pPr>
            <w:r>
              <w:rPr>
                <w:rFonts w:hint="eastAsia"/>
                <w:color w:val="0000FF"/>
                <w:highlight w:val="none"/>
                <w:lang w:val="en-US" w:eastAsia="zh-CN"/>
              </w:rPr>
              <w:t>李官坟水库</w:t>
            </w:r>
          </w:p>
        </w:tc>
        <w:tc>
          <w:tcPr>
            <w:tcW w:w="1850" w:type="dxa"/>
            <w:vMerge w:val="continue"/>
            <w:vAlign w:val="center"/>
          </w:tcPr>
          <w:p>
            <w:pPr>
              <w:pStyle w:val="42"/>
              <w:bidi w:val="0"/>
              <w:rPr>
                <w:rFonts w:hint="default"/>
                <w:color w:val="auto"/>
                <w:highlight w:val="none"/>
              </w:rPr>
            </w:pPr>
          </w:p>
        </w:tc>
        <w:tc>
          <w:tcPr>
            <w:tcW w:w="2152" w:type="dxa"/>
            <w:vMerge w:val="continue"/>
            <w:vAlign w:val="center"/>
          </w:tcPr>
          <w:p>
            <w:pPr>
              <w:pStyle w:val="42"/>
              <w:bidi w:val="0"/>
              <w:rPr>
                <w:rFonts w:hint="default"/>
                <w:color w:val="auto"/>
                <w:highlight w:val="none"/>
              </w:rPr>
            </w:pPr>
          </w:p>
        </w:tc>
        <w:tc>
          <w:tcPr>
            <w:tcW w:w="1700" w:type="dxa"/>
            <w:vMerge w:val="continue"/>
            <w:vAlign w:val="center"/>
          </w:tcPr>
          <w:p>
            <w:pPr>
              <w:pStyle w:val="42"/>
              <w:bidi w:val="0"/>
              <w:rPr>
                <w:rFonts w:hint="default"/>
                <w:color w:val="auto"/>
                <w:highlight w:val="none"/>
              </w:rPr>
            </w:pPr>
          </w:p>
        </w:tc>
      </w:tr>
    </w:tbl>
    <w:p>
      <w:pPr>
        <w:pStyle w:val="4"/>
        <w:bidi w:val="0"/>
        <w:rPr>
          <w:rFonts w:hint="default"/>
          <w:color w:val="auto"/>
          <w:lang w:val="en-US" w:eastAsia="zh-CN"/>
        </w:rPr>
      </w:pPr>
      <w:r>
        <w:rPr>
          <w:rFonts w:hint="default"/>
          <w:color w:val="auto"/>
          <w:lang w:val="en-US" w:eastAsia="zh-CN"/>
        </w:rPr>
        <w:t>声环境保护目标</w:t>
      </w:r>
      <w:bookmarkEnd w:id="273"/>
      <w:bookmarkEnd w:id="274"/>
      <w:bookmarkEnd w:id="275"/>
      <w:bookmarkEnd w:id="276"/>
      <w:bookmarkEnd w:id="277"/>
      <w:r>
        <w:rPr>
          <w:rFonts w:hint="eastAsia"/>
          <w:color w:val="auto"/>
          <w:lang w:val="en-US" w:eastAsia="zh-CN"/>
        </w:rPr>
        <w:t>和大气环境保护目标</w:t>
      </w:r>
      <w:bookmarkEnd w:id="278"/>
      <w:bookmarkEnd w:id="279"/>
      <w:bookmarkEnd w:id="280"/>
    </w:p>
    <w:p>
      <w:pPr>
        <w:ind w:firstLine="480" w:firstLineChars="20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项目对大气、声环境的影响主要为施工期</w:t>
      </w:r>
      <w:r>
        <w:rPr>
          <w:rFonts w:hint="eastAsia" w:cs="Times New Roman"/>
          <w:color w:val="auto"/>
          <w:highlight w:val="none"/>
          <w:lang w:val="en-US" w:eastAsia="zh-CN"/>
        </w:rPr>
        <w:t>管道、泵站</w:t>
      </w:r>
      <w:r>
        <w:rPr>
          <w:rFonts w:hint="default" w:ascii="Times New Roman" w:hAnsi="Times New Roman" w:cs="Times New Roman"/>
          <w:color w:val="auto"/>
          <w:highlight w:val="none"/>
        </w:rPr>
        <w:t>建设时产生的影响，</w:t>
      </w:r>
      <w:r>
        <w:rPr>
          <w:rFonts w:hint="default" w:ascii="Times New Roman" w:hAnsi="Times New Roman" w:cs="Times New Roman"/>
          <w:color w:val="0000FF"/>
          <w:highlight w:val="none"/>
        </w:rPr>
        <w:t>影响范围约</w:t>
      </w:r>
      <w:r>
        <w:rPr>
          <w:rFonts w:hint="eastAsia" w:cs="Times New Roman"/>
          <w:color w:val="0000FF"/>
          <w:highlight w:val="none"/>
          <w:lang w:val="en-US" w:eastAsia="zh-CN"/>
        </w:rPr>
        <w:t>5</w:t>
      </w:r>
      <w:r>
        <w:rPr>
          <w:rFonts w:hint="default" w:ascii="Times New Roman" w:hAnsi="Times New Roman" w:cs="Times New Roman"/>
          <w:color w:val="0000FF"/>
          <w:highlight w:val="none"/>
        </w:rPr>
        <w:t>00m。</w:t>
      </w:r>
      <w:r>
        <w:rPr>
          <w:rFonts w:hint="default" w:ascii="Times New Roman" w:hAnsi="Times New Roman" w:cs="Times New Roman"/>
          <w:color w:val="auto"/>
          <w:highlight w:val="none"/>
        </w:rPr>
        <w:t>经现场踏勘，项目大气、声环境保护目标详见</w:t>
      </w:r>
      <w:r>
        <w:rPr>
          <w:rFonts w:hint="eastAsia" w:cs="Times New Roman"/>
          <w:color w:val="auto"/>
          <w:highlight w:val="none"/>
          <w:lang w:val="en-US" w:eastAsia="zh-CN"/>
        </w:rPr>
        <w:t>下</w:t>
      </w:r>
      <w:r>
        <w:rPr>
          <w:rFonts w:hint="default" w:ascii="Times New Roman" w:hAnsi="Times New Roman" w:cs="Times New Roman"/>
          <w:color w:val="auto"/>
          <w:highlight w:val="none"/>
        </w:rPr>
        <w:t>表</w:t>
      </w:r>
      <w:r>
        <w:rPr>
          <w:rFonts w:hint="eastAsia" w:cs="Times New Roman"/>
          <w:color w:val="auto"/>
          <w:highlight w:val="none"/>
          <w:lang w:eastAsia="zh-CN"/>
        </w:rPr>
        <w:t>。</w:t>
      </w:r>
    </w:p>
    <w:p>
      <w:pPr>
        <w:pStyle w:val="40"/>
        <w:bidi w:val="0"/>
        <w:rPr>
          <w:rFonts w:hint="default" w:ascii="Times New Roman" w:hAnsi="Times New Roman" w:cs="Times New Roman"/>
          <w:b/>
          <w:bCs/>
          <w:color w:val="auto"/>
          <w:highlight w:val="none"/>
        </w:rPr>
      </w:pPr>
      <w:r>
        <w:rPr>
          <w:rFonts w:hint="default"/>
          <w:color w:val="auto"/>
          <w:highlight w:val="none"/>
        </w:rPr>
        <w:t>表</w:t>
      </w:r>
      <w:r>
        <w:rPr>
          <w:rFonts w:hint="eastAsia"/>
          <w:color w:val="auto"/>
          <w:highlight w:val="none"/>
          <w:lang w:val="en-US" w:eastAsia="zh-CN"/>
        </w:rPr>
        <w:t>1</w:t>
      </w:r>
      <w:r>
        <w:rPr>
          <w:rFonts w:hint="default"/>
          <w:color w:val="auto"/>
          <w:highlight w:val="none"/>
        </w:rPr>
        <w:t>.7.</w:t>
      </w:r>
      <w:r>
        <w:rPr>
          <w:rFonts w:hint="eastAsia"/>
          <w:color w:val="auto"/>
          <w:highlight w:val="none"/>
          <w:lang w:val="en-US" w:eastAsia="zh-CN"/>
        </w:rPr>
        <w:t>3</w:t>
      </w:r>
      <w:r>
        <w:rPr>
          <w:rFonts w:hint="default"/>
          <w:color w:val="auto"/>
          <w:highlight w:val="none"/>
        </w:rPr>
        <w:t xml:space="preserve">-1 </w:t>
      </w:r>
      <w:r>
        <w:rPr>
          <w:rFonts w:hint="eastAsia"/>
          <w:color w:val="auto"/>
          <w:highlight w:val="none"/>
          <w:lang w:val="en-US" w:eastAsia="zh-CN"/>
        </w:rPr>
        <w:t xml:space="preserve"> </w:t>
      </w:r>
      <w:r>
        <w:rPr>
          <w:rFonts w:hint="default"/>
          <w:color w:val="auto"/>
          <w:highlight w:val="none"/>
        </w:rPr>
        <w:t>项目评价范围内主要环境保护目标一览表（大气环境、声环境）</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1175"/>
        <w:gridCol w:w="1536"/>
        <w:gridCol w:w="1326"/>
        <w:gridCol w:w="1377"/>
        <w:gridCol w:w="1126"/>
        <w:gridCol w:w="13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工程区</w:t>
            </w:r>
          </w:p>
        </w:tc>
        <w:tc>
          <w:tcPr>
            <w:tcW w:w="1175"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eastAsia="zh-CN"/>
              </w:rPr>
            </w:pPr>
            <w:r>
              <w:rPr>
                <w:rFonts w:hint="default" w:ascii="Times New Roman" w:hAnsi="Times New Roman" w:cs="Times New Roman"/>
                <w:color w:val="auto"/>
                <w:highlight w:val="none"/>
                <w:lang w:eastAsia="zh-CN"/>
              </w:rPr>
              <w:t>敏感点</w:t>
            </w:r>
          </w:p>
        </w:tc>
        <w:tc>
          <w:tcPr>
            <w:tcW w:w="2862" w:type="dxa"/>
            <w:gridSpan w:val="2"/>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坐标</w:t>
            </w:r>
          </w:p>
        </w:tc>
        <w:tc>
          <w:tcPr>
            <w:tcW w:w="1377"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val="en-US" w:eastAsia="zh-CN"/>
              </w:rPr>
            </w:pPr>
            <w:r>
              <w:rPr>
                <w:rFonts w:hint="default" w:ascii="Times New Roman" w:hAnsi="Times New Roman" w:cs="Times New Roman"/>
                <w:color w:val="auto"/>
                <w:highlight w:val="none"/>
                <w:lang w:eastAsia="zh-CN"/>
              </w:rPr>
              <w:t>与工程位置关系</w:t>
            </w:r>
            <w:r>
              <w:rPr>
                <w:rFonts w:hint="eastAsia" w:cs="Times New Roman"/>
                <w:color w:val="auto"/>
                <w:highlight w:val="none"/>
                <w:lang w:eastAsia="zh-CN"/>
              </w:rPr>
              <w:t>（</w:t>
            </w:r>
            <w:r>
              <w:rPr>
                <w:rFonts w:hint="eastAsia" w:cs="Times New Roman"/>
                <w:color w:val="auto"/>
                <w:highlight w:val="none"/>
                <w:lang w:val="en-US" w:eastAsia="zh-CN"/>
              </w:rPr>
              <w:t>m</w:t>
            </w:r>
            <w:r>
              <w:rPr>
                <w:rFonts w:hint="eastAsia" w:cs="Times New Roman"/>
                <w:color w:val="auto"/>
                <w:highlight w:val="none"/>
                <w:lang w:eastAsia="zh-CN"/>
              </w:rPr>
              <w:t>）</w:t>
            </w:r>
          </w:p>
        </w:tc>
        <w:tc>
          <w:tcPr>
            <w:tcW w:w="1126"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eastAsia="zh-CN"/>
              </w:rPr>
            </w:pPr>
            <w:r>
              <w:rPr>
                <w:rFonts w:hint="default" w:ascii="Times New Roman" w:hAnsi="Times New Roman" w:cs="Times New Roman"/>
                <w:color w:val="auto"/>
                <w:highlight w:val="none"/>
                <w:lang w:eastAsia="zh-CN"/>
              </w:rPr>
              <w:t>受影响人数</w:t>
            </w:r>
            <w:r>
              <w:rPr>
                <w:rFonts w:hint="eastAsia" w:cs="Times New Roman"/>
                <w:color w:val="auto"/>
                <w:highlight w:val="none"/>
                <w:lang w:eastAsia="zh-CN"/>
              </w:rPr>
              <w:t>（</w:t>
            </w:r>
            <w:r>
              <w:rPr>
                <w:rFonts w:hint="eastAsia" w:cs="Times New Roman"/>
                <w:color w:val="auto"/>
                <w:highlight w:val="none"/>
                <w:lang w:val="en-US" w:eastAsia="zh-CN"/>
              </w:rPr>
              <w:t>人</w:t>
            </w:r>
            <w:r>
              <w:rPr>
                <w:rFonts w:hint="eastAsia" w:cs="Times New Roman"/>
                <w:color w:val="auto"/>
                <w:highlight w:val="none"/>
                <w:lang w:eastAsia="zh-CN"/>
              </w:rPr>
              <w:t>）</w:t>
            </w:r>
          </w:p>
        </w:tc>
        <w:tc>
          <w:tcPr>
            <w:tcW w:w="1305"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eastAsia="zh-CN"/>
              </w:rPr>
            </w:pPr>
            <w:r>
              <w:rPr>
                <w:rFonts w:hint="default" w:ascii="Times New Roman" w:hAnsi="Times New Roman" w:cs="Times New Roman"/>
                <w:color w:val="auto"/>
                <w:highlight w:val="none"/>
                <w:lang w:eastAsia="zh-CN"/>
              </w:rPr>
              <w:t>环境执行标准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eastAsia="zh-CN"/>
              </w:rPr>
            </w:pPr>
            <w:r>
              <w:rPr>
                <w:rFonts w:hint="default" w:ascii="Times New Roman" w:hAnsi="Times New Roman" w:cs="Times New Roman"/>
                <w:color w:val="auto"/>
                <w:highlight w:val="none"/>
                <w:lang w:eastAsia="zh-CN"/>
              </w:rPr>
              <w:t>经度</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eastAsia="zh-CN"/>
              </w:rPr>
            </w:pPr>
            <w:r>
              <w:rPr>
                <w:rFonts w:hint="default" w:ascii="Times New Roman" w:hAnsi="Times New Roman" w:cs="Times New Roman"/>
                <w:color w:val="auto"/>
                <w:highlight w:val="none"/>
                <w:lang w:eastAsia="zh-CN"/>
              </w:rPr>
              <w:t>纬度</w:t>
            </w:r>
          </w:p>
        </w:tc>
        <w:tc>
          <w:tcPr>
            <w:tcW w:w="1377"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26"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eastAsia="zh-CN"/>
              </w:rPr>
            </w:pPr>
            <w:r>
              <w:rPr>
                <w:rFonts w:hint="default" w:ascii="Times New Roman" w:hAnsi="Times New Roman" w:cs="Times New Roman"/>
                <w:color w:val="auto"/>
                <w:highlight w:val="none"/>
                <w:lang w:eastAsia="zh-CN"/>
              </w:rPr>
              <w:t>输水管线</w:t>
            </w: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eastAsia="zh-CN"/>
              </w:rPr>
            </w:pPr>
            <w:r>
              <w:rPr>
                <w:rFonts w:hint="default" w:ascii="Times New Roman" w:hAnsi="Times New Roman" w:cs="Times New Roman"/>
                <w:color w:val="auto"/>
                <w:highlight w:val="none"/>
                <w:lang w:eastAsia="zh-CN"/>
              </w:rPr>
              <w:t>金马村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val="en-US" w:eastAsia="zh-CN"/>
              </w:rPr>
            </w:pPr>
            <w:r>
              <w:rPr>
                <w:rFonts w:hint="default" w:ascii="Times New Roman" w:hAnsi="Times New Roman" w:cs="Times New Roman"/>
                <w:color w:val="auto"/>
                <w:highlight w:val="none"/>
                <w:lang w:val="en-US" w:eastAsia="zh-CN"/>
              </w:rPr>
              <w:t>101°51′21.240″</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val="en-US" w:eastAsia="zh-CN"/>
              </w:rPr>
            </w:pPr>
            <w:r>
              <w:rPr>
                <w:rFonts w:hint="default" w:ascii="Times New Roman" w:hAnsi="Times New Roman" w:cs="Times New Roman"/>
                <w:color w:val="auto"/>
                <w:highlight w:val="none"/>
                <w:lang w:val="en-US" w:eastAsia="zh-CN"/>
              </w:rPr>
              <w:t>26°0′16.911″</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val="en-US" w:eastAsia="zh-CN"/>
              </w:rPr>
            </w:pPr>
            <w:r>
              <w:rPr>
                <w:rFonts w:hint="eastAsia" w:ascii="Times New Roman" w:hAnsi="Times New Roman" w:cs="Times New Roman"/>
                <w:color w:val="auto"/>
                <w:highlight w:val="none"/>
                <w:lang w:eastAsia="zh-CN"/>
              </w:rPr>
              <w:t>管道东侧</w:t>
            </w:r>
            <w:r>
              <w:rPr>
                <w:rFonts w:hint="eastAsia" w:ascii="Times New Roman" w:hAnsi="Times New Roman" w:cs="Times New Roman"/>
                <w:color w:val="auto"/>
                <w:highlight w:val="none"/>
                <w:lang w:val="en-US" w:eastAsia="zh-CN"/>
              </w:rPr>
              <w:t>30</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val="en-US" w:eastAsia="zh-CN"/>
              </w:rPr>
            </w:pPr>
            <w:r>
              <w:rPr>
                <w:rFonts w:hint="eastAsia" w:cs="Times New Roman"/>
                <w:color w:val="auto"/>
                <w:highlight w:val="none"/>
                <w:lang w:val="en-US" w:eastAsia="zh-CN"/>
              </w:rPr>
              <w:t>1920</w:t>
            </w:r>
          </w:p>
        </w:tc>
        <w:tc>
          <w:tcPr>
            <w:tcW w:w="1305"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val="en-US" w:eastAsia="zh-CN"/>
              </w:rPr>
            </w:pPr>
            <w:r>
              <w:rPr>
                <w:rFonts w:hint="default" w:ascii="Times New Roman" w:hAnsi="Times New Roman" w:cs="Times New Roman"/>
                <w:bCs/>
                <w:color w:val="auto"/>
                <w:sz w:val="21"/>
                <w:szCs w:val="21"/>
                <w:highlight w:val="none"/>
              </w:rPr>
              <w:t>《声环境质量标准》（GB3096-2008）中的</w:t>
            </w:r>
            <w:r>
              <w:rPr>
                <w:rFonts w:hint="eastAsia" w:cs="Times New Roman"/>
                <w:bCs/>
                <w:color w:val="0000FF"/>
                <w:sz w:val="21"/>
                <w:szCs w:val="21"/>
                <w:highlight w:val="none"/>
                <w:lang w:val="en-US" w:eastAsia="zh-CN"/>
              </w:rPr>
              <w:t>1</w:t>
            </w:r>
            <w:r>
              <w:rPr>
                <w:rFonts w:hint="default" w:ascii="Times New Roman" w:hAnsi="Times New Roman" w:cs="Times New Roman"/>
                <w:bCs/>
                <w:color w:val="0000FF"/>
                <w:sz w:val="21"/>
                <w:szCs w:val="21"/>
                <w:highlight w:val="none"/>
              </w:rPr>
              <w:t>类标准</w:t>
            </w:r>
            <w:r>
              <w:rPr>
                <w:rFonts w:hint="eastAsia" w:cs="Times New Roman"/>
                <w:bCs/>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ascii="Times New Roman" w:hAnsi="Times New Roman" w:eastAsia="宋" w:cs="Times New Roman"/>
                <w:color w:val="auto"/>
                <w:highlight w:val="none"/>
                <w:lang w:val="en-US" w:eastAsia="zh-CN"/>
              </w:rPr>
            </w:pPr>
            <w:r>
              <w:rPr>
                <w:rFonts w:hint="eastAsia" w:ascii="Times New Roman" w:hAnsi="Times New Roman" w:cs="Times New Roman"/>
                <w:color w:val="auto"/>
                <w:highlight w:val="none"/>
                <w:lang w:val="en-US" w:eastAsia="zh-CN"/>
              </w:rPr>
              <w:t>阿洒姑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101°52′25.5</w:t>
            </w:r>
            <w:r>
              <w:rPr>
                <w:rFonts w:hint="eastAsia" w:ascii="Times New Roman" w:hAnsi="Times New Roman" w:cs="Times New Roman"/>
                <w:color w:val="auto"/>
                <w:highlight w:val="none"/>
                <w:lang w:val="en-US" w:eastAsia="zh-CN"/>
              </w:rPr>
              <w:t>10</w:t>
            </w:r>
            <w:r>
              <w:rPr>
                <w:rFonts w:hint="default" w:ascii="Times New Roman" w:hAnsi="Times New Roman" w:cs="Times New Roman"/>
                <w:color w:val="auto"/>
                <w:highlight w:val="none"/>
              </w:rPr>
              <w:t>″</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26°2′28.8</w:t>
            </w:r>
            <w:r>
              <w:rPr>
                <w:rFonts w:hint="eastAsia" w:ascii="Times New Roman" w:hAnsi="Times New Roman" w:cs="Times New Roman"/>
                <w:color w:val="auto"/>
                <w:highlight w:val="none"/>
                <w:lang w:val="en-US" w:eastAsia="zh-CN"/>
              </w:rPr>
              <w:t>50</w:t>
            </w:r>
            <w:r>
              <w:rPr>
                <w:rFonts w:hint="default" w:ascii="Times New Roman" w:hAnsi="Times New Roman" w:cs="Times New Roman"/>
                <w:color w:val="auto"/>
                <w:highlight w:val="none"/>
              </w:rPr>
              <w:t>″</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lang w:val="en-US"/>
              </w:rPr>
            </w:pPr>
            <w:r>
              <w:rPr>
                <w:rFonts w:hint="eastAsia" w:ascii="Times New Roman" w:hAnsi="Times New Roman" w:cs="Times New Roman"/>
                <w:color w:val="auto"/>
                <w:highlight w:val="none"/>
                <w:lang w:eastAsia="zh-CN"/>
              </w:rPr>
              <w:t>管道</w:t>
            </w:r>
            <w:r>
              <w:rPr>
                <w:rFonts w:hint="eastAsia" w:cs="Times New Roman"/>
                <w:color w:val="auto"/>
                <w:highlight w:val="none"/>
                <w:lang w:eastAsia="zh-CN"/>
              </w:rPr>
              <w:t>西北</w:t>
            </w:r>
            <w:r>
              <w:rPr>
                <w:rFonts w:hint="eastAsia" w:ascii="Times New Roman" w:hAnsi="Times New Roman" w:cs="Times New Roman"/>
                <w:color w:val="auto"/>
                <w:highlight w:val="none"/>
                <w:lang w:eastAsia="zh-CN"/>
              </w:rPr>
              <w:t>侧</w:t>
            </w:r>
            <w:r>
              <w:rPr>
                <w:rFonts w:hint="eastAsia" w:cs="Times New Roman"/>
                <w:color w:val="auto"/>
                <w:highlight w:val="none"/>
                <w:lang w:val="en-US" w:eastAsia="zh-CN"/>
              </w:rPr>
              <w:t>45</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val="en-US" w:eastAsia="zh-CN"/>
              </w:rPr>
            </w:pPr>
            <w:r>
              <w:rPr>
                <w:rFonts w:hint="eastAsia" w:cs="Times New Roman"/>
                <w:color w:val="auto"/>
                <w:highlight w:val="none"/>
                <w:lang w:val="en-US" w:eastAsia="zh-CN"/>
              </w:rPr>
              <w:t>528</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val="en-US" w:eastAsia="zh-CN"/>
              </w:rPr>
            </w:pPr>
            <w:r>
              <w:rPr>
                <w:rFonts w:hint="eastAsia" w:cs="Times New Roman"/>
                <w:color w:val="auto"/>
                <w:highlight w:val="none"/>
                <w:lang w:val="en-US" w:eastAsia="zh-CN"/>
              </w:rPr>
              <w:t>华峰</w:t>
            </w:r>
            <w:r>
              <w:rPr>
                <w:rFonts w:hint="eastAsia" w:ascii="Times New Roman" w:hAnsi="Times New Roman" w:cs="Times New Roman"/>
                <w:color w:val="auto"/>
                <w:highlight w:val="none"/>
                <w:lang w:val="en-US" w:eastAsia="zh-CN"/>
              </w:rPr>
              <w:t>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101°54′38.37</w:t>
            </w:r>
            <w:r>
              <w:rPr>
                <w:rFonts w:hint="eastAsia" w:ascii="Times New Roman" w:hAnsi="Times New Roman" w:cs="Times New Roman"/>
                <w:color w:val="auto"/>
                <w:highlight w:val="none"/>
                <w:lang w:val="en-US" w:eastAsia="zh-CN"/>
              </w:rPr>
              <w:t>6</w:t>
            </w:r>
            <w:r>
              <w:rPr>
                <w:rFonts w:hint="default" w:ascii="Times New Roman" w:hAnsi="Times New Roman" w:cs="Times New Roman"/>
                <w:color w:val="auto"/>
                <w:highlight w:val="none"/>
              </w:rPr>
              <w:t>″</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26°1′31.841″</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lang w:val="en-US"/>
              </w:rPr>
            </w:pPr>
            <w:r>
              <w:rPr>
                <w:rFonts w:hint="eastAsia" w:ascii="Times New Roman" w:hAnsi="Times New Roman" w:cs="Times New Roman"/>
                <w:color w:val="auto"/>
                <w:highlight w:val="none"/>
                <w:lang w:eastAsia="zh-CN"/>
              </w:rPr>
              <w:t>管道</w:t>
            </w:r>
            <w:r>
              <w:rPr>
                <w:rFonts w:hint="eastAsia" w:cs="Times New Roman"/>
                <w:color w:val="auto"/>
                <w:highlight w:val="none"/>
                <w:lang w:eastAsia="zh-CN"/>
              </w:rPr>
              <w:t>西侧</w:t>
            </w:r>
            <w:r>
              <w:rPr>
                <w:rFonts w:hint="eastAsia" w:cs="Times New Roman"/>
                <w:color w:val="auto"/>
                <w:highlight w:val="none"/>
                <w:lang w:val="en-US" w:eastAsia="zh-CN"/>
              </w:rPr>
              <w:t>102</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val="en-US" w:eastAsia="zh-CN"/>
              </w:rPr>
            </w:pPr>
            <w:r>
              <w:rPr>
                <w:rFonts w:hint="eastAsia" w:cs="Times New Roman"/>
                <w:color w:val="auto"/>
                <w:highlight w:val="none"/>
                <w:lang w:val="en-US" w:eastAsia="zh-CN"/>
              </w:rPr>
              <w:t>1344</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羊拉昔</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101°54′31.73</w:t>
            </w:r>
            <w:r>
              <w:rPr>
                <w:rFonts w:hint="eastAsia" w:ascii="Times New Roman" w:hAnsi="Times New Roman" w:cs="Times New Roman"/>
                <w:color w:val="auto"/>
                <w:highlight w:val="none"/>
                <w:lang w:val="en-US" w:eastAsia="zh-CN"/>
              </w:rPr>
              <w:t>9</w:t>
            </w:r>
            <w:r>
              <w:rPr>
                <w:rFonts w:hint="default" w:ascii="Times New Roman" w:hAnsi="Times New Roman" w:cs="Times New Roman"/>
                <w:color w:val="auto"/>
                <w:highlight w:val="none"/>
              </w:rPr>
              <w:t>″</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26°3′6.03</w:t>
            </w:r>
            <w:r>
              <w:rPr>
                <w:rFonts w:hint="eastAsia" w:ascii="Times New Roman" w:hAnsi="Times New Roman" w:cs="Times New Roman"/>
                <w:color w:val="auto"/>
                <w:highlight w:val="none"/>
                <w:lang w:val="en-US" w:eastAsia="zh-CN"/>
              </w:rPr>
              <w:t>6</w:t>
            </w:r>
            <w:r>
              <w:rPr>
                <w:rFonts w:hint="default" w:ascii="Times New Roman" w:hAnsi="Times New Roman" w:cs="Times New Roman"/>
                <w:color w:val="auto"/>
                <w:highlight w:val="none"/>
              </w:rPr>
              <w:t>″</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lang w:val="en-US" w:eastAsia="zh-CN"/>
              </w:rPr>
            </w:pPr>
            <w:r>
              <w:rPr>
                <w:rFonts w:hint="eastAsia" w:cs="Times New Roman"/>
                <w:color w:val="auto"/>
                <w:highlight w:val="none"/>
                <w:lang w:eastAsia="zh-CN"/>
              </w:rPr>
              <w:t>管道东侧</w:t>
            </w:r>
            <w:r>
              <w:rPr>
                <w:rFonts w:hint="eastAsia" w:cs="Times New Roman"/>
                <w:color w:val="auto"/>
                <w:highlight w:val="none"/>
                <w:lang w:val="en-US" w:eastAsia="zh-CN"/>
              </w:rPr>
              <w:t>5</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val="en-US" w:eastAsia="zh-CN"/>
              </w:rPr>
            </w:pPr>
            <w:r>
              <w:rPr>
                <w:rFonts w:hint="eastAsia" w:cs="Times New Roman"/>
                <w:color w:val="auto"/>
                <w:highlight w:val="none"/>
                <w:lang w:val="en-US" w:eastAsia="zh-CN"/>
              </w:rPr>
              <w:t>448</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ascii="Times New Roman" w:hAnsi="Times New Roman" w:eastAsia="宋" w:cs="Times New Roman"/>
                <w:color w:val="auto"/>
                <w:highlight w:val="none"/>
                <w:lang w:val="en-US" w:eastAsia="zh-CN"/>
              </w:rPr>
            </w:pPr>
            <w:r>
              <w:rPr>
                <w:rFonts w:hint="eastAsia" w:ascii="Times New Roman" w:hAnsi="Times New Roman" w:cs="Times New Roman"/>
                <w:color w:val="auto"/>
                <w:highlight w:val="none"/>
                <w:lang w:val="en-US" w:eastAsia="zh-CN"/>
              </w:rPr>
              <w:t>姜驿乡</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101°54′30.232″</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26°4′14.863″</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s="Times New Roman"/>
                <w:color w:val="auto"/>
                <w:highlight w:val="none"/>
                <w:lang w:val="en-US" w:eastAsia="zh-CN"/>
              </w:rPr>
            </w:pPr>
            <w:r>
              <w:rPr>
                <w:rFonts w:hint="eastAsia" w:cs="Times New Roman"/>
                <w:color w:val="auto"/>
                <w:highlight w:val="none"/>
                <w:lang w:eastAsia="zh-CN"/>
              </w:rPr>
              <w:t>管道东侧</w:t>
            </w:r>
            <w:r>
              <w:rPr>
                <w:rFonts w:hint="eastAsia" w:cs="Times New Roman"/>
                <w:color w:val="auto"/>
                <w:highlight w:val="none"/>
                <w:lang w:val="en-US" w:eastAsia="zh-CN"/>
              </w:rPr>
              <w:t>26</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val="en-US" w:eastAsia="zh-CN"/>
              </w:rPr>
            </w:pPr>
            <w:r>
              <w:rPr>
                <w:rFonts w:hint="eastAsia" w:cs="Times New Roman"/>
                <w:color w:val="auto"/>
                <w:highlight w:val="none"/>
                <w:lang w:val="en-US" w:eastAsia="zh-CN"/>
              </w:rPr>
              <w:t>2000</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红坡村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101°53′48.808″</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26°4′48.234″</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auto"/>
                <w:highlight w:val="none"/>
                <w:lang w:eastAsia="zh-CN"/>
              </w:rPr>
            </w:pPr>
            <w:r>
              <w:rPr>
                <w:rFonts w:hint="eastAsia" w:cs="Times New Roman"/>
                <w:color w:val="auto"/>
                <w:highlight w:val="none"/>
                <w:lang w:eastAsia="zh-CN"/>
              </w:rPr>
              <w:t>管道北侧</w:t>
            </w:r>
            <w:r>
              <w:rPr>
                <w:rFonts w:hint="eastAsia" w:cs="Times New Roman"/>
                <w:color w:val="auto"/>
                <w:highlight w:val="none"/>
                <w:lang w:val="en-US" w:eastAsia="zh-CN"/>
              </w:rPr>
              <w:t>15</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val="en-US" w:eastAsia="zh-CN"/>
              </w:rPr>
            </w:pPr>
            <w:r>
              <w:rPr>
                <w:rFonts w:hint="eastAsia" w:cs="Times New Roman"/>
                <w:color w:val="auto"/>
                <w:highlight w:val="none"/>
                <w:lang w:val="en-US" w:eastAsia="zh-CN"/>
              </w:rPr>
              <w:t>320</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姜驿大村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101°55′18.43</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rPr>
              <w:t>″</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26°4′21.236″</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auto"/>
                <w:highlight w:val="none"/>
                <w:lang w:eastAsia="zh-CN"/>
              </w:rPr>
            </w:pPr>
            <w:r>
              <w:rPr>
                <w:rFonts w:hint="eastAsia" w:cs="Times New Roman"/>
                <w:color w:val="auto"/>
                <w:highlight w:val="none"/>
                <w:lang w:eastAsia="zh-CN"/>
              </w:rPr>
              <w:t>管道东侧</w:t>
            </w:r>
            <w:r>
              <w:rPr>
                <w:rFonts w:hint="eastAsia" w:cs="Times New Roman"/>
                <w:color w:val="auto"/>
                <w:highlight w:val="none"/>
                <w:lang w:val="en-US" w:eastAsia="zh-CN"/>
              </w:rPr>
              <w:t>15</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val="en-US" w:eastAsia="zh-CN"/>
              </w:rPr>
            </w:pPr>
            <w:r>
              <w:rPr>
                <w:rFonts w:hint="eastAsia" w:cs="Times New Roman"/>
                <w:color w:val="auto"/>
                <w:highlight w:val="none"/>
                <w:lang w:val="en-US" w:eastAsia="zh-CN"/>
              </w:rPr>
              <w:t>1600</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拉黑沟</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101°55′26.85</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rPr>
              <w:t>″</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26°4′49.895″</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s="Times New Roman"/>
                <w:color w:val="auto"/>
                <w:highlight w:val="none"/>
                <w:lang w:val="en-US" w:eastAsia="zh-CN"/>
              </w:rPr>
            </w:pPr>
            <w:r>
              <w:rPr>
                <w:rFonts w:hint="eastAsia" w:cs="Times New Roman"/>
                <w:color w:val="auto"/>
                <w:highlight w:val="none"/>
                <w:lang w:eastAsia="zh-CN"/>
              </w:rPr>
              <w:t>管道北侧</w:t>
            </w:r>
            <w:r>
              <w:rPr>
                <w:rFonts w:hint="eastAsia" w:cs="Times New Roman"/>
                <w:color w:val="auto"/>
                <w:highlight w:val="none"/>
                <w:lang w:val="en-US" w:eastAsia="zh-CN"/>
              </w:rPr>
              <w:t>82</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val="en-US" w:eastAsia="zh-CN"/>
              </w:rPr>
            </w:pPr>
            <w:r>
              <w:rPr>
                <w:rFonts w:hint="eastAsia" w:cs="Times New Roman"/>
                <w:color w:val="auto"/>
                <w:highlight w:val="none"/>
                <w:lang w:val="en-US" w:eastAsia="zh-CN"/>
              </w:rPr>
              <w:t>336</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ascii="Times New Roman" w:hAnsi="Times New Roman" w:eastAsia="宋" w:cs="Times New Roman"/>
                <w:color w:val="auto"/>
                <w:highlight w:val="none"/>
                <w:lang w:val="en-US" w:eastAsia="zh-CN"/>
              </w:rPr>
            </w:pPr>
            <w:r>
              <w:rPr>
                <w:rFonts w:hint="eastAsia" w:ascii="Times New Roman" w:hAnsi="Times New Roman" w:cs="Times New Roman"/>
                <w:color w:val="auto"/>
                <w:highlight w:val="none"/>
                <w:lang w:val="en-US" w:eastAsia="zh-CN"/>
              </w:rPr>
              <w:t>白秧树村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101°55′58.333″</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26°5′5.808″</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s="Times New Roman"/>
                <w:color w:val="auto"/>
                <w:highlight w:val="none"/>
                <w:lang w:val="en-US" w:eastAsia="zh-CN"/>
              </w:rPr>
            </w:pPr>
            <w:r>
              <w:rPr>
                <w:rFonts w:hint="eastAsia" w:cs="Times New Roman"/>
                <w:color w:val="auto"/>
                <w:highlight w:val="none"/>
                <w:lang w:eastAsia="zh-CN"/>
              </w:rPr>
              <w:t>管道东侧</w:t>
            </w:r>
            <w:r>
              <w:rPr>
                <w:rFonts w:hint="eastAsia" w:cs="Times New Roman"/>
                <w:color w:val="auto"/>
                <w:highlight w:val="none"/>
                <w:lang w:val="en-US" w:eastAsia="zh-CN"/>
              </w:rPr>
              <w:t>10</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highlight w:val="none"/>
                <w:lang w:val="en-US" w:eastAsia="zh-CN"/>
              </w:rPr>
            </w:pPr>
            <w:r>
              <w:rPr>
                <w:rFonts w:hint="eastAsia" w:cs="Times New Roman"/>
                <w:color w:val="auto"/>
                <w:highlight w:val="none"/>
                <w:lang w:val="en-US" w:eastAsia="zh-CN"/>
              </w:rPr>
              <w:t>704</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lang w:val="en-US" w:eastAsia="zh-CN"/>
              </w:rPr>
            </w:pPr>
            <w:r>
              <w:rPr>
                <w:rFonts w:hint="eastAsia" w:cs="Times New Roman"/>
                <w:color w:val="0000FF"/>
                <w:highlight w:val="none"/>
                <w:lang w:val="en-US" w:eastAsia="zh-CN"/>
              </w:rPr>
              <w:t>坝塘边村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0000FF"/>
                <w:highlight w:val="none"/>
              </w:rPr>
              <w:t>101°54′36.63</w:t>
            </w:r>
            <w:r>
              <w:rPr>
                <w:rFonts w:hint="eastAsia" w:cs="Times New Roman"/>
                <w:color w:val="0000FF"/>
                <w:highlight w:val="none"/>
                <w:lang w:val="en-US" w:eastAsia="zh-CN"/>
              </w:rPr>
              <w:t>7</w:t>
            </w:r>
            <w:r>
              <w:rPr>
                <w:rFonts w:hint="default" w:ascii="Times New Roman" w:hAnsi="Times New Roman" w:cs="Times New Roman"/>
                <w:color w:val="0000FF"/>
                <w:highlight w:val="none"/>
              </w:rPr>
              <w:t>″</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0000FF"/>
                <w:highlight w:val="none"/>
              </w:rPr>
              <w:t>26°1′59.2</w:t>
            </w:r>
            <w:r>
              <w:rPr>
                <w:rFonts w:hint="eastAsia" w:cs="Times New Roman"/>
                <w:color w:val="0000FF"/>
                <w:highlight w:val="none"/>
                <w:lang w:val="en-US" w:eastAsia="zh-CN"/>
              </w:rPr>
              <w:t>40</w:t>
            </w:r>
            <w:r>
              <w:rPr>
                <w:rFonts w:hint="default" w:ascii="Times New Roman" w:hAnsi="Times New Roman" w:cs="Times New Roman"/>
                <w:color w:val="0000FF"/>
                <w:highlight w:val="none"/>
              </w:rPr>
              <w:t>″</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s="Times New Roman"/>
                <w:color w:val="0000FF"/>
                <w:highlight w:val="none"/>
                <w:lang w:val="en-US" w:eastAsia="zh-CN"/>
              </w:rPr>
            </w:pPr>
            <w:r>
              <w:rPr>
                <w:rFonts w:hint="eastAsia" w:cs="Times New Roman"/>
                <w:color w:val="0000FF"/>
                <w:highlight w:val="none"/>
                <w:lang w:val="en-US" w:eastAsia="zh-CN"/>
              </w:rPr>
              <w:t>管道西侧174</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s="Times New Roman"/>
                <w:color w:val="0000FF"/>
                <w:highlight w:val="none"/>
                <w:lang w:val="en-US" w:eastAsia="zh-CN"/>
              </w:rPr>
            </w:pPr>
            <w:r>
              <w:rPr>
                <w:rFonts w:hint="eastAsia" w:cs="Times New Roman"/>
                <w:color w:val="0000FF"/>
                <w:highlight w:val="none"/>
                <w:lang w:val="en-US" w:eastAsia="zh-CN"/>
              </w:rPr>
              <w:t>28</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s="Times New Roman"/>
                <w:color w:val="0000FF"/>
                <w:highlight w:val="none"/>
                <w:lang w:val="en-US" w:eastAsia="zh-CN"/>
              </w:rPr>
            </w:pPr>
            <w:r>
              <w:rPr>
                <w:rFonts w:hint="eastAsia" w:cs="Times New Roman"/>
                <w:color w:val="0000FF"/>
                <w:highlight w:val="none"/>
                <w:lang w:val="en-US" w:eastAsia="zh-CN"/>
              </w:rPr>
              <w:t>红坡村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0000FF"/>
                <w:highlight w:val="none"/>
              </w:rPr>
              <w:t>101°53′47.65</w:t>
            </w:r>
            <w:r>
              <w:rPr>
                <w:rFonts w:hint="eastAsia" w:cs="Times New Roman"/>
                <w:color w:val="0000FF"/>
                <w:highlight w:val="none"/>
                <w:lang w:val="en-US" w:eastAsia="zh-CN"/>
              </w:rPr>
              <w:t>2</w:t>
            </w:r>
            <w:r>
              <w:rPr>
                <w:rFonts w:hint="default" w:ascii="Times New Roman" w:hAnsi="Times New Roman" w:cs="Times New Roman"/>
                <w:color w:val="0000FF"/>
                <w:highlight w:val="none"/>
              </w:rPr>
              <w:t xml:space="preserve">″ </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0000FF"/>
                <w:highlight w:val="none"/>
              </w:rPr>
              <w:t>26°4′50.01</w:t>
            </w:r>
            <w:r>
              <w:rPr>
                <w:rFonts w:hint="eastAsia" w:cs="Times New Roman"/>
                <w:color w:val="0000FF"/>
                <w:highlight w:val="none"/>
                <w:lang w:val="en-US" w:eastAsia="zh-CN"/>
              </w:rPr>
              <w:t>5</w:t>
            </w:r>
            <w:r>
              <w:rPr>
                <w:rFonts w:hint="default" w:ascii="Times New Roman" w:hAnsi="Times New Roman" w:cs="Times New Roman"/>
                <w:color w:val="0000FF"/>
                <w:highlight w:val="none"/>
              </w:rPr>
              <w:t>″</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s="Times New Roman"/>
                <w:color w:val="0000FF"/>
                <w:highlight w:val="none"/>
                <w:lang w:val="en-US" w:eastAsia="zh-CN"/>
              </w:rPr>
            </w:pPr>
            <w:r>
              <w:rPr>
                <w:rFonts w:hint="eastAsia" w:cs="Times New Roman"/>
                <w:color w:val="0000FF"/>
                <w:highlight w:val="none"/>
                <w:lang w:val="en-US" w:eastAsia="zh-CN"/>
              </w:rPr>
              <w:t>管道北侧30</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s="Times New Roman"/>
                <w:color w:val="0000FF"/>
                <w:highlight w:val="none"/>
                <w:lang w:val="en-US" w:eastAsia="zh-CN"/>
              </w:rPr>
            </w:pPr>
            <w:r>
              <w:rPr>
                <w:rFonts w:hint="eastAsia" w:cs="Times New Roman"/>
                <w:color w:val="0000FF"/>
                <w:highlight w:val="none"/>
                <w:lang w:val="en-US" w:eastAsia="zh-CN"/>
              </w:rPr>
              <w:t>80</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输水管线</w:t>
            </w: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default" w:ascii="Times New Roman" w:hAnsi="Times New Roman" w:cs="Times New Roman"/>
                <w:color w:val="auto"/>
                <w:highlight w:val="none"/>
                <w:lang w:eastAsia="zh-CN"/>
              </w:rPr>
              <w:t>金马村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lang w:val="en-US" w:eastAsia="zh-CN"/>
              </w:rPr>
              <w:t>101°51′21.240″</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lang w:val="en-US" w:eastAsia="zh-CN"/>
              </w:rPr>
              <w:t>26°0′16.911″</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ascii="Times New Roman" w:hAnsi="Times New Roman" w:cs="Times New Roman"/>
                <w:color w:val="auto"/>
                <w:highlight w:val="none"/>
                <w:lang w:eastAsia="zh-CN"/>
              </w:rPr>
              <w:t>管道东侧</w:t>
            </w:r>
            <w:r>
              <w:rPr>
                <w:rFonts w:hint="eastAsia" w:ascii="Times New Roman" w:hAnsi="Times New Roman" w:cs="Times New Roman"/>
                <w:color w:val="auto"/>
                <w:highlight w:val="none"/>
                <w:lang w:val="en-US" w:eastAsia="zh-CN"/>
              </w:rPr>
              <w:t>30</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auto"/>
                <w:highlight w:val="none"/>
                <w:lang w:val="en-US" w:eastAsia="zh-CN"/>
              </w:rPr>
              <w:t>1920</w:t>
            </w:r>
          </w:p>
        </w:tc>
        <w:tc>
          <w:tcPr>
            <w:tcW w:w="1305"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eastAsia" w:cs="Times New Roman"/>
                <w:bCs/>
                <w:color w:val="0000FF"/>
                <w:sz w:val="21"/>
                <w:szCs w:val="21"/>
                <w:highlight w:val="none"/>
                <w:lang w:val="en-US" w:eastAsia="zh-CN"/>
              </w:rPr>
              <w:t>涉及风景名胜区的执行</w:t>
            </w:r>
            <w:r>
              <w:rPr>
                <w:rFonts w:hint="eastAsia" w:ascii="Times New Roman" w:hAnsi="Times New Roman" w:cs="Times New Roman"/>
                <w:bCs/>
                <w:color w:val="0000FF"/>
                <w:sz w:val="21"/>
                <w:szCs w:val="21"/>
                <w:highlight w:val="none"/>
                <w:lang w:val="en-US" w:eastAsia="zh-CN"/>
              </w:rPr>
              <w:t>《环境空气质量标准》（GB3095-2012）</w:t>
            </w:r>
            <w:r>
              <w:rPr>
                <w:rFonts w:hint="eastAsia" w:cs="Times New Roman"/>
                <w:bCs/>
                <w:color w:val="0000FF"/>
                <w:sz w:val="21"/>
                <w:szCs w:val="21"/>
                <w:highlight w:val="none"/>
                <w:lang w:val="en-US" w:eastAsia="zh-CN"/>
              </w:rPr>
              <w:t>一</w:t>
            </w:r>
            <w:r>
              <w:rPr>
                <w:rFonts w:hint="eastAsia" w:ascii="Times New Roman" w:hAnsi="Times New Roman" w:cs="Times New Roman"/>
                <w:bCs/>
                <w:color w:val="0000FF"/>
                <w:sz w:val="21"/>
                <w:szCs w:val="21"/>
                <w:highlight w:val="none"/>
                <w:lang w:val="en-US" w:eastAsia="zh-CN"/>
              </w:rPr>
              <w:t>级标准</w:t>
            </w:r>
            <w:r>
              <w:rPr>
                <w:rFonts w:hint="eastAsia" w:cs="Times New Roman"/>
                <w:bCs/>
                <w:color w:val="0000FF"/>
                <w:sz w:val="21"/>
                <w:szCs w:val="21"/>
                <w:highlight w:val="none"/>
                <w:lang w:val="en-US" w:eastAsia="zh-CN"/>
              </w:rPr>
              <w:t>；其他地区执行二级标准。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ascii="Times New Roman" w:hAnsi="Times New Roman" w:cs="Times New Roman"/>
                <w:color w:val="auto"/>
                <w:highlight w:val="none"/>
                <w:lang w:val="en-US" w:eastAsia="zh-CN"/>
              </w:rPr>
              <w:t>阿洒姑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rPr>
              <w:t>101°52′25.5</w:t>
            </w:r>
            <w:r>
              <w:rPr>
                <w:rFonts w:hint="eastAsia" w:ascii="Times New Roman" w:hAnsi="Times New Roman" w:cs="Times New Roman"/>
                <w:color w:val="auto"/>
                <w:highlight w:val="none"/>
                <w:lang w:val="en-US" w:eastAsia="zh-CN"/>
              </w:rPr>
              <w:t>10</w:t>
            </w:r>
            <w:r>
              <w:rPr>
                <w:rFonts w:hint="default" w:ascii="Times New Roman" w:hAnsi="Times New Roman" w:cs="Times New Roman"/>
                <w:color w:val="auto"/>
                <w:highlight w:val="none"/>
              </w:rPr>
              <w:t>″</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rPr>
              <w:t>26°2′28.8</w:t>
            </w:r>
            <w:r>
              <w:rPr>
                <w:rFonts w:hint="eastAsia" w:ascii="Times New Roman" w:hAnsi="Times New Roman" w:cs="Times New Roman"/>
                <w:color w:val="auto"/>
                <w:highlight w:val="none"/>
                <w:lang w:val="en-US" w:eastAsia="zh-CN"/>
              </w:rPr>
              <w:t>50</w:t>
            </w:r>
            <w:r>
              <w:rPr>
                <w:rFonts w:hint="default" w:ascii="Times New Roman" w:hAnsi="Times New Roman" w:cs="Times New Roman"/>
                <w:color w:val="auto"/>
                <w:highlight w:val="none"/>
              </w:rPr>
              <w:t>″</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ascii="Times New Roman" w:hAnsi="Times New Roman" w:cs="Times New Roman"/>
                <w:color w:val="auto"/>
                <w:highlight w:val="none"/>
                <w:lang w:eastAsia="zh-CN"/>
              </w:rPr>
              <w:t>管道</w:t>
            </w:r>
            <w:r>
              <w:rPr>
                <w:rFonts w:hint="eastAsia" w:cs="Times New Roman"/>
                <w:color w:val="auto"/>
                <w:highlight w:val="none"/>
                <w:lang w:eastAsia="zh-CN"/>
              </w:rPr>
              <w:t>西北</w:t>
            </w:r>
            <w:r>
              <w:rPr>
                <w:rFonts w:hint="eastAsia" w:ascii="Times New Roman" w:hAnsi="Times New Roman" w:cs="Times New Roman"/>
                <w:color w:val="auto"/>
                <w:highlight w:val="none"/>
                <w:lang w:eastAsia="zh-CN"/>
              </w:rPr>
              <w:t>侧</w:t>
            </w:r>
            <w:r>
              <w:rPr>
                <w:rFonts w:hint="eastAsia" w:cs="Times New Roman"/>
                <w:color w:val="auto"/>
                <w:highlight w:val="none"/>
                <w:lang w:val="en-US" w:eastAsia="zh-CN"/>
              </w:rPr>
              <w:t>45</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auto"/>
                <w:highlight w:val="none"/>
                <w:lang w:val="en-US" w:eastAsia="zh-CN"/>
              </w:rPr>
              <w:t>528</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auto"/>
                <w:highlight w:val="none"/>
                <w:lang w:val="en-US" w:eastAsia="zh-CN"/>
              </w:rPr>
              <w:t>华峰</w:t>
            </w:r>
            <w:r>
              <w:rPr>
                <w:rFonts w:hint="eastAsia" w:ascii="Times New Roman" w:hAnsi="Times New Roman" w:cs="Times New Roman"/>
                <w:color w:val="auto"/>
                <w:highlight w:val="none"/>
                <w:lang w:val="en-US" w:eastAsia="zh-CN"/>
              </w:rPr>
              <w:t>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rPr>
              <w:t>101°54′38.37</w:t>
            </w:r>
            <w:r>
              <w:rPr>
                <w:rFonts w:hint="eastAsia" w:ascii="Times New Roman" w:hAnsi="Times New Roman" w:cs="Times New Roman"/>
                <w:color w:val="auto"/>
                <w:highlight w:val="none"/>
                <w:lang w:val="en-US" w:eastAsia="zh-CN"/>
              </w:rPr>
              <w:t>6</w:t>
            </w:r>
            <w:r>
              <w:rPr>
                <w:rFonts w:hint="default" w:ascii="Times New Roman" w:hAnsi="Times New Roman" w:cs="Times New Roman"/>
                <w:color w:val="auto"/>
                <w:highlight w:val="none"/>
              </w:rPr>
              <w:t>″</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rPr>
              <w:t>26°1′31.841″</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s="Times New Roman"/>
                <w:color w:val="0000FF"/>
                <w:highlight w:val="none"/>
                <w:lang w:val="en-US" w:eastAsia="zh-CN"/>
              </w:rPr>
            </w:pPr>
            <w:r>
              <w:rPr>
                <w:rFonts w:hint="eastAsia" w:ascii="Times New Roman" w:hAnsi="Times New Roman" w:cs="Times New Roman"/>
                <w:color w:val="auto"/>
                <w:highlight w:val="none"/>
                <w:lang w:eastAsia="zh-CN"/>
              </w:rPr>
              <w:t>管道</w:t>
            </w:r>
            <w:r>
              <w:rPr>
                <w:rFonts w:hint="eastAsia" w:cs="Times New Roman"/>
                <w:color w:val="auto"/>
                <w:highlight w:val="none"/>
                <w:lang w:eastAsia="zh-CN"/>
              </w:rPr>
              <w:t>西侧</w:t>
            </w:r>
            <w:r>
              <w:rPr>
                <w:rFonts w:hint="eastAsia" w:cs="Times New Roman"/>
                <w:color w:val="auto"/>
                <w:highlight w:val="none"/>
                <w:lang w:val="en-US" w:eastAsia="zh-CN"/>
              </w:rPr>
              <w:t>102</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auto"/>
                <w:highlight w:val="none"/>
                <w:lang w:val="en-US" w:eastAsia="zh-CN"/>
              </w:rPr>
              <w:t>1344</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ascii="Times New Roman" w:hAnsi="Times New Roman" w:cs="Times New Roman"/>
                <w:color w:val="auto"/>
                <w:highlight w:val="none"/>
                <w:lang w:val="en-US" w:eastAsia="zh-CN"/>
              </w:rPr>
              <w:t>羊拉昔</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rPr>
              <w:t>101°54′31.73</w:t>
            </w:r>
            <w:r>
              <w:rPr>
                <w:rFonts w:hint="eastAsia" w:ascii="Times New Roman" w:hAnsi="Times New Roman" w:cs="Times New Roman"/>
                <w:color w:val="auto"/>
                <w:highlight w:val="none"/>
                <w:lang w:val="en-US" w:eastAsia="zh-CN"/>
              </w:rPr>
              <w:t>9</w:t>
            </w:r>
            <w:r>
              <w:rPr>
                <w:rFonts w:hint="default" w:ascii="Times New Roman" w:hAnsi="Times New Roman" w:cs="Times New Roman"/>
                <w:color w:val="auto"/>
                <w:highlight w:val="none"/>
              </w:rPr>
              <w:t>″</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rPr>
              <w:t>26°3′6.03</w:t>
            </w:r>
            <w:r>
              <w:rPr>
                <w:rFonts w:hint="eastAsia" w:ascii="Times New Roman" w:hAnsi="Times New Roman" w:cs="Times New Roman"/>
                <w:color w:val="auto"/>
                <w:highlight w:val="none"/>
                <w:lang w:val="en-US" w:eastAsia="zh-CN"/>
              </w:rPr>
              <w:t>6</w:t>
            </w:r>
            <w:r>
              <w:rPr>
                <w:rFonts w:hint="default" w:ascii="Times New Roman" w:hAnsi="Times New Roman" w:cs="Times New Roman"/>
                <w:color w:val="auto"/>
                <w:highlight w:val="none"/>
              </w:rPr>
              <w:t>″</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auto"/>
                <w:highlight w:val="none"/>
                <w:lang w:eastAsia="zh-CN"/>
              </w:rPr>
              <w:t>管道东侧</w:t>
            </w:r>
            <w:r>
              <w:rPr>
                <w:rFonts w:hint="eastAsia" w:cs="Times New Roman"/>
                <w:color w:val="auto"/>
                <w:highlight w:val="none"/>
                <w:lang w:val="en-US" w:eastAsia="zh-CN"/>
              </w:rPr>
              <w:t>5</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auto"/>
                <w:highlight w:val="none"/>
                <w:lang w:val="en-US" w:eastAsia="zh-CN"/>
              </w:rPr>
              <w:t>448</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ascii="Times New Roman" w:hAnsi="Times New Roman" w:cs="Times New Roman"/>
                <w:color w:val="auto"/>
                <w:highlight w:val="none"/>
                <w:lang w:val="en-US" w:eastAsia="zh-CN"/>
              </w:rPr>
              <w:t>姜驿乡</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rPr>
              <w:t>101°54′30.232″</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rPr>
              <w:t>26°4′14.863″</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auto"/>
                <w:highlight w:val="none"/>
                <w:lang w:eastAsia="zh-CN"/>
              </w:rPr>
              <w:t>管道东侧</w:t>
            </w:r>
            <w:r>
              <w:rPr>
                <w:rFonts w:hint="eastAsia" w:cs="Times New Roman"/>
                <w:color w:val="auto"/>
                <w:highlight w:val="none"/>
                <w:lang w:val="en-US" w:eastAsia="zh-CN"/>
              </w:rPr>
              <w:t>26</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auto"/>
                <w:highlight w:val="none"/>
                <w:lang w:val="en-US" w:eastAsia="zh-CN"/>
              </w:rPr>
              <w:t>2000</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ascii="Times New Roman" w:hAnsi="Times New Roman" w:cs="Times New Roman"/>
                <w:color w:val="auto"/>
                <w:highlight w:val="none"/>
                <w:lang w:val="en-US" w:eastAsia="zh-CN"/>
              </w:rPr>
              <w:t>红坡村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rPr>
              <w:t>101°53′48.808″</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rPr>
              <w:t>26°4′48.234″</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auto"/>
                <w:highlight w:val="none"/>
                <w:lang w:eastAsia="zh-CN"/>
              </w:rPr>
              <w:t>管道北侧</w:t>
            </w:r>
            <w:r>
              <w:rPr>
                <w:rFonts w:hint="eastAsia" w:cs="Times New Roman"/>
                <w:color w:val="auto"/>
                <w:highlight w:val="none"/>
                <w:lang w:val="en-US" w:eastAsia="zh-CN"/>
              </w:rPr>
              <w:t>15</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auto"/>
                <w:highlight w:val="none"/>
                <w:lang w:val="en-US" w:eastAsia="zh-CN"/>
              </w:rPr>
              <w:t>320</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ascii="Times New Roman" w:hAnsi="Times New Roman" w:cs="Times New Roman"/>
                <w:color w:val="auto"/>
                <w:highlight w:val="none"/>
                <w:lang w:val="en-US" w:eastAsia="zh-CN"/>
              </w:rPr>
              <w:t>姜驿大村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rPr>
              <w:t>101°55′18.43</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rPr>
              <w:t>″</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rPr>
              <w:t>26°4′21.236″</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s="Times New Roman"/>
                <w:color w:val="0000FF"/>
                <w:highlight w:val="none"/>
                <w:lang w:val="en-US" w:eastAsia="zh-CN"/>
              </w:rPr>
            </w:pPr>
            <w:r>
              <w:rPr>
                <w:rFonts w:hint="eastAsia" w:cs="Times New Roman"/>
                <w:color w:val="auto"/>
                <w:highlight w:val="none"/>
                <w:lang w:eastAsia="zh-CN"/>
              </w:rPr>
              <w:t>管道东侧</w:t>
            </w:r>
            <w:r>
              <w:rPr>
                <w:rFonts w:hint="eastAsia" w:cs="Times New Roman"/>
                <w:color w:val="auto"/>
                <w:highlight w:val="none"/>
                <w:lang w:val="en-US" w:eastAsia="zh-CN"/>
              </w:rPr>
              <w:t>51</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auto"/>
                <w:highlight w:val="none"/>
                <w:lang w:val="en-US" w:eastAsia="zh-CN"/>
              </w:rPr>
              <w:t>1600</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ascii="Times New Roman" w:hAnsi="Times New Roman" w:cs="Times New Roman"/>
                <w:color w:val="auto"/>
                <w:highlight w:val="none"/>
                <w:lang w:val="en-US" w:eastAsia="zh-CN"/>
              </w:rPr>
              <w:t>拉黑沟</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rPr>
              <w:t>101°55′26.85</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rPr>
              <w:t>″</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rPr>
              <w:t>26°4′49.895″</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auto"/>
                <w:highlight w:val="none"/>
                <w:lang w:eastAsia="zh-CN"/>
              </w:rPr>
              <w:t>管道北侧</w:t>
            </w:r>
            <w:r>
              <w:rPr>
                <w:rFonts w:hint="eastAsia" w:cs="Times New Roman"/>
                <w:color w:val="auto"/>
                <w:highlight w:val="none"/>
                <w:lang w:val="en-US" w:eastAsia="zh-CN"/>
              </w:rPr>
              <w:t>82</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auto"/>
                <w:highlight w:val="none"/>
                <w:lang w:val="en-US" w:eastAsia="zh-CN"/>
              </w:rPr>
              <w:t>336</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ascii="Times New Roman" w:hAnsi="Times New Roman" w:cs="Times New Roman"/>
                <w:color w:val="auto"/>
                <w:highlight w:val="none"/>
                <w:lang w:val="en-US" w:eastAsia="zh-CN"/>
              </w:rPr>
              <w:t>白秧树村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rPr>
              <w:t>101°55′58.333″</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auto"/>
                <w:highlight w:val="none"/>
              </w:rPr>
              <w:t>26°5′5.808″</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auto"/>
                <w:highlight w:val="none"/>
                <w:lang w:eastAsia="zh-CN"/>
              </w:rPr>
              <w:t>管道东侧</w:t>
            </w:r>
            <w:r>
              <w:rPr>
                <w:rFonts w:hint="eastAsia" w:cs="Times New Roman"/>
                <w:color w:val="auto"/>
                <w:highlight w:val="none"/>
                <w:lang w:val="en-US" w:eastAsia="zh-CN"/>
              </w:rPr>
              <w:t>10</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auto"/>
                <w:highlight w:val="none"/>
                <w:lang w:val="en-US" w:eastAsia="zh-CN"/>
              </w:rPr>
              <w:t>704</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0000FF"/>
                <w:highlight w:val="none"/>
                <w:lang w:val="en-US" w:eastAsia="zh-CN"/>
              </w:rPr>
              <w:t>坝塘边村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0000FF"/>
                <w:highlight w:val="none"/>
              </w:rPr>
              <w:t>101°54′36.63</w:t>
            </w:r>
            <w:r>
              <w:rPr>
                <w:rFonts w:hint="eastAsia" w:cs="Times New Roman"/>
                <w:color w:val="0000FF"/>
                <w:highlight w:val="none"/>
                <w:lang w:val="en-US" w:eastAsia="zh-CN"/>
              </w:rPr>
              <w:t>7</w:t>
            </w:r>
            <w:r>
              <w:rPr>
                <w:rFonts w:hint="default" w:ascii="Times New Roman" w:hAnsi="Times New Roman" w:cs="Times New Roman"/>
                <w:color w:val="0000FF"/>
                <w:highlight w:val="none"/>
              </w:rPr>
              <w:t>″</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0000FF"/>
                <w:highlight w:val="none"/>
              </w:rPr>
              <w:t>26°1′59.2</w:t>
            </w:r>
            <w:r>
              <w:rPr>
                <w:rFonts w:hint="eastAsia" w:cs="Times New Roman"/>
                <w:color w:val="0000FF"/>
                <w:highlight w:val="none"/>
                <w:lang w:val="en-US" w:eastAsia="zh-CN"/>
              </w:rPr>
              <w:t>40</w:t>
            </w:r>
            <w:r>
              <w:rPr>
                <w:rFonts w:hint="default" w:ascii="Times New Roman" w:hAnsi="Times New Roman" w:cs="Times New Roman"/>
                <w:color w:val="0000FF"/>
                <w:highlight w:val="none"/>
              </w:rPr>
              <w:t>″</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0000FF"/>
                <w:highlight w:val="none"/>
                <w:lang w:val="en-US" w:eastAsia="zh-CN"/>
              </w:rPr>
              <w:t>管道西侧174</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0000FF"/>
                <w:highlight w:val="none"/>
                <w:lang w:val="en-US" w:eastAsia="zh-CN"/>
              </w:rPr>
              <w:t>28</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71"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auto"/>
                <w:highlight w:val="none"/>
              </w:rPr>
            </w:pP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0000FF"/>
                <w:highlight w:val="none"/>
                <w:lang w:val="en-US" w:eastAsia="zh-CN"/>
              </w:rPr>
              <w:t>红坡村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0000FF"/>
                <w:highlight w:val="none"/>
              </w:rPr>
              <w:t>101°53′47.65</w:t>
            </w:r>
            <w:r>
              <w:rPr>
                <w:rFonts w:hint="eastAsia" w:cs="Times New Roman"/>
                <w:color w:val="0000FF"/>
                <w:highlight w:val="none"/>
                <w:lang w:val="en-US" w:eastAsia="zh-CN"/>
              </w:rPr>
              <w:t>2</w:t>
            </w:r>
            <w:r>
              <w:rPr>
                <w:rFonts w:hint="default" w:ascii="Times New Roman" w:hAnsi="Times New Roman" w:cs="Times New Roman"/>
                <w:color w:val="0000FF"/>
                <w:highlight w:val="none"/>
              </w:rPr>
              <w:t xml:space="preserve">″ </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0000FF"/>
                <w:highlight w:val="none"/>
              </w:rPr>
              <w:t>26°4′50.01</w:t>
            </w:r>
            <w:r>
              <w:rPr>
                <w:rFonts w:hint="eastAsia" w:cs="Times New Roman"/>
                <w:color w:val="0000FF"/>
                <w:highlight w:val="none"/>
                <w:lang w:val="en-US" w:eastAsia="zh-CN"/>
              </w:rPr>
              <w:t>5</w:t>
            </w:r>
            <w:r>
              <w:rPr>
                <w:rFonts w:hint="default" w:ascii="Times New Roman" w:hAnsi="Times New Roman" w:cs="Times New Roman"/>
                <w:color w:val="0000FF"/>
                <w:highlight w:val="none"/>
              </w:rPr>
              <w:t>″</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0000FF"/>
                <w:highlight w:val="none"/>
                <w:lang w:val="en-US" w:eastAsia="zh-CN"/>
              </w:rPr>
              <w:t>管道北侧30</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0000FF"/>
                <w:highlight w:val="none"/>
                <w:lang w:val="en-US" w:eastAsia="zh-CN"/>
              </w:rPr>
              <w:t>80</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白秧树泵站</w:t>
            </w:r>
          </w:p>
        </w:tc>
        <w:tc>
          <w:tcPr>
            <w:tcW w:w="117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s="Times New Roman"/>
                <w:color w:val="0000FF"/>
                <w:highlight w:val="none"/>
                <w:lang w:val="en-US" w:eastAsia="zh-CN"/>
              </w:rPr>
            </w:pPr>
            <w:r>
              <w:rPr>
                <w:rFonts w:hint="eastAsia" w:cs="Times New Roman"/>
                <w:color w:val="0000FF"/>
                <w:highlight w:val="none"/>
                <w:lang w:val="en-US" w:eastAsia="zh-CN"/>
              </w:rPr>
              <w:t>石榴村</w:t>
            </w:r>
          </w:p>
        </w:tc>
        <w:tc>
          <w:tcPr>
            <w:tcW w:w="15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0000FF"/>
                <w:highlight w:val="none"/>
              </w:rPr>
              <w:t>101°56′16.74</w:t>
            </w:r>
            <w:r>
              <w:rPr>
                <w:rFonts w:hint="eastAsia" w:cs="Times New Roman"/>
                <w:color w:val="0000FF"/>
                <w:highlight w:val="none"/>
                <w:lang w:val="en-US" w:eastAsia="zh-CN"/>
              </w:rPr>
              <w:t>3</w:t>
            </w:r>
            <w:r>
              <w:rPr>
                <w:rFonts w:hint="default" w:ascii="Times New Roman" w:hAnsi="Times New Roman" w:cs="Times New Roman"/>
                <w:color w:val="0000FF"/>
                <w:highlight w:val="none"/>
              </w:rPr>
              <w:t xml:space="preserve">″  </w:t>
            </w:r>
          </w:p>
        </w:tc>
        <w:tc>
          <w:tcPr>
            <w:tcW w:w="13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r>
              <w:rPr>
                <w:rFonts w:hint="default" w:ascii="Times New Roman" w:hAnsi="Times New Roman" w:cs="Times New Roman"/>
                <w:color w:val="0000FF"/>
                <w:highlight w:val="none"/>
              </w:rPr>
              <w:t>26°5′11.35</w:t>
            </w:r>
            <w:r>
              <w:rPr>
                <w:rFonts w:hint="eastAsia" w:cs="Times New Roman"/>
                <w:color w:val="0000FF"/>
                <w:highlight w:val="none"/>
                <w:lang w:val="en-US" w:eastAsia="zh-CN"/>
              </w:rPr>
              <w:t>3</w:t>
            </w:r>
            <w:r>
              <w:rPr>
                <w:rFonts w:hint="default" w:ascii="Times New Roman" w:hAnsi="Times New Roman" w:cs="Times New Roman"/>
                <w:color w:val="0000FF"/>
                <w:highlight w:val="none"/>
              </w:rPr>
              <w:t>″</w:t>
            </w:r>
          </w:p>
        </w:tc>
        <w:tc>
          <w:tcPr>
            <w:tcW w:w="13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s="Times New Roman"/>
                <w:color w:val="0000FF"/>
                <w:highlight w:val="none"/>
                <w:lang w:val="en-US" w:eastAsia="zh-CN"/>
              </w:rPr>
            </w:pPr>
            <w:r>
              <w:rPr>
                <w:rFonts w:hint="eastAsia" w:cs="Times New Roman"/>
                <w:color w:val="0000FF"/>
                <w:highlight w:val="none"/>
                <w:lang w:val="en-US" w:eastAsia="zh-CN"/>
              </w:rPr>
              <w:t>380</w:t>
            </w:r>
          </w:p>
        </w:tc>
        <w:tc>
          <w:tcPr>
            <w:tcW w:w="112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cs="Times New Roman"/>
                <w:color w:val="0000FF"/>
                <w:highlight w:val="none"/>
                <w:lang w:val="en-US" w:eastAsia="zh-CN"/>
              </w:rPr>
            </w:pPr>
            <w:r>
              <w:rPr>
                <w:rFonts w:hint="eastAsia" w:cs="Times New Roman"/>
                <w:color w:val="0000FF"/>
                <w:highlight w:val="none"/>
                <w:lang w:val="en-US" w:eastAsia="zh-CN"/>
              </w:rPr>
              <w:t>120</w:t>
            </w:r>
          </w:p>
        </w:tc>
        <w:tc>
          <w:tcPr>
            <w:tcW w:w="1305"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cs="Times New Roman"/>
                <w:color w:val="0000FF"/>
                <w:highlight w:val="none"/>
              </w:rPr>
            </w:pPr>
          </w:p>
        </w:tc>
      </w:tr>
    </w:tbl>
    <w:p>
      <w:pPr>
        <w:pStyle w:val="28"/>
        <w:ind w:left="0" w:leftChars="0" w:firstLine="0" w:firstLineChars="0"/>
        <w:rPr>
          <w:rFonts w:hint="eastAsia"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注：泵站外扩200m范围无声环境保护目标。项目涉及元谋风景名胜区范围内无大气环境、声环境保护目标。</w:t>
      </w:r>
    </w:p>
    <w:p>
      <w:pPr>
        <w:pStyle w:val="3"/>
        <w:bidi w:val="0"/>
        <w:rPr>
          <w:rFonts w:hint="default"/>
          <w:color w:val="auto"/>
        </w:rPr>
      </w:pPr>
      <w:bookmarkStart w:id="281" w:name="_Toc23116"/>
      <w:bookmarkStart w:id="282" w:name="_Toc20553"/>
      <w:bookmarkStart w:id="283" w:name="_Toc507"/>
      <w:bookmarkStart w:id="284" w:name="_Toc22631"/>
      <w:bookmarkStart w:id="285" w:name="_Toc11851"/>
      <w:bookmarkStart w:id="286" w:name="_Toc30740"/>
      <w:bookmarkStart w:id="287" w:name="_Toc11818"/>
      <w:bookmarkStart w:id="288" w:name="_Toc18508"/>
      <w:bookmarkStart w:id="289" w:name="_Toc17571"/>
      <w:bookmarkStart w:id="290" w:name="_Toc31385"/>
      <w:bookmarkStart w:id="291" w:name="_Toc1249"/>
      <w:bookmarkStart w:id="292" w:name="_Toc10184"/>
      <w:bookmarkStart w:id="293" w:name="_Toc29835"/>
      <w:bookmarkStart w:id="294" w:name="_Toc8165"/>
      <w:r>
        <w:rPr>
          <w:rFonts w:hint="default"/>
          <w:color w:val="auto"/>
        </w:rPr>
        <w:t>评价时段及评价方法</w:t>
      </w:r>
      <w:bookmarkEnd w:id="281"/>
      <w:bookmarkEnd w:id="282"/>
      <w:bookmarkEnd w:id="283"/>
      <w:bookmarkEnd w:id="284"/>
      <w:bookmarkEnd w:id="285"/>
      <w:bookmarkEnd w:id="286"/>
      <w:bookmarkEnd w:id="287"/>
      <w:bookmarkEnd w:id="288"/>
      <w:r>
        <w:rPr>
          <w:rFonts w:hint="eastAsia"/>
          <w:color w:val="auto"/>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auto"/>
          <w:highlight w:val="none"/>
          <w:lang w:val="en-US" w:eastAsia="zh-CN"/>
        </w:rPr>
      </w:pPr>
      <w:bookmarkStart w:id="295" w:name="_Toc4504"/>
      <w:r>
        <w:rPr>
          <w:rFonts w:hint="default" w:ascii="Times New Roman" w:hAnsi="Times New Roman" w:eastAsia="宋体" w:cs="Times New Roman"/>
          <w:b/>
          <w:bCs/>
          <w:color w:val="auto"/>
          <w:kern w:val="2"/>
          <w:sz w:val="24"/>
          <w:szCs w:val="21"/>
          <w:highlight w:val="none"/>
          <w:lang w:val="en-US" w:eastAsia="zh-CN" w:bidi="ar-SA"/>
        </w:rPr>
        <w:t>（1）</w:t>
      </w:r>
      <w:r>
        <w:rPr>
          <w:rFonts w:hint="default" w:ascii="Times New Roman" w:hAnsi="Times New Roman" w:cs="Times New Roman"/>
          <w:b/>
          <w:bCs/>
          <w:color w:val="auto"/>
          <w:highlight w:val="none"/>
        </w:rPr>
        <w:t>评价时段</w:t>
      </w:r>
      <w:bookmarkEnd w:id="295"/>
    </w:p>
    <w:p>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根据项目的特征，本次环境影响评价时段为施工期、运营期两个时段。</w:t>
      </w:r>
    </w:p>
    <w:p>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auto"/>
          <w:highlight w:val="none"/>
        </w:rPr>
      </w:pPr>
      <w:bookmarkStart w:id="296" w:name="_Toc30747"/>
      <w:r>
        <w:rPr>
          <w:rFonts w:hint="default" w:ascii="Times New Roman" w:hAnsi="Times New Roman" w:cs="Times New Roman"/>
          <w:b/>
          <w:bCs/>
          <w:color w:val="auto"/>
          <w:highlight w:val="none"/>
        </w:rPr>
        <w:t>（2）评价方法</w:t>
      </w:r>
      <w:bookmarkEnd w:id="296"/>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对项目的污染源及污染物进行调查，核实废气、噪声、废水等污染物的排放量和排放方式，并用类比法和模型预测法进行建设项目环境影响评价。采用的评价方法见下表。</w:t>
      </w:r>
    </w:p>
    <w:p>
      <w:pPr>
        <w:pStyle w:val="4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cs="Times New Roman"/>
          <w:color w:val="auto"/>
          <w:highlight w:val="none"/>
          <w:lang w:val="en-US" w:eastAsia="zh-CN"/>
        </w:rPr>
        <w:t>1</w:t>
      </w:r>
      <w:r>
        <w:rPr>
          <w:rFonts w:hint="default" w:ascii="Times New Roman" w:hAnsi="Times New Roman" w:cs="Times New Roman"/>
          <w:color w:val="auto"/>
          <w:highlight w:val="none"/>
        </w:rPr>
        <w:t>.8-1  本项目评价中采用的主要技术和方法</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56"/>
        <w:gridCol w:w="4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6"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评价项目</w:t>
            </w:r>
          </w:p>
        </w:tc>
        <w:tc>
          <w:tcPr>
            <w:tcW w:w="4860"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现状评价/影响评价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6"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声环境影响评价</w:t>
            </w:r>
          </w:p>
        </w:tc>
        <w:tc>
          <w:tcPr>
            <w:tcW w:w="4860"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现状监测、模型预测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6"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生态环境影响评价</w:t>
            </w:r>
          </w:p>
        </w:tc>
        <w:tc>
          <w:tcPr>
            <w:tcW w:w="4860"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现场调查、访问专家、资料收集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6"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地表水环境影响评价</w:t>
            </w:r>
          </w:p>
        </w:tc>
        <w:tc>
          <w:tcPr>
            <w:tcW w:w="4860"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现状监测和资料收集，类比分析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6"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地下水环境影响评价</w:t>
            </w:r>
          </w:p>
        </w:tc>
        <w:tc>
          <w:tcPr>
            <w:tcW w:w="4860"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现状监测和资料收集，类比分析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6"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环境空气影响评价</w:t>
            </w:r>
          </w:p>
        </w:tc>
        <w:tc>
          <w:tcPr>
            <w:tcW w:w="4860" w:type="dxa"/>
            <w:noWrap w:val="0"/>
            <w:vAlign w:val="center"/>
          </w:tcPr>
          <w:p>
            <w:pPr>
              <w:pStyle w:val="42"/>
              <w:rPr>
                <w:rFonts w:hint="default" w:ascii="Times New Roman" w:hAnsi="Times New Roman" w:eastAsia="宋" w:cs="Times New Roman"/>
                <w:color w:val="auto"/>
                <w:highlight w:val="none"/>
                <w:lang w:val="en-US" w:eastAsia="zh-CN"/>
              </w:rPr>
            </w:pPr>
            <w:r>
              <w:rPr>
                <w:rFonts w:hint="default" w:ascii="Times New Roman" w:hAnsi="Times New Roman" w:cs="Times New Roman"/>
                <w:color w:val="auto"/>
                <w:highlight w:val="none"/>
              </w:rPr>
              <w:t>资料收集、</w:t>
            </w:r>
            <w:r>
              <w:rPr>
                <w:rFonts w:hint="default" w:ascii="Times New Roman" w:hAnsi="Times New Roman" w:cs="Times New Roman"/>
                <w:color w:val="auto"/>
                <w:highlight w:val="none"/>
                <w:lang w:val="en-US" w:eastAsia="zh-CN"/>
              </w:rPr>
              <w:t>类比分析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6" w:type="dxa"/>
            <w:noWrap w:val="0"/>
            <w:vAlign w:val="center"/>
          </w:tcPr>
          <w:p>
            <w:pPr>
              <w:pStyle w:val="42"/>
              <w:rPr>
                <w:rFonts w:hint="default" w:ascii="Times New Roman" w:hAnsi="Times New Roman" w:eastAsia="宋" w:cs="Times New Roman"/>
                <w:color w:val="auto"/>
                <w:highlight w:val="none"/>
                <w:lang w:val="en-US" w:eastAsia="zh-CN"/>
              </w:rPr>
            </w:pPr>
            <w:bookmarkStart w:id="297" w:name="_Toc19087"/>
            <w:bookmarkStart w:id="298" w:name="_Toc7457"/>
            <w:bookmarkStart w:id="299" w:name="_Toc65"/>
            <w:r>
              <w:rPr>
                <w:rFonts w:hint="default" w:ascii="Times New Roman" w:hAnsi="Times New Roman" w:cs="Times New Roman"/>
                <w:color w:val="auto"/>
                <w:highlight w:val="none"/>
                <w:lang w:val="en-US" w:eastAsia="zh-CN"/>
              </w:rPr>
              <w:t>土壤环境</w:t>
            </w:r>
            <w:r>
              <w:rPr>
                <w:rFonts w:hint="default" w:ascii="Times New Roman" w:hAnsi="Times New Roman" w:cs="Times New Roman"/>
                <w:color w:val="auto"/>
                <w:highlight w:val="none"/>
              </w:rPr>
              <w:t>影响评价</w:t>
            </w:r>
          </w:p>
        </w:tc>
        <w:tc>
          <w:tcPr>
            <w:tcW w:w="4860"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现状监测和资料收集，类比分析</w:t>
            </w:r>
          </w:p>
        </w:tc>
      </w:tr>
    </w:tbl>
    <w:p>
      <w:pPr>
        <w:pStyle w:val="3"/>
        <w:bidi w:val="0"/>
        <w:rPr>
          <w:rFonts w:hint="default"/>
          <w:color w:val="auto"/>
          <w:highlight w:val="none"/>
        </w:rPr>
      </w:pPr>
      <w:bookmarkStart w:id="300" w:name="_Toc18512"/>
      <w:bookmarkStart w:id="301" w:name="_Toc32556"/>
      <w:bookmarkStart w:id="302" w:name="_Toc26841"/>
      <w:bookmarkStart w:id="303" w:name="_Toc11112"/>
      <w:bookmarkStart w:id="304" w:name="_Toc14187"/>
      <w:r>
        <w:rPr>
          <w:rFonts w:hint="default"/>
          <w:color w:val="auto"/>
          <w:highlight w:val="none"/>
        </w:rPr>
        <w:t>评价工作程序</w:t>
      </w:r>
      <w:bookmarkEnd w:id="289"/>
      <w:bookmarkEnd w:id="297"/>
      <w:bookmarkEnd w:id="298"/>
      <w:bookmarkEnd w:id="299"/>
      <w:bookmarkEnd w:id="300"/>
      <w:bookmarkEnd w:id="301"/>
      <w:bookmarkEnd w:id="302"/>
      <w:bookmarkEnd w:id="303"/>
      <w:bookmarkEnd w:id="304"/>
    </w:p>
    <w:p>
      <w:pPr>
        <w:pStyle w:val="47"/>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环境影响评价的工作程序见图</w:t>
      </w:r>
      <w:r>
        <w:rPr>
          <w:rFonts w:hint="eastAsia" w:cs="Times New Roman"/>
          <w:color w:val="auto"/>
          <w:highlight w:val="none"/>
          <w:lang w:val="en-US" w:eastAsia="zh-CN"/>
        </w:rPr>
        <w:t>1</w:t>
      </w:r>
      <w:r>
        <w:rPr>
          <w:rFonts w:hint="default" w:ascii="Times New Roman" w:hAnsi="Times New Roman" w:cs="Times New Roman"/>
          <w:color w:val="auto"/>
          <w:highlight w:val="none"/>
        </w:rPr>
        <w:t>.9-1。</w:t>
      </w:r>
    </w:p>
    <w:p>
      <w:pPr>
        <w:pStyle w:val="47"/>
        <w:ind w:firstLine="0" w:firstLineChars="0"/>
        <w:jc w:val="center"/>
        <w:rPr>
          <w:rFonts w:hint="default" w:ascii="Times New Roman" w:hAnsi="Times New Roman" w:cs="Times New Roman"/>
          <w:color w:val="auto"/>
          <w:highlight w:val="none"/>
        </w:rPr>
      </w:pPr>
      <w:r>
        <w:rPr>
          <w:rFonts w:hint="default" w:ascii="Times New Roman" w:hAnsi="Times New Roman" w:cs="Times New Roman"/>
          <w:b/>
          <w:color w:val="auto"/>
          <w:highlight w:val="none"/>
        </w:rPr>
        <w:drawing>
          <wp:inline distT="0" distB="0" distL="114300" distR="114300">
            <wp:extent cx="5430520" cy="6881495"/>
            <wp:effectExtent l="0" t="0" r="17780" b="14605"/>
            <wp:docPr id="21" name="图片 15" descr="F:\打印\环评工作流程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descr="F:\打印\环评工作流程图.png"/>
                    <pic:cNvPicPr>
                      <a:picLocks noChangeAspect="1"/>
                    </pic:cNvPicPr>
                  </pic:nvPicPr>
                  <pic:blipFill>
                    <a:blip r:embed="rId41"/>
                    <a:stretch>
                      <a:fillRect/>
                    </a:stretch>
                  </pic:blipFill>
                  <pic:spPr>
                    <a:xfrm>
                      <a:off x="0" y="0"/>
                      <a:ext cx="5430520" cy="6881495"/>
                    </a:xfrm>
                    <a:prstGeom prst="rect">
                      <a:avLst/>
                    </a:prstGeom>
                    <a:noFill/>
                    <a:ln>
                      <a:noFill/>
                    </a:ln>
                  </pic:spPr>
                </pic:pic>
              </a:graphicData>
            </a:graphic>
          </wp:inline>
        </w:drawing>
      </w:r>
    </w:p>
    <w:p>
      <w:pPr>
        <w:pStyle w:val="40"/>
        <w:bidi w:val="0"/>
        <w:rPr>
          <w:rFonts w:hint="default"/>
          <w:color w:val="auto"/>
          <w:highlight w:val="none"/>
        </w:rPr>
      </w:pPr>
      <w:r>
        <w:rPr>
          <w:rFonts w:hint="default"/>
          <w:color w:val="auto"/>
          <w:highlight w:val="none"/>
        </w:rPr>
        <w:t>图</w:t>
      </w:r>
      <w:r>
        <w:rPr>
          <w:rFonts w:hint="eastAsia"/>
          <w:color w:val="auto"/>
          <w:highlight w:val="none"/>
          <w:lang w:val="en-US" w:eastAsia="zh-CN"/>
        </w:rPr>
        <w:t>1</w:t>
      </w:r>
      <w:r>
        <w:rPr>
          <w:rFonts w:hint="default"/>
          <w:color w:val="auto"/>
          <w:highlight w:val="none"/>
        </w:rPr>
        <w:t>.9-1  环境影响评价工作程序图</w:t>
      </w:r>
    </w:p>
    <w:p>
      <w:pPr>
        <w:rPr>
          <w:rFonts w:hint="default" w:ascii="Times New Roman" w:hAnsi="Times New Roman" w:cs="Times New Roman"/>
          <w:color w:val="auto"/>
          <w:highlight w:val="none"/>
        </w:rPr>
      </w:pPr>
    </w:p>
    <w:p>
      <w:pPr>
        <w:ind w:firstLine="480"/>
        <w:rPr>
          <w:rFonts w:hint="default" w:ascii="Times New Roman" w:hAnsi="Times New Roman" w:cs="Times New Roman"/>
          <w:color w:val="auto"/>
          <w:highlight w:val="none"/>
        </w:rPr>
        <w:sectPr>
          <w:footerReference r:id="rId8" w:type="default"/>
          <w:pgSz w:w="11906" w:h="16838"/>
          <w:pgMar w:top="1440" w:right="1803" w:bottom="1440" w:left="1803" w:header="851" w:footer="992" w:gutter="0"/>
          <w:pgBorders>
            <w:top w:val="none" w:sz="0" w:space="0"/>
            <w:left w:val="none" w:sz="0" w:space="0"/>
            <w:bottom w:val="none" w:sz="0" w:space="0"/>
            <w:right w:val="none" w:sz="0" w:space="0"/>
          </w:pgBorders>
          <w:pgNumType w:fmt="decimal" w:start="1"/>
          <w:cols w:space="720" w:num="1"/>
          <w:rtlGutter w:val="0"/>
          <w:docGrid w:type="lines" w:linePitch="312" w:charSpace="0"/>
        </w:sectPr>
      </w:pPr>
    </w:p>
    <w:bookmarkEnd w:id="290"/>
    <w:bookmarkEnd w:id="291"/>
    <w:bookmarkEnd w:id="292"/>
    <w:bookmarkEnd w:id="293"/>
    <w:bookmarkEnd w:id="294"/>
    <w:p>
      <w:pPr>
        <w:pStyle w:val="2"/>
        <w:bidi w:val="0"/>
        <w:rPr>
          <w:rFonts w:hint="default"/>
          <w:color w:val="auto"/>
          <w:highlight w:val="none"/>
        </w:rPr>
      </w:pPr>
      <w:bookmarkStart w:id="305" w:name="_Toc13465"/>
      <w:bookmarkStart w:id="306" w:name="_Toc16104"/>
      <w:bookmarkStart w:id="307" w:name="_Toc15134"/>
      <w:bookmarkStart w:id="308" w:name="_Toc12389"/>
      <w:bookmarkStart w:id="309" w:name="_Toc21221"/>
      <w:bookmarkStart w:id="310" w:name="_Toc15768"/>
      <w:bookmarkStart w:id="311" w:name="_Toc765"/>
      <w:bookmarkStart w:id="312" w:name="_Toc24706"/>
      <w:bookmarkStart w:id="313" w:name="_Toc14239"/>
      <w:bookmarkStart w:id="314" w:name="_Toc32656"/>
      <w:bookmarkStart w:id="315" w:name="_Toc17926"/>
      <w:bookmarkStart w:id="316" w:name="_Toc15269"/>
      <w:r>
        <w:rPr>
          <w:rFonts w:hint="default"/>
          <w:color w:val="auto"/>
          <w:highlight w:val="none"/>
        </w:rPr>
        <w:t>建设项目</w:t>
      </w:r>
      <w:bookmarkEnd w:id="305"/>
      <w:bookmarkEnd w:id="306"/>
      <w:bookmarkStart w:id="317" w:name="_Toc4110"/>
      <w:bookmarkStart w:id="318" w:name="_Toc7962"/>
      <w:r>
        <w:rPr>
          <w:rFonts w:hint="default"/>
          <w:color w:val="auto"/>
          <w:highlight w:val="none"/>
        </w:rPr>
        <w:t>概况</w:t>
      </w:r>
      <w:bookmarkEnd w:id="307"/>
      <w:bookmarkEnd w:id="308"/>
      <w:bookmarkEnd w:id="309"/>
      <w:bookmarkEnd w:id="310"/>
      <w:bookmarkEnd w:id="311"/>
      <w:bookmarkEnd w:id="312"/>
      <w:bookmarkEnd w:id="313"/>
      <w:bookmarkEnd w:id="317"/>
      <w:bookmarkEnd w:id="318"/>
    </w:p>
    <w:bookmarkEnd w:id="314"/>
    <w:bookmarkEnd w:id="315"/>
    <w:bookmarkEnd w:id="316"/>
    <w:p>
      <w:pPr>
        <w:pStyle w:val="3"/>
        <w:bidi w:val="0"/>
        <w:rPr>
          <w:rFonts w:hint="default"/>
          <w:color w:val="auto"/>
          <w:highlight w:val="none"/>
        </w:rPr>
      </w:pPr>
      <w:bookmarkStart w:id="319" w:name="_Toc28761"/>
      <w:bookmarkStart w:id="320" w:name="_Toc16215"/>
      <w:bookmarkStart w:id="321" w:name="_Toc19800"/>
      <w:bookmarkStart w:id="322" w:name="_Toc9999"/>
      <w:r>
        <w:rPr>
          <w:rFonts w:hint="eastAsia"/>
          <w:color w:val="auto"/>
          <w:highlight w:val="none"/>
          <w:lang w:val="en-US" w:eastAsia="zh-CN"/>
        </w:rPr>
        <w:t>流域概况及灌区规划</w:t>
      </w:r>
      <w:bookmarkEnd w:id="319"/>
      <w:bookmarkEnd w:id="320"/>
      <w:bookmarkEnd w:id="321"/>
      <w:bookmarkEnd w:id="322"/>
    </w:p>
    <w:p>
      <w:pPr>
        <w:pStyle w:val="4"/>
        <w:bidi w:val="0"/>
        <w:rPr>
          <w:rFonts w:hint="default"/>
          <w:color w:val="auto"/>
          <w:highlight w:val="none"/>
        </w:rPr>
      </w:pPr>
      <w:bookmarkStart w:id="323" w:name="_Toc19064"/>
      <w:bookmarkStart w:id="324" w:name="_Toc6176"/>
      <w:bookmarkStart w:id="325" w:name="_Toc9789"/>
      <w:r>
        <w:rPr>
          <w:rFonts w:hint="eastAsia"/>
          <w:color w:val="auto"/>
          <w:highlight w:val="none"/>
          <w:lang w:val="en-US" w:eastAsia="zh-CN"/>
        </w:rPr>
        <w:t>流域及水资源利用概况</w:t>
      </w:r>
      <w:bookmarkEnd w:id="323"/>
      <w:bookmarkEnd w:id="324"/>
      <w:bookmarkEnd w:id="325"/>
    </w:p>
    <w:p>
      <w:pPr>
        <w:keepNext w:val="0"/>
        <w:keepLines w:val="0"/>
        <w:pageBreakBefore w:val="0"/>
        <w:widowControl w:val="0"/>
        <w:numPr>
          <w:ilvl w:val="0"/>
          <w:numId w:val="0"/>
        </w:numPr>
        <w:kinsoku/>
        <w:wordWrap/>
        <w:overflowPunct/>
        <w:topLinePunct w:val="0"/>
        <w:autoSpaceDE/>
        <w:autoSpaceDN/>
        <w:bidi w:val="0"/>
        <w:adjustRightInd/>
        <w:snapToGrid w:val="0"/>
        <w:ind w:firstLine="482" w:firstLineChars="200"/>
        <w:textAlignment w:val="auto"/>
        <w:rPr>
          <w:rFonts w:hint="default"/>
          <w:b/>
          <w:bCs/>
          <w:color w:val="auto"/>
          <w:highlight w:val="none"/>
          <w:lang w:val="en-US" w:eastAsia="zh-CN"/>
        </w:rPr>
      </w:pPr>
      <w:r>
        <w:rPr>
          <w:rFonts w:hint="eastAsia" w:ascii="Times New Roman" w:hAnsi="Times New Roman" w:eastAsia="宋体" w:cs="Times New Roman"/>
          <w:b/>
          <w:bCs/>
          <w:color w:val="auto"/>
          <w:kern w:val="2"/>
          <w:sz w:val="24"/>
          <w:szCs w:val="21"/>
          <w:highlight w:val="none"/>
          <w:lang w:val="en-US" w:eastAsia="zh-CN" w:bidi="ar-SA"/>
        </w:rPr>
        <w:t>1、</w:t>
      </w:r>
      <w:r>
        <w:rPr>
          <w:rFonts w:hint="eastAsia"/>
          <w:b/>
          <w:bCs/>
          <w:color w:val="auto"/>
          <w:highlight w:val="none"/>
          <w:lang w:val="en-US" w:eastAsia="zh-CN"/>
        </w:rPr>
        <w:t>工程所在地理位置</w:t>
      </w:r>
    </w:p>
    <w:p>
      <w:pPr>
        <w:keepNext w:val="0"/>
        <w:keepLines w:val="0"/>
        <w:pageBreakBefore w:val="0"/>
        <w:widowControl w:val="0"/>
        <w:numPr>
          <w:ilvl w:val="0"/>
          <w:numId w:val="0"/>
        </w:numPr>
        <w:kinsoku/>
        <w:wordWrap/>
        <w:overflowPunct/>
        <w:topLinePunct w:val="0"/>
        <w:autoSpaceDE/>
        <w:autoSpaceDN/>
        <w:bidi w:val="0"/>
        <w:adjustRightInd/>
        <w:snapToGrid w:val="0"/>
        <w:ind w:firstLine="480" w:firstLineChars="200"/>
        <w:textAlignment w:val="auto"/>
        <w:rPr>
          <w:rFonts w:hint="eastAsia"/>
          <w:color w:val="auto"/>
          <w:highlight w:val="none"/>
          <w:lang w:val="en-US" w:eastAsia="zh-CN"/>
        </w:rPr>
      </w:pPr>
      <w:r>
        <w:rPr>
          <w:rFonts w:hint="eastAsia"/>
          <w:color w:val="auto"/>
          <w:highlight w:val="none"/>
          <w:lang w:val="en-US" w:eastAsia="zh-CN"/>
        </w:rPr>
        <w:t>本项目灌区位于云南省楚雄彝族自治州元谋县境内，项目区为元谋县金沙江以北地区，工程区域为金沙江干热河谷地带，涉及姜驿乡水平石、半箐、姜驿、</w:t>
      </w:r>
      <w:r>
        <w:rPr>
          <w:rFonts w:hint="default"/>
          <w:color w:val="auto"/>
          <w:highlight w:val="none"/>
          <w:lang w:val="en-US" w:eastAsia="zh-CN"/>
        </w:rPr>
        <w:t>糯拉</w:t>
      </w:r>
      <w:r>
        <w:rPr>
          <w:rFonts w:hint="eastAsia"/>
          <w:color w:val="auto"/>
          <w:highlight w:val="none"/>
          <w:lang w:val="en-US" w:eastAsia="zh-CN"/>
        </w:rPr>
        <w:t>鲊4个村委会32个自然村和江边乡盐水井村委会3个自然村。</w:t>
      </w:r>
    </w:p>
    <w:p>
      <w:pPr>
        <w:keepNext w:val="0"/>
        <w:keepLines w:val="0"/>
        <w:pageBreakBefore w:val="0"/>
        <w:widowControl w:val="0"/>
        <w:numPr>
          <w:ilvl w:val="0"/>
          <w:numId w:val="0"/>
        </w:numPr>
        <w:kinsoku/>
        <w:wordWrap/>
        <w:overflowPunct/>
        <w:topLinePunct w:val="0"/>
        <w:autoSpaceDE/>
        <w:autoSpaceDN/>
        <w:bidi w:val="0"/>
        <w:adjustRightInd/>
        <w:snapToGrid w:val="0"/>
        <w:ind w:firstLine="482" w:firstLineChars="200"/>
        <w:textAlignment w:val="auto"/>
        <w:rPr>
          <w:rFonts w:hint="default"/>
          <w:b/>
          <w:bCs/>
          <w:color w:val="auto"/>
          <w:highlight w:val="none"/>
          <w:lang w:val="en-US" w:eastAsia="zh-CN"/>
        </w:rPr>
      </w:pPr>
      <w:r>
        <w:rPr>
          <w:rFonts w:hint="eastAsia" w:ascii="Times New Roman" w:hAnsi="Times New Roman" w:eastAsia="宋体" w:cs="Times New Roman"/>
          <w:b/>
          <w:bCs/>
          <w:color w:val="auto"/>
          <w:kern w:val="2"/>
          <w:sz w:val="24"/>
          <w:szCs w:val="21"/>
          <w:highlight w:val="none"/>
          <w:lang w:val="en-US" w:eastAsia="zh-CN" w:bidi="ar-SA"/>
        </w:rPr>
        <w:t>2、</w:t>
      </w:r>
      <w:r>
        <w:rPr>
          <w:rFonts w:hint="eastAsia"/>
          <w:b/>
          <w:bCs/>
          <w:color w:val="auto"/>
          <w:highlight w:val="none"/>
          <w:lang w:val="en-US" w:eastAsia="zh-CN"/>
        </w:rPr>
        <w:t>项目区现有水利工程概况</w:t>
      </w:r>
    </w:p>
    <w:p>
      <w:pPr>
        <w:keepNext w:val="0"/>
        <w:keepLines w:val="0"/>
        <w:pageBreakBefore w:val="0"/>
        <w:widowControl w:val="0"/>
        <w:numPr>
          <w:ilvl w:val="0"/>
          <w:numId w:val="0"/>
        </w:numPr>
        <w:kinsoku/>
        <w:wordWrap/>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default"/>
          <w:color w:val="auto"/>
          <w:highlight w:val="none"/>
          <w:lang w:val="en-US" w:eastAsia="zh-CN"/>
        </w:rPr>
        <w:t>项目区现有水利工程主要是5件小（2）型水库及姜驿乡抗旱应急供水工程</w:t>
      </w:r>
      <w:r>
        <w:rPr>
          <w:rFonts w:hint="eastAsia"/>
          <w:color w:val="auto"/>
          <w:highlight w:val="none"/>
          <w:lang w:val="en-US" w:eastAsia="zh-CN"/>
        </w:rPr>
        <w:t>：①界牌箐水库（界牌箐水库）</w:t>
      </w:r>
      <w:r>
        <w:rPr>
          <w:rFonts w:hint="default"/>
          <w:color w:val="auto"/>
          <w:highlight w:val="none"/>
          <w:lang w:val="en-US" w:eastAsia="zh-CN"/>
        </w:rPr>
        <w:t>，总库容10.1万m³，兴利库容3.3万m³，供水量2.1万m³；</w:t>
      </w:r>
      <w:r>
        <w:rPr>
          <w:rFonts w:hint="eastAsia"/>
          <w:color w:val="auto"/>
          <w:highlight w:val="none"/>
          <w:lang w:val="en-US" w:eastAsia="zh-CN"/>
        </w:rPr>
        <w:t>②</w:t>
      </w:r>
      <w:r>
        <w:rPr>
          <w:rFonts w:hint="default"/>
          <w:color w:val="auto"/>
          <w:highlight w:val="none"/>
          <w:lang w:val="en-US" w:eastAsia="zh-CN"/>
        </w:rPr>
        <w:t>水平石水库，总库容31.5万m³，兴利库容22.2万m³，供水量15.6万m³；</w:t>
      </w:r>
      <w:r>
        <w:rPr>
          <w:rFonts w:hint="eastAsia"/>
          <w:color w:val="auto"/>
          <w:highlight w:val="none"/>
          <w:lang w:val="en-US" w:eastAsia="zh-CN"/>
        </w:rPr>
        <w:t>③</w:t>
      </w:r>
      <w:r>
        <w:rPr>
          <w:rFonts w:hint="default"/>
          <w:color w:val="auto"/>
          <w:highlight w:val="none"/>
          <w:lang w:val="en-US" w:eastAsia="zh-CN"/>
        </w:rPr>
        <w:t>姜中水库，总库容11.3万m³，兴利库容8.2万m³，供水量7.5万m³；</w:t>
      </w:r>
      <w:r>
        <w:rPr>
          <w:rFonts w:hint="eastAsia"/>
          <w:color w:val="auto"/>
          <w:highlight w:val="none"/>
          <w:lang w:val="en-US" w:eastAsia="zh-CN"/>
        </w:rPr>
        <w:t>④</w:t>
      </w:r>
      <w:r>
        <w:rPr>
          <w:rFonts w:hint="default"/>
          <w:color w:val="auto"/>
          <w:highlight w:val="none"/>
          <w:lang w:val="en-US" w:eastAsia="zh-CN"/>
        </w:rPr>
        <w:t>李官坟水库，总库容11.3万m³，兴利库容3.8万m³，供水量1.4万m³；</w:t>
      </w:r>
      <w:r>
        <w:rPr>
          <w:rFonts w:hint="eastAsia"/>
          <w:color w:val="auto"/>
          <w:highlight w:val="none"/>
          <w:lang w:val="en-US" w:eastAsia="zh-CN"/>
        </w:rPr>
        <w:t>⑤</w:t>
      </w:r>
      <w:r>
        <w:rPr>
          <w:rFonts w:hint="default"/>
          <w:color w:val="auto"/>
          <w:highlight w:val="none"/>
          <w:lang w:val="en-US" w:eastAsia="zh-CN"/>
        </w:rPr>
        <w:t>致富水库，总库容18.3万m³，兴利库容10.3万m³，供水量12.6万m³。5件小（2）型水库总库容81.7万m³，兴利库容38.9万m³，供水量39.2万m³。</w:t>
      </w:r>
      <w:r>
        <w:rPr>
          <w:rFonts w:hint="eastAsia"/>
          <w:color w:val="auto"/>
          <w:highlight w:val="none"/>
          <w:lang w:val="en-US" w:eastAsia="zh-CN"/>
        </w:rPr>
        <w:t>⑥</w:t>
      </w:r>
      <w:r>
        <w:rPr>
          <w:rFonts w:hint="default"/>
          <w:color w:val="auto"/>
          <w:highlight w:val="none"/>
          <w:lang w:val="en-US" w:eastAsia="zh-CN"/>
        </w:rPr>
        <w:t>现状年根据用水需求，姜驿乡抗旱应急供水工程向项目区内集镇、农村生活供水39.1万m³</w:t>
      </w:r>
      <w:r>
        <w:rPr>
          <w:rFonts w:hint="eastAsia"/>
          <w:color w:val="auto"/>
          <w:highlight w:val="none"/>
          <w:lang w:val="en-US" w:eastAsia="zh-CN"/>
        </w:rPr>
        <w:t>；⑦小坝塘供水45万m³；集雨工程供水1.2万m³。</w:t>
      </w:r>
      <w:r>
        <w:rPr>
          <w:rFonts w:hint="default"/>
          <w:color w:val="auto"/>
          <w:highlight w:val="none"/>
          <w:lang w:val="en-US" w:eastAsia="zh-CN"/>
        </w:rPr>
        <w:t>现状年项目区总供水量为</w:t>
      </w:r>
      <w:r>
        <w:rPr>
          <w:rFonts w:hint="eastAsia"/>
          <w:color w:val="auto"/>
          <w:highlight w:val="none"/>
          <w:lang w:val="en-US" w:eastAsia="zh-CN"/>
        </w:rPr>
        <w:t>124.5</w:t>
      </w:r>
      <w:r>
        <w:rPr>
          <w:rFonts w:hint="default"/>
          <w:color w:val="auto"/>
          <w:highlight w:val="none"/>
          <w:lang w:val="en-US" w:eastAsia="zh-CN"/>
        </w:rPr>
        <w:t>万m³，其中：集镇生活供水量4.6万m³，农村生活供水量34.5万m³，农灌供水量</w:t>
      </w:r>
      <w:r>
        <w:rPr>
          <w:rFonts w:hint="eastAsia"/>
          <w:color w:val="auto"/>
          <w:highlight w:val="none"/>
          <w:lang w:val="en-US" w:eastAsia="zh-CN"/>
        </w:rPr>
        <w:t>85.4</w:t>
      </w:r>
      <w:r>
        <w:rPr>
          <w:rFonts w:hint="default"/>
          <w:color w:val="auto"/>
          <w:highlight w:val="none"/>
          <w:lang w:val="en-US" w:eastAsia="zh-CN"/>
        </w:rPr>
        <w:t>万m³，保证灌溉面积0.14万亩。</w:t>
      </w:r>
    </w:p>
    <w:p>
      <w:pPr>
        <w:keepNext w:val="0"/>
        <w:keepLines w:val="0"/>
        <w:pageBreakBefore w:val="0"/>
        <w:widowControl w:val="0"/>
        <w:numPr>
          <w:ilvl w:val="0"/>
          <w:numId w:val="0"/>
        </w:numPr>
        <w:kinsoku/>
        <w:wordWrap/>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eastAsia"/>
          <w:color w:val="auto"/>
          <w:highlight w:val="none"/>
          <w:lang w:val="en-US" w:eastAsia="zh-CN"/>
        </w:rPr>
        <w:t>项目区现有水利工程概况如下表所示：</w:t>
      </w:r>
    </w:p>
    <w:p>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firstLine="482" w:firstLineChars="200"/>
        <w:jc w:val="center"/>
        <w:textAlignment w:val="auto"/>
        <w:rPr>
          <w:rFonts w:hint="default"/>
          <w:b/>
          <w:bCs/>
          <w:color w:val="auto"/>
          <w:highlight w:val="none"/>
          <w:lang w:val="en-US" w:eastAsia="zh-CN"/>
        </w:rPr>
      </w:pPr>
      <w:r>
        <w:rPr>
          <w:rFonts w:hint="eastAsia"/>
          <w:b/>
          <w:bCs/>
          <w:color w:val="auto"/>
          <w:highlight w:val="none"/>
          <w:lang w:val="en-US" w:eastAsia="zh-CN"/>
        </w:rPr>
        <w:t>表2.1-1   项目区现有水利工程概况表</w:t>
      </w:r>
    </w:p>
    <w:tbl>
      <w:tblPr>
        <w:tblStyle w:val="57"/>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590"/>
        <w:gridCol w:w="1108"/>
        <w:gridCol w:w="1108"/>
        <w:gridCol w:w="1108"/>
        <w:gridCol w:w="1108"/>
        <w:gridCol w:w="1151"/>
        <w:gridCol w:w="113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957" w:type="pct"/>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spacing w:val="-3"/>
              </w:rPr>
              <w:t>设计流域</w:t>
            </w:r>
          </w:p>
        </w:tc>
        <w:tc>
          <w:tcPr>
            <w:tcW w:w="667" w:type="pct"/>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cs="Times New Roman"/>
                <w:color w:val="auto"/>
                <w:spacing w:val="-3"/>
                <w:lang w:val="en-US" w:eastAsia="zh-CN"/>
              </w:rPr>
            </w:pPr>
            <w:r>
              <w:rPr>
                <w:rFonts w:hint="eastAsia" w:ascii="Times New Roman" w:hAnsi="Times New Roman" w:cs="Times New Roman"/>
                <w:color w:val="auto"/>
                <w:spacing w:val="-3"/>
                <w:lang w:val="en-US" w:eastAsia="zh-CN"/>
              </w:rPr>
              <w:t>工程规模</w:t>
            </w:r>
          </w:p>
        </w:tc>
        <w:tc>
          <w:tcPr>
            <w:tcW w:w="667" w:type="pct"/>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eastAsia" w:ascii="Times New Roman" w:hAnsi="Times New Roman" w:cs="Times New Roman"/>
                <w:color w:val="auto"/>
                <w:spacing w:val="-3"/>
                <w:lang w:val="en-US" w:eastAsia="zh-CN"/>
              </w:rPr>
            </w:pPr>
            <w:r>
              <w:rPr>
                <w:rFonts w:hint="eastAsia" w:ascii="Times New Roman" w:hAnsi="Times New Roman" w:cs="Times New Roman"/>
                <w:color w:val="auto"/>
                <w:spacing w:val="-3"/>
                <w:lang w:val="en-US" w:eastAsia="zh-CN"/>
              </w:rPr>
              <w:t>总库容</w:t>
            </w:r>
          </w:p>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eastAsia" w:ascii="Times New Roman" w:hAnsi="Times New Roman" w:eastAsia="宋体" w:cs="Times New Roman"/>
                <w:color w:val="auto"/>
                <w:spacing w:val="-3"/>
                <w:lang w:val="en-US" w:eastAsia="zh-CN"/>
              </w:rPr>
            </w:pPr>
            <w:r>
              <w:rPr>
                <w:rFonts w:hint="eastAsia" w:ascii="Times New Roman" w:hAnsi="Times New Roman" w:cs="Times New Roman"/>
                <w:color w:val="auto"/>
                <w:spacing w:val="-3"/>
                <w:lang w:val="en-US" w:eastAsia="zh-CN"/>
              </w:rPr>
              <w:t>（万m³）</w:t>
            </w:r>
          </w:p>
        </w:tc>
        <w:tc>
          <w:tcPr>
            <w:tcW w:w="667" w:type="pct"/>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eastAsia" w:ascii="Times New Roman" w:hAnsi="Times New Roman" w:cs="Times New Roman"/>
                <w:color w:val="auto"/>
                <w:spacing w:val="-3"/>
                <w:lang w:val="en-US" w:eastAsia="zh-CN"/>
              </w:rPr>
            </w:pPr>
            <w:r>
              <w:rPr>
                <w:rFonts w:hint="eastAsia" w:ascii="Times New Roman" w:hAnsi="Times New Roman" w:cs="Times New Roman"/>
                <w:color w:val="auto"/>
                <w:spacing w:val="-3"/>
                <w:lang w:val="en-US" w:eastAsia="zh-CN"/>
              </w:rPr>
              <w:t>兴利库容</w:t>
            </w:r>
          </w:p>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3"/>
                <w:lang w:val="en-US" w:eastAsia="zh-CN"/>
              </w:rPr>
            </w:pPr>
            <w:r>
              <w:rPr>
                <w:rFonts w:hint="eastAsia" w:ascii="Times New Roman" w:hAnsi="Times New Roman" w:cs="Times New Roman"/>
                <w:color w:val="auto"/>
                <w:spacing w:val="-3"/>
                <w:lang w:val="en-US" w:eastAsia="zh-CN"/>
              </w:rPr>
              <w:t>（万m³）</w:t>
            </w:r>
          </w:p>
        </w:tc>
        <w:tc>
          <w:tcPr>
            <w:tcW w:w="667" w:type="pct"/>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cs="Times New Roman"/>
                <w:color w:val="auto"/>
                <w:spacing w:val="-3"/>
              </w:rPr>
            </w:pPr>
            <w:r>
              <w:rPr>
                <w:rFonts w:hint="default" w:ascii="Times New Roman" w:hAnsi="Times New Roman" w:cs="Times New Roman"/>
                <w:color w:val="auto"/>
                <w:spacing w:val="-3"/>
              </w:rPr>
              <w:t>径流面积</w:t>
            </w:r>
          </w:p>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spacing w:val="-3"/>
              </w:rPr>
              <w:t>（</w:t>
            </w:r>
            <w:r>
              <w:rPr>
                <w:rFonts w:hint="default" w:ascii="Times New Roman" w:hAnsi="Times New Roman" w:eastAsia="Times New Roman" w:cs="Times New Roman"/>
                <w:color w:val="auto"/>
                <w:spacing w:val="-3"/>
              </w:rPr>
              <w:t>km²</w:t>
            </w:r>
            <w:r>
              <w:rPr>
                <w:rFonts w:hint="default" w:ascii="Times New Roman" w:hAnsi="Times New Roman" w:cs="Times New Roman"/>
                <w:color w:val="auto"/>
                <w:spacing w:val="-3"/>
              </w:rPr>
              <w:t>)</w:t>
            </w:r>
          </w:p>
        </w:tc>
        <w:tc>
          <w:tcPr>
            <w:tcW w:w="689" w:type="pct"/>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cs="Times New Roman"/>
                <w:color w:val="auto"/>
                <w:spacing w:val="-3"/>
              </w:rPr>
            </w:pPr>
            <w:r>
              <w:rPr>
                <w:rFonts w:hint="default" w:ascii="Times New Roman" w:hAnsi="Times New Roman" w:cs="Times New Roman"/>
                <w:color w:val="auto"/>
                <w:spacing w:val="-3"/>
              </w:rPr>
              <w:t>年径流量</w:t>
            </w:r>
          </w:p>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spacing w:val="-6"/>
              </w:rPr>
              <w:t>（万</w:t>
            </w:r>
            <w:r>
              <w:rPr>
                <w:rFonts w:hint="default" w:ascii="Times New Roman" w:hAnsi="Times New Roman" w:cs="Times New Roman"/>
                <w:color w:val="auto"/>
                <w:spacing w:val="-38"/>
              </w:rPr>
              <w:t xml:space="preserve"> </w:t>
            </w:r>
            <w:r>
              <w:rPr>
                <w:rFonts w:hint="default" w:ascii="Times New Roman" w:hAnsi="Times New Roman" w:eastAsia="Times New Roman" w:cs="Times New Roman"/>
                <w:color w:val="auto"/>
                <w:spacing w:val="-6"/>
              </w:rPr>
              <w:t>m³</w:t>
            </w:r>
            <w:r>
              <w:rPr>
                <w:rFonts w:hint="default" w:ascii="Times New Roman" w:hAnsi="Times New Roman" w:cs="Times New Roman"/>
                <w:color w:val="auto"/>
                <w:spacing w:val="-6"/>
              </w:rPr>
              <w:t>)</w:t>
            </w:r>
          </w:p>
        </w:tc>
        <w:tc>
          <w:tcPr>
            <w:tcW w:w="681" w:type="pct"/>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eastAsia" w:ascii="Times New Roman" w:hAnsi="Times New Roman" w:cs="Times New Roman"/>
                <w:color w:val="auto"/>
                <w:spacing w:val="-6"/>
                <w:lang w:val="en-US" w:eastAsia="zh-CN"/>
              </w:rPr>
            </w:pPr>
            <w:r>
              <w:rPr>
                <w:rFonts w:hint="eastAsia" w:ascii="Times New Roman" w:hAnsi="Times New Roman" w:cs="Times New Roman"/>
                <w:color w:val="auto"/>
                <w:spacing w:val="-6"/>
                <w:lang w:val="en-US" w:eastAsia="zh-CN"/>
              </w:rPr>
              <w:t>年供水量</w:t>
            </w:r>
          </w:p>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6"/>
                <w:lang w:val="en-US" w:eastAsia="zh-CN"/>
              </w:rPr>
            </w:pPr>
            <w:r>
              <w:rPr>
                <w:rFonts w:hint="default" w:ascii="Times New Roman" w:hAnsi="Times New Roman" w:cs="Times New Roman"/>
                <w:color w:val="auto"/>
                <w:spacing w:val="-6"/>
              </w:rPr>
              <w:t>（万</w:t>
            </w:r>
            <w:r>
              <w:rPr>
                <w:rFonts w:hint="default" w:ascii="Times New Roman" w:hAnsi="Times New Roman" w:cs="Times New Roman"/>
                <w:color w:val="auto"/>
                <w:spacing w:val="-38"/>
              </w:rPr>
              <w:t xml:space="preserve"> </w:t>
            </w:r>
            <w:r>
              <w:rPr>
                <w:rFonts w:hint="default" w:ascii="Times New Roman" w:hAnsi="Times New Roman" w:eastAsia="Times New Roman" w:cs="Times New Roman"/>
                <w:color w:val="auto"/>
                <w:spacing w:val="-6"/>
              </w:rPr>
              <w:t>m³</w:t>
            </w:r>
            <w:r>
              <w:rPr>
                <w:rFonts w:hint="default" w:ascii="Times New Roman" w:hAnsi="Times New Roman" w:cs="Times New Roman"/>
                <w:color w:val="auto"/>
                <w:spacing w:val="-6"/>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957" w:type="pct"/>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spacing w:val="-2"/>
              </w:rPr>
              <w:t>姜中水库</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小（2）型</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11.3</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8.2</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2.1</w:t>
            </w:r>
          </w:p>
        </w:tc>
        <w:tc>
          <w:tcPr>
            <w:tcW w:w="689"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eastAsia="宋体" w:cs="Times New Roman"/>
                <w:color w:val="auto"/>
                <w:spacing w:val="-6"/>
                <w:sz w:val="21"/>
                <w:szCs w:val="21"/>
                <w:lang w:val="en-US" w:eastAsia="zh-CN"/>
              </w:rPr>
              <w:t>17.77</w:t>
            </w:r>
          </w:p>
        </w:tc>
        <w:tc>
          <w:tcPr>
            <w:tcW w:w="681"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6"/>
                <w:sz w:val="21"/>
                <w:szCs w:val="21"/>
                <w:lang w:val="en-US" w:eastAsia="zh-CN"/>
              </w:rPr>
            </w:pPr>
            <w:r>
              <w:rPr>
                <w:rFonts w:hint="eastAsia" w:ascii="Times New Roman" w:hAnsi="Times New Roman" w:eastAsia="宋体" w:cs="Times New Roman"/>
                <w:color w:val="auto"/>
                <w:spacing w:val="-6"/>
                <w:sz w:val="21"/>
                <w:szCs w:val="21"/>
                <w:lang w:val="en-US" w:eastAsia="zh-CN"/>
              </w:rPr>
              <w:t>7.5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957" w:type="pct"/>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spacing w:val="-3"/>
              </w:rPr>
              <w:t>界牌箐水库</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Times New Roman" w:cs="Times New Roman"/>
                <w:color w:val="auto"/>
                <w:spacing w:val="-8"/>
                <w:sz w:val="21"/>
                <w:szCs w:val="21"/>
              </w:rPr>
            </w:pPr>
            <w:r>
              <w:rPr>
                <w:rFonts w:hint="eastAsia" w:ascii="Times New Roman" w:hAnsi="Times New Roman" w:eastAsia="宋体" w:cs="Times New Roman"/>
                <w:color w:val="auto"/>
                <w:spacing w:val="-2"/>
                <w:sz w:val="21"/>
                <w:szCs w:val="21"/>
                <w:lang w:val="en-US" w:eastAsia="zh-CN"/>
              </w:rPr>
              <w:t>小（2）型</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10.1</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8"/>
                <w:sz w:val="21"/>
                <w:szCs w:val="21"/>
                <w:lang w:val="en-US" w:eastAsia="zh-CN"/>
              </w:rPr>
            </w:pPr>
            <w:r>
              <w:rPr>
                <w:rFonts w:hint="eastAsia" w:ascii="Times New Roman" w:hAnsi="Times New Roman" w:eastAsia="宋体" w:cs="Times New Roman"/>
                <w:color w:val="auto"/>
                <w:spacing w:val="-8"/>
                <w:sz w:val="21"/>
                <w:szCs w:val="21"/>
                <w:lang w:val="en-US" w:eastAsia="zh-CN"/>
              </w:rPr>
              <w:t>3.3</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8"/>
                <w:sz w:val="21"/>
                <w:szCs w:val="21"/>
              </w:rPr>
              <w:t>1.0</w:t>
            </w:r>
          </w:p>
        </w:tc>
        <w:tc>
          <w:tcPr>
            <w:tcW w:w="689"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eastAsia="宋体" w:cs="Times New Roman"/>
                <w:color w:val="auto"/>
                <w:spacing w:val="-4"/>
                <w:sz w:val="21"/>
                <w:szCs w:val="21"/>
                <w:lang w:val="en-US" w:eastAsia="zh-CN"/>
              </w:rPr>
              <w:t>8.46</w:t>
            </w:r>
          </w:p>
        </w:tc>
        <w:tc>
          <w:tcPr>
            <w:tcW w:w="681"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4"/>
                <w:sz w:val="21"/>
                <w:szCs w:val="21"/>
                <w:lang w:val="en-US" w:eastAsia="zh-CN"/>
              </w:rPr>
            </w:pPr>
            <w:r>
              <w:rPr>
                <w:rFonts w:hint="eastAsia" w:ascii="Times New Roman" w:hAnsi="Times New Roman" w:eastAsia="宋体" w:cs="Times New Roman"/>
                <w:color w:val="auto"/>
                <w:spacing w:val="-4"/>
                <w:sz w:val="21"/>
                <w:szCs w:val="21"/>
                <w:lang w:val="en-US" w:eastAsia="zh-CN"/>
              </w:rPr>
              <w:t>2.1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957" w:type="pct"/>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spacing w:val="-2"/>
              </w:rPr>
              <w:t>李官坟水库</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Times New Roman" w:cs="Times New Roman"/>
                <w:color w:val="auto"/>
                <w:spacing w:val="-3"/>
                <w:sz w:val="21"/>
                <w:szCs w:val="21"/>
              </w:rPr>
            </w:pPr>
            <w:r>
              <w:rPr>
                <w:rFonts w:hint="eastAsia" w:ascii="Times New Roman" w:hAnsi="Times New Roman" w:eastAsia="宋体" w:cs="Times New Roman"/>
                <w:color w:val="auto"/>
                <w:spacing w:val="-2"/>
                <w:sz w:val="21"/>
                <w:szCs w:val="21"/>
                <w:lang w:val="en-US" w:eastAsia="zh-CN"/>
              </w:rPr>
              <w:t>小（2）型</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3"/>
                <w:sz w:val="21"/>
                <w:szCs w:val="21"/>
                <w:lang w:val="en-US" w:eastAsia="zh-CN"/>
              </w:rPr>
            </w:pPr>
            <w:r>
              <w:rPr>
                <w:rFonts w:hint="eastAsia" w:ascii="Times New Roman" w:hAnsi="Times New Roman" w:eastAsia="宋体" w:cs="Times New Roman"/>
                <w:color w:val="auto"/>
                <w:spacing w:val="-3"/>
                <w:sz w:val="21"/>
                <w:szCs w:val="21"/>
                <w:lang w:val="en-US" w:eastAsia="zh-CN"/>
              </w:rPr>
              <w:t>11.3</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3"/>
                <w:sz w:val="21"/>
                <w:szCs w:val="21"/>
                <w:lang w:val="en-US" w:eastAsia="zh-CN"/>
              </w:rPr>
            </w:pPr>
            <w:r>
              <w:rPr>
                <w:rFonts w:hint="eastAsia" w:ascii="Times New Roman" w:hAnsi="Times New Roman" w:eastAsia="宋体" w:cs="Times New Roman"/>
                <w:color w:val="auto"/>
                <w:spacing w:val="-3"/>
                <w:sz w:val="21"/>
                <w:szCs w:val="21"/>
                <w:lang w:val="en-US" w:eastAsia="zh-CN"/>
              </w:rPr>
              <w:t>3.8</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3"/>
                <w:sz w:val="21"/>
                <w:szCs w:val="21"/>
              </w:rPr>
              <w:t>0.8</w:t>
            </w:r>
          </w:p>
        </w:tc>
        <w:tc>
          <w:tcPr>
            <w:tcW w:w="689"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eastAsia="宋体" w:cs="Times New Roman"/>
                <w:color w:val="auto"/>
                <w:spacing w:val="-3"/>
                <w:sz w:val="21"/>
                <w:szCs w:val="21"/>
                <w:highlight w:val="none"/>
                <w:lang w:val="en-US" w:eastAsia="zh-CN"/>
              </w:rPr>
              <w:t>11</w:t>
            </w:r>
          </w:p>
        </w:tc>
        <w:tc>
          <w:tcPr>
            <w:tcW w:w="681"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3"/>
                <w:sz w:val="21"/>
                <w:szCs w:val="21"/>
                <w:lang w:val="en-US" w:eastAsia="zh-CN"/>
              </w:rPr>
            </w:pPr>
            <w:r>
              <w:rPr>
                <w:rFonts w:hint="eastAsia" w:ascii="Times New Roman" w:hAnsi="Times New Roman" w:eastAsia="宋体" w:cs="Times New Roman"/>
                <w:color w:val="auto"/>
                <w:spacing w:val="-3"/>
                <w:sz w:val="21"/>
                <w:szCs w:val="21"/>
                <w:lang w:val="en-US" w:eastAsia="zh-CN"/>
              </w:rPr>
              <w:t>1.4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957" w:type="pct"/>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spacing w:val="-2"/>
              </w:rPr>
              <w:t>水平石水库</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Times New Roman" w:cs="Times New Roman"/>
                <w:color w:val="auto"/>
                <w:spacing w:val="-1"/>
                <w:sz w:val="21"/>
                <w:szCs w:val="21"/>
              </w:rPr>
            </w:pPr>
            <w:r>
              <w:rPr>
                <w:rFonts w:hint="eastAsia" w:ascii="Times New Roman" w:hAnsi="Times New Roman" w:eastAsia="宋体" w:cs="Times New Roman"/>
                <w:color w:val="auto"/>
                <w:spacing w:val="-2"/>
                <w:sz w:val="21"/>
                <w:szCs w:val="21"/>
                <w:lang w:val="en-US" w:eastAsia="zh-CN"/>
              </w:rPr>
              <w:t>小（2）型</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1"/>
                <w:sz w:val="21"/>
                <w:szCs w:val="21"/>
                <w:lang w:val="en-US" w:eastAsia="zh-CN"/>
              </w:rPr>
            </w:pPr>
            <w:r>
              <w:rPr>
                <w:rFonts w:hint="eastAsia" w:ascii="Times New Roman" w:hAnsi="Times New Roman" w:eastAsia="宋体" w:cs="Times New Roman"/>
                <w:color w:val="auto"/>
                <w:spacing w:val="-1"/>
                <w:sz w:val="21"/>
                <w:szCs w:val="21"/>
                <w:lang w:val="en-US" w:eastAsia="zh-CN"/>
              </w:rPr>
              <w:t>31.5</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1"/>
                <w:sz w:val="21"/>
                <w:szCs w:val="21"/>
                <w:lang w:val="en-US" w:eastAsia="zh-CN"/>
              </w:rPr>
            </w:pPr>
            <w:r>
              <w:rPr>
                <w:rFonts w:hint="eastAsia" w:ascii="Times New Roman" w:hAnsi="Times New Roman" w:eastAsia="宋体" w:cs="Times New Roman"/>
                <w:color w:val="auto"/>
                <w:spacing w:val="-1"/>
                <w:sz w:val="21"/>
                <w:szCs w:val="21"/>
                <w:lang w:val="en-US" w:eastAsia="zh-CN"/>
              </w:rPr>
              <w:t>22.2</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4.5</w:t>
            </w:r>
          </w:p>
        </w:tc>
        <w:tc>
          <w:tcPr>
            <w:tcW w:w="689"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z w:val="21"/>
                <w:szCs w:val="21"/>
                <w:lang w:val="en-US" w:eastAsia="zh-CN"/>
              </w:rPr>
            </w:pPr>
            <w:r>
              <w:rPr>
                <w:rFonts w:hint="eastAsia" w:eastAsia="宋体" w:cs="Times New Roman"/>
                <w:color w:val="auto"/>
                <w:spacing w:val="-2"/>
                <w:sz w:val="21"/>
                <w:szCs w:val="21"/>
                <w:lang w:val="en-US" w:eastAsia="zh-CN"/>
              </w:rPr>
              <w:t>10.2</w:t>
            </w:r>
          </w:p>
        </w:tc>
        <w:tc>
          <w:tcPr>
            <w:tcW w:w="681"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15.6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957" w:type="pct"/>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cs="Times New Roman"/>
                <w:color w:val="auto"/>
              </w:rPr>
            </w:pPr>
            <w:r>
              <w:rPr>
                <w:rFonts w:hint="default" w:ascii="Times New Roman" w:hAnsi="Times New Roman" w:cs="Times New Roman"/>
                <w:color w:val="auto"/>
                <w:spacing w:val="-2"/>
              </w:rPr>
              <w:t>致富水库</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Times New Roman" w:cs="Times New Roman"/>
                <w:color w:val="auto"/>
                <w:spacing w:val="-1"/>
                <w:sz w:val="21"/>
                <w:szCs w:val="21"/>
              </w:rPr>
            </w:pPr>
            <w:r>
              <w:rPr>
                <w:rFonts w:hint="eastAsia" w:ascii="Times New Roman" w:hAnsi="Times New Roman" w:eastAsia="宋体" w:cs="Times New Roman"/>
                <w:color w:val="auto"/>
                <w:spacing w:val="-2"/>
                <w:sz w:val="21"/>
                <w:szCs w:val="21"/>
                <w:lang w:val="en-US" w:eastAsia="zh-CN"/>
              </w:rPr>
              <w:t>小（2）型</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1"/>
                <w:sz w:val="21"/>
                <w:szCs w:val="21"/>
                <w:lang w:val="en-US" w:eastAsia="zh-CN"/>
              </w:rPr>
            </w:pPr>
            <w:r>
              <w:rPr>
                <w:rFonts w:hint="eastAsia" w:ascii="Times New Roman" w:hAnsi="Times New Roman" w:eastAsia="宋体" w:cs="Times New Roman"/>
                <w:color w:val="auto"/>
                <w:spacing w:val="-1"/>
                <w:sz w:val="21"/>
                <w:szCs w:val="21"/>
                <w:lang w:val="en-US" w:eastAsia="zh-CN"/>
              </w:rPr>
              <w:t>18.3</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1"/>
                <w:sz w:val="21"/>
                <w:szCs w:val="21"/>
                <w:lang w:val="en-US" w:eastAsia="zh-CN"/>
              </w:rPr>
            </w:pPr>
            <w:r>
              <w:rPr>
                <w:rFonts w:hint="eastAsia" w:ascii="Times New Roman" w:hAnsi="Times New Roman" w:eastAsia="宋体" w:cs="Times New Roman"/>
                <w:color w:val="auto"/>
                <w:spacing w:val="-1"/>
                <w:sz w:val="21"/>
                <w:szCs w:val="21"/>
                <w:lang w:val="en-US" w:eastAsia="zh-CN"/>
              </w:rPr>
              <w:t>10.3</w:t>
            </w:r>
          </w:p>
        </w:tc>
        <w:tc>
          <w:tcPr>
            <w:tcW w:w="667"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1"/>
                <w:sz w:val="21"/>
                <w:szCs w:val="21"/>
              </w:rPr>
              <w:t>4.3</w:t>
            </w:r>
          </w:p>
        </w:tc>
        <w:tc>
          <w:tcPr>
            <w:tcW w:w="689"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Times New Roman" w:cs="Times New Roman"/>
                <w:color w:val="auto"/>
                <w:sz w:val="21"/>
                <w:szCs w:val="21"/>
              </w:rPr>
            </w:pPr>
            <w:r>
              <w:rPr>
                <w:rFonts w:hint="default" w:ascii="Times New Roman" w:hAnsi="Times New Roman" w:eastAsia="Times New Roman" w:cs="Times New Roman"/>
                <w:color w:val="auto"/>
                <w:spacing w:val="-2"/>
                <w:sz w:val="21"/>
                <w:szCs w:val="21"/>
              </w:rPr>
              <w:t>34.4</w:t>
            </w:r>
          </w:p>
        </w:tc>
        <w:tc>
          <w:tcPr>
            <w:tcW w:w="681"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12.6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4318" w:type="pct"/>
            <w:gridSpan w:val="6"/>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应急抗旱工程</w:t>
            </w:r>
          </w:p>
        </w:tc>
        <w:tc>
          <w:tcPr>
            <w:tcW w:w="681"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39.1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4318" w:type="pct"/>
            <w:gridSpan w:val="6"/>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小坝塘</w:t>
            </w:r>
          </w:p>
        </w:tc>
        <w:tc>
          <w:tcPr>
            <w:tcW w:w="681"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4318" w:type="pct"/>
            <w:gridSpan w:val="6"/>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集雨工程</w:t>
            </w:r>
          </w:p>
        </w:tc>
        <w:tc>
          <w:tcPr>
            <w:tcW w:w="681"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1.2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4318" w:type="pct"/>
            <w:gridSpan w:val="6"/>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eastAsia"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合计</w:t>
            </w:r>
          </w:p>
        </w:tc>
        <w:tc>
          <w:tcPr>
            <w:tcW w:w="681"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right="0" w:firstLine="0" w:firstLineChars="0"/>
              <w:jc w:val="center"/>
              <w:textAlignment w:val="baseline"/>
              <w:rPr>
                <w:rFonts w:hint="default" w:ascii="Times New Roman" w:hAnsi="Times New Roman" w:eastAsia="宋体" w:cs="Times New Roman"/>
                <w:color w:val="auto"/>
                <w:spacing w:val="-2"/>
                <w:sz w:val="21"/>
                <w:szCs w:val="21"/>
                <w:lang w:val="en-US" w:eastAsia="zh-CN"/>
              </w:rPr>
            </w:pPr>
            <w:r>
              <w:rPr>
                <w:rFonts w:hint="eastAsia" w:ascii="Times New Roman" w:hAnsi="Times New Roman" w:eastAsia="宋体" w:cs="Times New Roman"/>
                <w:color w:val="auto"/>
                <w:spacing w:val="-2"/>
                <w:sz w:val="21"/>
                <w:szCs w:val="21"/>
                <w:lang w:val="en-US" w:eastAsia="zh-CN"/>
              </w:rPr>
              <w:t>124.5</w:t>
            </w:r>
          </w:p>
        </w:tc>
      </w:tr>
    </w:tbl>
    <w:p>
      <w:pPr>
        <w:numPr>
          <w:ilvl w:val="0"/>
          <w:numId w:val="0"/>
        </w:numPr>
        <w:rPr>
          <w:rFonts w:hint="eastAsia"/>
          <w:b w:val="0"/>
          <w:bCs w:val="0"/>
          <w:color w:val="auto"/>
          <w:highlight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val="0"/>
        <w:ind w:left="0" w:leftChars="0" w:firstLine="482" w:firstLineChars="200"/>
        <w:textAlignment w:val="auto"/>
        <w:rPr>
          <w:rFonts w:hint="eastAsia"/>
          <w:b/>
          <w:bCs/>
          <w:color w:val="auto"/>
          <w:highlight w:val="none"/>
          <w:lang w:val="en-US" w:eastAsia="zh-CN"/>
        </w:rPr>
      </w:pPr>
      <w:r>
        <w:rPr>
          <w:rFonts w:hint="eastAsia"/>
          <w:b/>
          <w:bCs/>
          <w:color w:val="auto"/>
          <w:highlight w:val="none"/>
          <w:lang w:val="en-US" w:eastAsia="zh-CN"/>
        </w:rPr>
        <w:t>3、流域概况</w:t>
      </w:r>
    </w:p>
    <w:p>
      <w:pPr>
        <w:keepNext w:val="0"/>
        <w:keepLines w:val="0"/>
        <w:pageBreakBefore w:val="0"/>
        <w:widowControl w:val="0"/>
        <w:numPr>
          <w:ilvl w:val="0"/>
          <w:numId w:val="0"/>
        </w:numPr>
        <w:kinsoku/>
        <w:wordWrap/>
        <w:overflowPunct/>
        <w:topLinePunct w:val="0"/>
        <w:autoSpaceDE/>
        <w:autoSpaceDN/>
        <w:bidi w:val="0"/>
        <w:adjustRightInd/>
        <w:snapToGrid w:val="0"/>
        <w:ind w:leftChars="0"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本项目位于元谋县姜驿乡境内，区域内河流主要为金沙江支流。</w:t>
      </w:r>
    </w:p>
    <w:p>
      <w:pPr>
        <w:keepNext w:val="0"/>
        <w:keepLines w:val="0"/>
        <w:pageBreakBefore w:val="0"/>
        <w:widowControl w:val="0"/>
        <w:numPr>
          <w:ilvl w:val="0"/>
          <w:numId w:val="0"/>
        </w:numPr>
        <w:kinsoku/>
        <w:wordWrap/>
        <w:overflowPunct/>
        <w:topLinePunct w:val="0"/>
        <w:autoSpaceDE/>
        <w:autoSpaceDN/>
        <w:bidi w:val="0"/>
        <w:adjustRightInd/>
        <w:snapToGrid w:val="0"/>
        <w:ind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金沙江发源于唐古拉山主峰格拉丹东雪山姜根迪如冰川，流经青海、西藏、四川、云南四省，全长3486km，约占长江全程的55％，落差5143m，河道平均坡降1.48‰，流域面积473240km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，约占长江流域面积的26</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。金沙江地处青藏高原、云贵高原和四川盆地西部边缘，属高原地貌区。由河源至当曲河汇口称沱沱河，河长362.5km，当曲河汇口</w:t>
      </w:r>
      <w:r>
        <w:rPr>
          <w:rFonts w:hint="eastAsia" w:cs="Times New Roman"/>
          <w:color w:val="auto"/>
          <w:highlight w:val="none"/>
          <w:lang w:val="en-US" w:eastAsia="zh-CN"/>
        </w:rPr>
        <w:t>直至</w:t>
      </w:r>
      <w:r>
        <w:rPr>
          <w:rFonts w:hint="default" w:ascii="Times New Roman" w:hAnsi="Times New Roman" w:eastAsia="宋体" w:cs="Times New Roman"/>
          <w:color w:val="auto"/>
          <w:highlight w:val="none"/>
          <w:lang w:val="en-US" w:eastAsia="zh-CN"/>
        </w:rPr>
        <w:t>门达称通天河，河长807.5km，直门达以下始称金沙江。玉树巴塘河口至四川省宜宾岷江河口，长约2300km，其中直门达至石鼓为金沙江上段，河长994km；石鼓至攀枝花称金沙江中段，河长563.5km；攀枝花至宜宾称金沙江下段，河长768.4km。</w:t>
      </w:r>
    </w:p>
    <w:p>
      <w:pPr>
        <w:keepNext w:val="0"/>
        <w:keepLines w:val="0"/>
        <w:pageBreakBefore w:val="0"/>
        <w:widowControl w:val="0"/>
        <w:numPr>
          <w:ilvl w:val="0"/>
          <w:numId w:val="0"/>
        </w:numPr>
        <w:kinsoku/>
        <w:wordWrap/>
        <w:overflowPunct/>
        <w:topLinePunct w:val="0"/>
        <w:autoSpaceDE/>
        <w:autoSpaceDN/>
        <w:bidi w:val="0"/>
        <w:adjustRightInd/>
        <w:snapToGrid w:val="0"/>
        <w:ind w:leftChars="0"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退水区</w:t>
      </w:r>
      <w:r>
        <w:rPr>
          <w:rFonts w:hint="default" w:ascii="Times New Roman" w:hAnsi="Times New Roman" w:eastAsia="宋体" w:cs="Times New Roman"/>
          <w:color w:val="auto"/>
          <w:highlight w:val="none"/>
          <w:lang w:val="en-US" w:eastAsia="zh-CN"/>
        </w:rPr>
        <w:t>姜驿河发源于元谋县姜驿乡姜驿村委会附近，流经半箐村委会、贡茶</w:t>
      </w:r>
      <w:r>
        <w:rPr>
          <w:rFonts w:hint="eastAsia" w:ascii="Times New Roman" w:hAnsi="Times New Roman" w:eastAsia="宋体" w:cs="Times New Roman"/>
          <w:color w:val="auto"/>
          <w:highlight w:val="none"/>
          <w:lang w:val="en-US" w:eastAsia="zh-CN"/>
        </w:rPr>
        <w:t>村，进入四川省后称为竹鲊河，于四川省会理县江竹乡竹鲊村汇入金沙江，河流全长约</w:t>
      </w:r>
      <w:r>
        <w:rPr>
          <w:rFonts w:hint="default" w:ascii="Times New Roman" w:hAnsi="Times New Roman" w:eastAsia="宋体" w:cs="Times New Roman"/>
          <w:color w:val="auto"/>
          <w:highlight w:val="none"/>
          <w:lang w:val="en-US" w:eastAsia="zh-CN"/>
        </w:rPr>
        <w:t>24km</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沙沟箐发源于元谋县姜驿乡姜驿村委会附近，流经姜驿乡</w:t>
      </w:r>
      <w:r>
        <w:rPr>
          <w:rFonts w:hint="default"/>
          <w:color w:val="auto"/>
          <w:highlight w:val="none"/>
          <w:lang w:val="en-US" w:eastAsia="zh-CN"/>
        </w:rPr>
        <w:t>糯拉</w:t>
      </w:r>
      <w:r>
        <w:rPr>
          <w:rFonts w:hint="eastAsia"/>
          <w:color w:val="auto"/>
          <w:highlight w:val="none"/>
          <w:lang w:val="en-US" w:eastAsia="zh-CN"/>
        </w:rPr>
        <w:t>鲊</w:t>
      </w:r>
      <w:r>
        <w:rPr>
          <w:rFonts w:hint="default" w:ascii="Times New Roman" w:hAnsi="Times New Roman" w:eastAsia="宋体" w:cs="Times New Roman"/>
          <w:color w:val="auto"/>
          <w:highlight w:val="none"/>
          <w:lang w:val="en-US" w:eastAsia="zh-CN"/>
        </w:rPr>
        <w:t>村、</w:t>
      </w:r>
      <w:r>
        <w:rPr>
          <w:rFonts w:hint="eastAsia" w:ascii="Times New Roman" w:hAnsi="Times New Roman" w:eastAsia="宋体" w:cs="Times New Roman"/>
          <w:color w:val="auto"/>
          <w:highlight w:val="none"/>
          <w:lang w:val="en-US" w:eastAsia="zh-CN"/>
        </w:rPr>
        <w:t>江边乡盐水井村，于元谋县江边乡金沙江大桥上游附近汇入金沙江，河流全长约</w:t>
      </w:r>
      <w:r>
        <w:rPr>
          <w:rFonts w:hint="default" w:ascii="Times New Roman" w:hAnsi="Times New Roman" w:eastAsia="宋体" w:cs="Times New Roman"/>
          <w:color w:val="auto"/>
          <w:highlight w:val="none"/>
          <w:lang w:val="en-US" w:eastAsia="zh-CN"/>
        </w:rPr>
        <w:t>11km</w:t>
      </w:r>
      <w:r>
        <w:rPr>
          <w:rFonts w:hint="eastAsia" w:ascii="Times New Roman" w:hAnsi="Times New Roman" w:eastAsia="宋体" w:cs="Times New Roman"/>
          <w:color w:val="auto"/>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val="0"/>
        <w:ind w:leftChars="0"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项目区水系图见附图2。</w:t>
      </w:r>
    </w:p>
    <w:p>
      <w:pPr>
        <w:pStyle w:val="4"/>
        <w:bidi w:val="0"/>
        <w:rPr>
          <w:rFonts w:hint="eastAsia"/>
          <w:color w:val="auto"/>
          <w:lang w:val="en-US" w:eastAsia="zh-CN"/>
        </w:rPr>
      </w:pPr>
      <w:r>
        <w:rPr>
          <w:rFonts w:hint="eastAsia"/>
          <w:color w:val="auto"/>
          <w:lang w:val="en-US" w:eastAsia="zh-CN"/>
        </w:rPr>
        <w:t xml:space="preserve"> </w:t>
      </w:r>
      <w:bookmarkStart w:id="326" w:name="_Toc2264"/>
      <w:bookmarkStart w:id="327" w:name="_Toc1402"/>
      <w:bookmarkStart w:id="328" w:name="_Toc11036"/>
      <w:r>
        <w:rPr>
          <w:rFonts w:hint="eastAsia"/>
          <w:color w:val="auto"/>
          <w:lang w:val="en-US" w:eastAsia="zh-CN"/>
        </w:rPr>
        <w:t>流域相关规划</w:t>
      </w:r>
      <w:bookmarkEnd w:id="326"/>
      <w:bookmarkEnd w:id="327"/>
      <w:bookmarkEnd w:id="328"/>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textAlignment w:val="auto"/>
        <w:rPr>
          <w:color w:val="auto"/>
        </w:rPr>
      </w:pPr>
      <w:r>
        <w:rPr>
          <w:color w:val="auto"/>
        </w:rPr>
        <w:t>1、《云南省</w:t>
      </w:r>
      <w:r>
        <w:rPr>
          <w:rFonts w:hint="eastAsia"/>
          <w:color w:val="auto"/>
          <w:lang w:eastAsia="zh-CN"/>
        </w:rPr>
        <w:t>“</w:t>
      </w:r>
      <w:r>
        <w:rPr>
          <w:color w:val="auto"/>
        </w:rPr>
        <w:t>十四五</w:t>
      </w:r>
      <w:r>
        <w:rPr>
          <w:rFonts w:hint="eastAsia"/>
          <w:color w:val="auto"/>
          <w:lang w:eastAsia="zh-CN"/>
        </w:rPr>
        <w:t>”</w:t>
      </w:r>
      <w:r>
        <w:rPr>
          <w:color w:val="auto"/>
        </w:rPr>
        <w:t>兴水润滇工程规划》</w:t>
      </w:r>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textAlignment w:val="auto"/>
        <w:rPr>
          <w:color w:val="auto"/>
        </w:rPr>
      </w:pPr>
      <w:r>
        <w:rPr>
          <w:color w:val="auto"/>
        </w:rPr>
        <w:t>①规划概括</w:t>
      </w:r>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textAlignment w:val="auto"/>
        <w:rPr>
          <w:color w:val="auto"/>
        </w:rPr>
      </w:pPr>
      <w:r>
        <w:rPr>
          <w:color w:val="auto"/>
        </w:rPr>
        <w:t>《云南省</w:t>
      </w:r>
      <w:r>
        <w:rPr>
          <w:rFonts w:hint="eastAsia"/>
          <w:color w:val="auto"/>
          <w:lang w:eastAsia="zh-CN"/>
        </w:rPr>
        <w:t>“</w:t>
      </w:r>
      <w:r>
        <w:rPr>
          <w:color w:val="auto"/>
        </w:rPr>
        <w:t>十四五</w:t>
      </w:r>
      <w:r>
        <w:rPr>
          <w:rFonts w:hint="eastAsia"/>
          <w:color w:val="auto"/>
          <w:lang w:eastAsia="zh-CN"/>
        </w:rPr>
        <w:t>”</w:t>
      </w:r>
      <w:r>
        <w:rPr>
          <w:color w:val="auto"/>
        </w:rPr>
        <w:t>兴水润滇工程规划》提出，</w:t>
      </w:r>
      <w:r>
        <w:rPr>
          <w:rFonts w:hint="eastAsia"/>
          <w:color w:val="auto"/>
          <w:lang w:eastAsia="zh-CN"/>
        </w:rPr>
        <w:t>“</w:t>
      </w:r>
      <w:r>
        <w:rPr>
          <w:color w:val="auto"/>
        </w:rPr>
        <w:t>十四五</w:t>
      </w:r>
      <w:r>
        <w:rPr>
          <w:rFonts w:hint="eastAsia"/>
          <w:color w:val="auto"/>
          <w:lang w:eastAsia="zh-CN"/>
        </w:rPr>
        <w:t>”</w:t>
      </w:r>
      <w:r>
        <w:rPr>
          <w:color w:val="auto"/>
        </w:rPr>
        <w:t>期间，着力解决水利发展不平衡不充分问题，聚焦滇中城市群、干热河谷、山区半山区等重点缺水区域，以水资源配置工程建设为主要内容，以骨干水源工程为重要支撑，</w:t>
      </w:r>
      <w:r>
        <w:rPr>
          <w:rFonts w:hint="eastAsia"/>
          <w:color w:val="auto"/>
          <w:lang w:val="en-US" w:eastAsia="zh-CN"/>
        </w:rPr>
        <w:t>统筹好</w:t>
      </w:r>
      <w:r>
        <w:rPr>
          <w:color w:val="auto"/>
        </w:rPr>
        <w:t>水的资源功能、环境功能、生态功能，配置好生活、生产和生态用水。实施各类水利工程7000件以上，规划项目投资总规模9250亿元以上，</w:t>
      </w:r>
      <w:r>
        <w:rPr>
          <w:rFonts w:hint="eastAsia"/>
          <w:color w:val="auto"/>
          <w:lang w:eastAsia="zh-CN"/>
        </w:rPr>
        <w:t>“</w:t>
      </w:r>
      <w:r>
        <w:rPr>
          <w:color w:val="auto"/>
        </w:rPr>
        <w:t>十四五</w:t>
      </w:r>
      <w:r>
        <w:rPr>
          <w:rFonts w:hint="eastAsia"/>
          <w:color w:val="auto"/>
          <w:lang w:eastAsia="zh-CN"/>
        </w:rPr>
        <w:t>”</w:t>
      </w:r>
      <w:r>
        <w:rPr>
          <w:color w:val="auto"/>
        </w:rPr>
        <w:t>期间完成投资5635亿元以上。</w:t>
      </w:r>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textAlignment w:val="auto"/>
        <w:rPr>
          <w:color w:val="auto"/>
        </w:rPr>
      </w:pPr>
      <w:r>
        <w:rPr>
          <w:color w:val="auto"/>
        </w:rPr>
        <w:t>规划进一步明确按照</w:t>
      </w:r>
      <w:r>
        <w:rPr>
          <w:rFonts w:hint="eastAsia"/>
          <w:color w:val="auto"/>
          <w:lang w:eastAsia="zh-CN"/>
        </w:rPr>
        <w:t>“</w:t>
      </w:r>
      <w:r>
        <w:rPr>
          <w:color w:val="auto"/>
        </w:rPr>
        <w:t>干支并用、以干强支</w:t>
      </w:r>
      <w:r>
        <w:rPr>
          <w:rFonts w:hint="eastAsia"/>
          <w:color w:val="auto"/>
          <w:lang w:eastAsia="zh-CN"/>
        </w:rPr>
        <w:t>”</w:t>
      </w:r>
      <w:r>
        <w:rPr>
          <w:color w:val="auto"/>
        </w:rPr>
        <w:t>的开发思路，将大中型水电站水资源综合利用工程作为优化区域水资源配置格局的有效手段，保障滇中城市群近期用水，有效补充城乡生活供水和干热河谷灌溉用水，充分储备长远发展和城市应急备用水量。</w:t>
      </w:r>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textAlignment w:val="auto"/>
        <w:rPr>
          <w:color w:val="auto"/>
        </w:rPr>
      </w:pPr>
      <w:r>
        <w:rPr>
          <w:color w:val="auto"/>
        </w:rPr>
        <w:t>2021年5月，云南省人民政府以云政发</w:t>
      </w:r>
      <w:r>
        <w:rPr>
          <w:rFonts w:hint="eastAsia"/>
          <w:color w:val="auto"/>
          <w:lang w:eastAsia="zh-CN"/>
        </w:rPr>
        <w:t>〔</w:t>
      </w:r>
      <w:r>
        <w:rPr>
          <w:color w:val="auto"/>
        </w:rPr>
        <w:t>2021]23号文印发了《云南省</w:t>
      </w:r>
      <w:r>
        <w:rPr>
          <w:rFonts w:hint="eastAsia"/>
          <w:color w:val="auto"/>
          <w:lang w:eastAsia="zh-CN"/>
        </w:rPr>
        <w:t>“</w:t>
      </w:r>
      <w:r>
        <w:rPr>
          <w:color w:val="auto"/>
        </w:rPr>
        <w:t>十四五</w:t>
      </w:r>
      <w:r>
        <w:rPr>
          <w:rFonts w:hint="eastAsia"/>
          <w:color w:val="auto"/>
          <w:lang w:eastAsia="zh-CN"/>
        </w:rPr>
        <w:t>”</w:t>
      </w:r>
      <w:r>
        <w:rPr>
          <w:color w:val="auto"/>
        </w:rPr>
        <w:t>兴水润滇工程规划》。规划提出</w:t>
      </w:r>
      <w:r>
        <w:rPr>
          <w:rFonts w:hint="eastAsia"/>
          <w:color w:val="auto"/>
          <w:lang w:eastAsia="zh-CN"/>
        </w:rPr>
        <w:t>“</w:t>
      </w:r>
      <w:r>
        <w:rPr>
          <w:color w:val="auto"/>
        </w:rPr>
        <w:t>十四五</w:t>
      </w:r>
      <w:r>
        <w:rPr>
          <w:rFonts w:hint="eastAsia"/>
          <w:color w:val="auto"/>
          <w:lang w:eastAsia="zh-CN"/>
        </w:rPr>
        <w:t>”</w:t>
      </w:r>
      <w:r>
        <w:rPr>
          <w:color w:val="auto"/>
        </w:rPr>
        <w:t>期间，重点任务是着力解决云南省水利发展不平衡不充分问题，聚焦滇中城市群、干热河谷、山区半山区等重点缺水区域，以水资源配置工程建设为主要内容，以骨干水源工程为重要支撑，统筹好水的资源功能、环境功能、生态功能，配置好生活、生产和生态用水。实施各类水利工程7000件以上，规划项目投资总规模9250亿元以上，</w:t>
      </w:r>
      <w:r>
        <w:rPr>
          <w:rFonts w:hint="eastAsia"/>
          <w:color w:val="auto"/>
          <w:lang w:eastAsia="zh-CN"/>
        </w:rPr>
        <w:t>“</w:t>
      </w:r>
      <w:r>
        <w:rPr>
          <w:color w:val="auto"/>
        </w:rPr>
        <w:t>十四五</w:t>
      </w:r>
      <w:r>
        <w:rPr>
          <w:rFonts w:hint="eastAsia"/>
          <w:color w:val="auto"/>
          <w:lang w:eastAsia="zh-CN"/>
        </w:rPr>
        <w:t>”</w:t>
      </w:r>
      <w:r>
        <w:rPr>
          <w:color w:val="auto"/>
        </w:rPr>
        <w:t>期间完成投资5635亿元以上。</w:t>
      </w:r>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textAlignment w:val="auto"/>
        <w:rPr>
          <w:color w:val="auto"/>
        </w:rPr>
      </w:pPr>
      <w:r>
        <w:rPr>
          <w:color w:val="auto"/>
        </w:rPr>
        <w:t>规划项目中明确提出楚雄州乌东德水电站水资源综合利用一期工程为其中的供水保障能力建设工程。根据规划项目介绍情况，特别说明的是该工程与</w:t>
      </w:r>
      <w:r>
        <w:rPr>
          <w:rFonts w:hint="eastAsia"/>
          <w:color w:val="auto"/>
          <w:lang w:val="en-US" w:eastAsia="zh-CN"/>
        </w:rPr>
        <w:t>“</w:t>
      </w:r>
      <w:r>
        <w:rPr>
          <w:rFonts w:hint="default"/>
          <w:color w:val="auto"/>
        </w:rPr>
        <w:t>金沙江乌东德水电站水资源综合利用—元谋县姜驿乡提水工程</w:t>
      </w:r>
      <w:r>
        <w:rPr>
          <w:rFonts w:hint="eastAsia"/>
          <w:color w:val="auto"/>
          <w:lang w:val="en-US" w:eastAsia="zh-CN"/>
        </w:rPr>
        <w:t>”</w:t>
      </w:r>
      <w:r>
        <w:rPr>
          <w:color w:val="auto"/>
        </w:rPr>
        <w:t>为同一项目，只是项目名称不一致。而且</w:t>
      </w:r>
      <w:r>
        <w:rPr>
          <w:rFonts w:hint="eastAsia"/>
          <w:color w:val="auto"/>
          <w:lang w:val="en-US" w:eastAsia="zh-CN"/>
        </w:rPr>
        <w:t>“</w:t>
      </w:r>
      <w:r>
        <w:rPr>
          <w:rFonts w:hint="default"/>
          <w:color w:val="auto"/>
        </w:rPr>
        <w:t>金沙江乌东德水电站水资源综合利用—元谋县姜驿乡提水工程</w:t>
      </w:r>
      <w:r>
        <w:rPr>
          <w:rFonts w:hint="eastAsia"/>
          <w:color w:val="auto"/>
          <w:lang w:val="en-US" w:eastAsia="zh-CN"/>
        </w:rPr>
        <w:t>”</w:t>
      </w:r>
      <w:r>
        <w:rPr>
          <w:color w:val="auto"/>
        </w:rPr>
        <w:t>是金沙江楚雄段乌东德水电站水资源综合利用的子项试点工程。《楚雄州乌东德水电站水资源综合利用二期工程》包含永仁、元谋和武定3个县，工程项目</w:t>
      </w:r>
      <w:r>
        <w:rPr>
          <w:rFonts w:hint="eastAsia"/>
          <w:color w:val="auto"/>
          <w:lang w:eastAsia="zh-CN"/>
        </w:rPr>
        <w:t>还正在</w:t>
      </w:r>
      <w:r>
        <w:rPr>
          <w:color w:val="auto"/>
        </w:rPr>
        <w:t>开展前期工作。</w:t>
      </w:r>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textAlignment w:val="auto"/>
        <w:rPr>
          <w:rFonts w:hint="default" w:eastAsia="宋体"/>
          <w:color w:val="auto"/>
          <w:lang w:val="en-US" w:eastAsia="zh-CN"/>
        </w:rPr>
      </w:pPr>
      <w:r>
        <w:rPr>
          <w:rFonts w:hint="eastAsia"/>
          <w:color w:val="auto"/>
          <w:lang w:val="en-US" w:eastAsia="zh-CN"/>
        </w:rPr>
        <w:t>本项目属于“</w:t>
      </w:r>
      <w:r>
        <w:rPr>
          <w:rFonts w:hint="default"/>
          <w:color w:val="auto"/>
        </w:rPr>
        <w:t>金沙江乌东德水电站水资源综合利用—元谋县姜驿乡提水工程</w:t>
      </w:r>
      <w:r>
        <w:rPr>
          <w:rFonts w:hint="eastAsia"/>
          <w:color w:val="auto"/>
          <w:lang w:val="en-US" w:eastAsia="zh-CN"/>
        </w:rPr>
        <w:t>”的配套工程，因此本项目的建设符合</w:t>
      </w:r>
      <w:r>
        <w:rPr>
          <w:color w:val="auto"/>
        </w:rPr>
        <w:t>《云南省</w:t>
      </w:r>
      <w:r>
        <w:rPr>
          <w:rFonts w:hint="eastAsia"/>
          <w:color w:val="auto"/>
          <w:lang w:eastAsia="zh-CN"/>
        </w:rPr>
        <w:t>“</w:t>
      </w:r>
      <w:r>
        <w:rPr>
          <w:color w:val="auto"/>
        </w:rPr>
        <w:t>十四五</w:t>
      </w:r>
      <w:r>
        <w:rPr>
          <w:rFonts w:hint="eastAsia"/>
          <w:color w:val="auto"/>
          <w:lang w:eastAsia="zh-CN"/>
        </w:rPr>
        <w:t>”</w:t>
      </w:r>
      <w:r>
        <w:rPr>
          <w:color w:val="auto"/>
        </w:rPr>
        <w:t>兴水润滇工程规划》</w:t>
      </w:r>
      <w:r>
        <w:rPr>
          <w:rFonts w:hint="eastAsia"/>
          <w:color w:val="auto"/>
          <w:lang w:eastAsia="zh-CN"/>
        </w:rPr>
        <w:t>。</w:t>
      </w:r>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textAlignment w:val="auto"/>
        <w:rPr>
          <w:color w:val="auto"/>
        </w:rPr>
      </w:pPr>
      <w:r>
        <w:rPr>
          <w:color w:val="auto"/>
        </w:rPr>
        <w:t>②规划环评开展情况及主要结论</w:t>
      </w:r>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textAlignment w:val="auto"/>
        <w:rPr>
          <w:rFonts w:hint="eastAsia" w:eastAsia="宋体"/>
          <w:color w:val="auto"/>
          <w:lang w:val="en-US" w:eastAsia="zh-CN"/>
        </w:rPr>
      </w:pPr>
      <w:r>
        <w:rPr>
          <w:color w:val="auto"/>
        </w:rPr>
        <w:t>《云南省</w:t>
      </w:r>
      <w:r>
        <w:rPr>
          <w:rFonts w:hint="eastAsia"/>
          <w:color w:val="auto"/>
          <w:lang w:eastAsia="zh-CN"/>
        </w:rPr>
        <w:t>“</w:t>
      </w:r>
      <w:r>
        <w:rPr>
          <w:color w:val="auto"/>
        </w:rPr>
        <w:t>十四五</w:t>
      </w:r>
      <w:r>
        <w:rPr>
          <w:rFonts w:hint="eastAsia"/>
          <w:color w:val="auto"/>
          <w:lang w:eastAsia="zh-CN"/>
        </w:rPr>
        <w:t>”</w:t>
      </w:r>
      <w:r>
        <w:rPr>
          <w:color w:val="auto"/>
        </w:rPr>
        <w:t>兴水润滇工程规划报告》为云南省水利专项规划中的指导性规划，依据《中华人民共和国环境影响评价法》第八条，该规划不需要编制环境影响报告书，规划编制过程中同步编制了环境影响评价篇章，篇章环境影响评价主要结论为：</w:t>
      </w:r>
      <w:r>
        <w:rPr>
          <w:rFonts w:hint="eastAsia"/>
          <w:color w:val="auto"/>
          <w:lang w:eastAsia="zh-CN"/>
        </w:rPr>
        <w:t>“</w:t>
      </w:r>
      <w:r>
        <w:rPr>
          <w:color w:val="auto"/>
        </w:rPr>
        <w:t>十四五</w:t>
      </w:r>
      <w:r>
        <w:rPr>
          <w:rFonts w:hint="eastAsia"/>
          <w:color w:val="auto"/>
          <w:lang w:eastAsia="zh-CN"/>
        </w:rPr>
        <w:t>”</w:t>
      </w:r>
      <w:r>
        <w:rPr>
          <w:color w:val="auto"/>
        </w:rPr>
        <w:t>时期，云南省水安全保障工作处于</w:t>
      </w:r>
      <w:r>
        <w:rPr>
          <w:rFonts w:hint="eastAsia"/>
          <w:color w:val="auto"/>
          <w:lang w:eastAsia="zh-CN"/>
        </w:rPr>
        <w:t>“</w:t>
      </w:r>
      <w:r>
        <w:rPr>
          <w:color w:val="auto"/>
        </w:rPr>
        <w:t>补短板、强监管、破瓶颈、促发展、提质量</w:t>
      </w:r>
      <w:r>
        <w:rPr>
          <w:rFonts w:hint="eastAsia"/>
          <w:color w:val="auto"/>
          <w:lang w:eastAsia="zh-CN"/>
        </w:rPr>
        <w:t>”</w:t>
      </w:r>
      <w:r>
        <w:rPr>
          <w:color w:val="auto"/>
        </w:rPr>
        <w:t>的关键时期，水利工程建设可能对规划区局部带来一些不利环境影响。本次规划大部分工程所在区域不存在环境敏感区，少量工程涉及小范围自然保护区、饮用水源区等环境敏感区域及生态保护红线，与国土空间规划衔接优化后，不存在重大生态环境制约问</w:t>
      </w:r>
      <w:r>
        <w:rPr>
          <w:rFonts w:hint="eastAsia"/>
          <w:color w:val="auto"/>
          <w:lang w:val="en-US" w:eastAsia="zh-CN"/>
        </w:rPr>
        <w:t>题。</w:t>
      </w:r>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textAlignment w:val="auto"/>
        <w:rPr>
          <w:color w:val="0000FF"/>
        </w:rPr>
      </w:pPr>
      <w:r>
        <w:rPr>
          <w:rFonts w:hint="eastAsia"/>
          <w:color w:val="0000FF"/>
          <w:lang w:val="en-US" w:eastAsia="zh-CN"/>
        </w:rPr>
        <w:t>2</w:t>
      </w:r>
      <w:r>
        <w:rPr>
          <w:color w:val="0000FF"/>
        </w:rPr>
        <w:t>、《长江流域综合规划（2012—2030）》</w:t>
      </w:r>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textAlignment w:val="auto"/>
        <w:rPr>
          <w:color w:val="auto"/>
        </w:rPr>
      </w:pPr>
      <w:r>
        <w:rPr>
          <w:color w:val="auto"/>
        </w:rPr>
        <w:t>①规划概括</w:t>
      </w:r>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textAlignment w:val="auto"/>
        <w:rPr>
          <w:color w:val="auto"/>
        </w:rPr>
      </w:pPr>
      <w:r>
        <w:rPr>
          <w:color w:val="auto"/>
        </w:rPr>
        <w:t>2012年底，国务院以国函〔2012〕220号批复的《长江流域综合规划（2012~2030年）》中指出：要合理配置和高效利用水资源。加快开展南水北调东、中线后续工程论证及西线项目前期工作，逐步完善全国水资源优化配置格局。在强化节水的基础上，建设一批必要的水源工程，提高流域供水保障能力，解决局部地区工程性缺水问题。加强灌区续建配套和节水改造，在水土资源条件具备的地区适当新建灌区。在保护生态环境和移民合法权益的前提下，合理有序开发水能资源。大力发展航运，完善现代化长江水运格局。</w:t>
      </w:r>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textAlignment w:val="auto"/>
        <w:rPr>
          <w:color w:val="auto"/>
        </w:rPr>
      </w:pPr>
      <w:r>
        <w:rPr>
          <w:color w:val="auto"/>
        </w:rPr>
        <w:t>从上述分析可以看出，本项目通过在金沙江乌东德库区取水，能有效解决元谋县江北片区土地开发和发展高效农业的缺水问题。符合《长江流域综合规划（2012~2030年）》的相关要求。</w:t>
      </w:r>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textAlignment w:val="auto"/>
        <w:rPr>
          <w:color w:val="auto"/>
        </w:rPr>
      </w:pPr>
      <w:r>
        <w:rPr>
          <w:color w:val="auto"/>
        </w:rPr>
        <w:t>②规划环评开展情况及主要结论</w:t>
      </w:r>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textAlignment w:val="auto"/>
        <w:rPr>
          <w:color w:val="auto"/>
        </w:rPr>
      </w:pPr>
      <w:r>
        <w:rPr>
          <w:color w:val="auto"/>
        </w:rPr>
        <w:t>经了解，《长江流域综合规划（2012—2030）》未开展流域规划环境影响评价。</w:t>
      </w:r>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textAlignment w:val="auto"/>
        <w:rPr>
          <w:rFonts w:hint="eastAsia"/>
          <w:color w:val="auto"/>
          <w:lang w:eastAsia="zh-CN"/>
        </w:rPr>
      </w:pPr>
      <w:bookmarkStart w:id="329" w:name="_Toc9826"/>
      <w:r>
        <w:rPr>
          <w:rFonts w:hint="eastAsia"/>
          <w:color w:val="auto"/>
          <w:lang w:val="en-US" w:eastAsia="zh-CN"/>
        </w:rPr>
        <w:t>3、</w:t>
      </w:r>
      <w:r>
        <w:rPr>
          <w:rFonts w:hint="eastAsia"/>
          <w:color w:val="auto"/>
          <w:lang w:eastAsia="zh-CN"/>
        </w:rPr>
        <w:t>《元谋县水利十三五重点专项规划中期评估报告》（2018年7月）</w:t>
      </w:r>
      <w:bookmarkEnd w:id="329"/>
    </w:p>
    <w:p>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jc w:val="both"/>
        <w:textAlignment w:val="auto"/>
        <w:rPr>
          <w:rFonts w:hint="default"/>
          <w:color w:val="0000FF"/>
          <w:highlight w:val="none"/>
          <w:lang w:val="en-US" w:eastAsia="zh-CN"/>
        </w:rPr>
      </w:pPr>
      <w:r>
        <w:rPr>
          <w:rFonts w:hint="eastAsia"/>
          <w:color w:val="auto"/>
          <w:lang w:eastAsia="zh-CN"/>
        </w:rPr>
        <w:t>《元谋县水利十三五重点专项规划中期评估报告》（2018年7月）中提出：结合《云南省水网基础设施建设规划》，元谋县“十三五”期间规划实施金沙江提水工程建设项目：启宪片区、姜驿片区、元1区(黄瓜园、元马、老城、凉山)、元2区(平田、物茂)提水工程。同时姜驿乡金沙江提水项目又被列入元谋县抗旱应急水源工程建设项目。乌东德水电站水资源综合利用工程配套工程已列入《元谋县水利十三五重点专项规划中期评估报告》（2016年2月），</w:t>
      </w:r>
      <w:r>
        <w:rPr>
          <w:rFonts w:hint="eastAsia"/>
          <w:color w:val="0000FF"/>
          <w:lang w:eastAsia="zh-CN"/>
        </w:rPr>
        <w:t>本项目属于楚雄州乌东德水电站水资源综合利用工程配套工程，</w:t>
      </w:r>
      <w:r>
        <w:rPr>
          <w:rFonts w:hint="eastAsia"/>
          <w:color w:val="0000FF"/>
          <w:lang w:val="en-US" w:eastAsia="zh-CN"/>
        </w:rPr>
        <w:t>因</w:t>
      </w:r>
      <w:r>
        <w:rPr>
          <w:rFonts w:hint="eastAsia"/>
          <w:color w:val="0000FF"/>
          <w:lang w:eastAsia="zh-CN"/>
        </w:rPr>
        <w:t>姜驿河、金沙江以北，川滇省界以南的灌片由于没有配套工程，以致从金沙江提上来的水无法供给姜驿中型灌区西片区</w:t>
      </w:r>
      <w:r>
        <w:rPr>
          <w:rFonts w:hint="eastAsia"/>
          <w:color w:val="0000FF"/>
          <w:lang w:val="en-US" w:eastAsia="zh-CN"/>
        </w:rPr>
        <w:t>为满足灌溉需求。因此，本项目在该项目基础上进行细化，配套建设北干管、金马分干管及其支管向灌区供水，</w:t>
      </w:r>
      <w:r>
        <w:rPr>
          <w:rFonts w:hint="eastAsia"/>
          <w:color w:val="0000FF"/>
          <w:lang w:eastAsia="zh-CN"/>
        </w:rPr>
        <w:t>符合规划要求。</w:t>
      </w:r>
    </w:p>
    <w:p>
      <w:pPr>
        <w:pStyle w:val="3"/>
        <w:bidi w:val="0"/>
        <w:rPr>
          <w:rFonts w:hint="default"/>
          <w:color w:val="auto"/>
          <w:highlight w:val="none"/>
          <w:lang w:val="en-US" w:eastAsia="zh-CN"/>
        </w:rPr>
      </w:pPr>
      <w:bookmarkStart w:id="330" w:name="_Toc32443"/>
      <w:bookmarkStart w:id="331" w:name="_Toc12483"/>
      <w:bookmarkStart w:id="332" w:name="_Toc8492"/>
      <w:bookmarkStart w:id="333" w:name="_Toc5145"/>
      <w:bookmarkStart w:id="334" w:name="_Toc3122"/>
      <w:r>
        <w:rPr>
          <w:rFonts w:hint="default"/>
          <w:color w:val="auto"/>
          <w:highlight w:val="none"/>
          <w:lang w:val="en-US" w:eastAsia="zh-CN"/>
        </w:rPr>
        <w:t>工程</w:t>
      </w:r>
      <w:bookmarkEnd w:id="330"/>
      <w:r>
        <w:rPr>
          <w:rFonts w:hint="eastAsia"/>
          <w:color w:val="auto"/>
          <w:highlight w:val="none"/>
          <w:lang w:val="en-US" w:eastAsia="zh-CN"/>
        </w:rPr>
        <w:t>概况</w:t>
      </w:r>
      <w:bookmarkEnd w:id="331"/>
      <w:bookmarkEnd w:id="332"/>
      <w:bookmarkEnd w:id="333"/>
      <w:bookmarkEnd w:id="334"/>
    </w:p>
    <w:p>
      <w:pPr>
        <w:pStyle w:val="4"/>
        <w:bidi w:val="0"/>
        <w:rPr>
          <w:rFonts w:hint="default"/>
          <w:color w:val="auto"/>
          <w:lang w:val="en-US" w:eastAsia="zh-CN"/>
        </w:rPr>
      </w:pPr>
      <w:bookmarkStart w:id="335" w:name="_Toc25156"/>
      <w:bookmarkStart w:id="336" w:name="_Toc24309"/>
      <w:bookmarkStart w:id="337" w:name="_Toc9760"/>
      <w:r>
        <w:rPr>
          <w:rFonts w:hint="eastAsia"/>
          <w:color w:val="auto"/>
          <w:lang w:val="en-US" w:eastAsia="zh-CN"/>
        </w:rPr>
        <w:t>项目建设的必要性及建设任务</w:t>
      </w:r>
      <w:bookmarkEnd w:id="335"/>
      <w:bookmarkEnd w:id="336"/>
      <w:bookmarkEnd w:id="337"/>
    </w:p>
    <w:p>
      <w:pPr>
        <w:pStyle w:val="5"/>
        <w:tabs>
          <w:tab w:val="clear" w:pos="420"/>
        </w:tabs>
        <w:bidi w:val="0"/>
        <w:ind w:left="480" w:leftChars="0" w:firstLineChars="0"/>
        <w:rPr>
          <w:rFonts w:hint="default"/>
          <w:color w:val="auto"/>
          <w:lang w:val="en-US" w:eastAsia="zh-CN"/>
        </w:rPr>
      </w:pPr>
      <w:r>
        <w:rPr>
          <w:rFonts w:hint="default"/>
          <w:color w:val="auto"/>
          <w:lang w:val="en-US" w:eastAsia="zh-CN"/>
        </w:rPr>
        <w:t>项目建设的必要性</w:t>
      </w:r>
    </w:p>
    <w:p>
      <w:pPr>
        <w:ind w:firstLine="480" w:firstLineChars="200"/>
        <w:rPr>
          <w:rFonts w:hint="default"/>
          <w:color w:val="auto"/>
          <w:highlight w:val="none"/>
          <w:lang w:val="en-US" w:eastAsia="zh-CN"/>
        </w:rPr>
      </w:pPr>
      <w:r>
        <w:rPr>
          <w:rFonts w:hint="default"/>
          <w:color w:val="auto"/>
          <w:highlight w:val="none"/>
          <w:lang w:val="en-US" w:eastAsia="zh-CN"/>
        </w:rPr>
        <w:t>元谋县地处金沙江流域干热河谷地带，属南亚热带季风气候，气候干燥炎热，是全省主要干旱区，具有降雨少、蒸发量大、严重干旱的特征，但其干热河谷区具有非常良好的自然地理条件，具有适合多种作物生长的光热、土壤条件，江北地区是元谋县农业开发的重要区域，除已耕种土地外，海拔2000m高程以下还有大量的适宜耕作荒地，缺水问题严重制约了该片区土地开发，严重制约当地社会及国民经济发展，因此，迫切需要新建水源工程以解决元谋县江北片区干旱缺水的状况。</w:t>
      </w:r>
    </w:p>
    <w:p>
      <w:pPr>
        <w:ind w:firstLine="480" w:firstLineChars="200"/>
        <w:rPr>
          <w:rFonts w:hint="default"/>
          <w:color w:val="auto"/>
          <w:highlight w:val="none"/>
          <w:lang w:val="en-US" w:eastAsia="zh-CN"/>
        </w:rPr>
      </w:pPr>
      <w:r>
        <w:rPr>
          <w:rFonts w:hint="default"/>
          <w:color w:val="auto"/>
          <w:highlight w:val="none"/>
          <w:lang w:val="en-US" w:eastAsia="zh-CN"/>
        </w:rPr>
        <w:t>元谋县姜驿中型灌区涉及姜驿乡全乡7个村委会、江边乡1个村委会，灌区现状总耕地面积6.67万亩。灌区土地、光热资源丰富，农业开发增产潜力大，是楚雄州重要的商品粮生产基地、元谋县特色农产品、林果、烤烟等经济作物的生产基地。元谋县姜驿中型灌区在地方经济社会、粮食生产等方面有着非常重要的地位和作用。灌区16个主要灌溉水库已全部除险加固完成，但是由于水库径流区产水量少，可供水量小，且水库均未配套骨干灌溉渠道，水库供水效益不能充分发挥。</w:t>
      </w:r>
    </w:p>
    <w:p>
      <w:pPr>
        <w:ind w:firstLine="480" w:firstLineChars="200"/>
        <w:rPr>
          <w:rFonts w:hint="eastAsia"/>
          <w:color w:val="auto"/>
          <w:highlight w:val="none"/>
          <w:lang w:val="en-US" w:eastAsia="zh-CN"/>
        </w:rPr>
      </w:pPr>
      <w:r>
        <w:rPr>
          <w:rFonts w:hint="default"/>
          <w:color w:val="auto"/>
          <w:highlight w:val="none"/>
          <w:lang w:val="en-US" w:eastAsia="zh-CN"/>
        </w:rPr>
        <w:t>随着金沙江乌东德水电站水资源综合利用—元谋县姜驿乡提水工程建成，可以利用金沙江的水解决该片区的生产、生活用水，为姜驿乡当地人民带来了福音。该工程从金沙江乌东德水库库区（乌东德水库死水位945m，正常蓄水位975m）提水至1909.8m的2040m³高位水池，在从高位水池接出东干管，东干管控制姜驿灌区姜驿河以南金沙江以北的灌片。其中东干管已纳入元谋县姜驿乡提水工程中，但是姜驿河、金沙江以北，川滇省界以南的灌片由于没有配套工程，以致从金沙江提上来的水无法供给姜驿中型灌区西片区。因此，本次配套建设北干管、金马分干管及其支管是非常必要的。</w:t>
      </w:r>
    </w:p>
    <w:p>
      <w:pPr>
        <w:pStyle w:val="5"/>
        <w:tabs>
          <w:tab w:val="clear" w:pos="420"/>
        </w:tabs>
        <w:bidi w:val="0"/>
        <w:ind w:left="480" w:leftChars="0" w:firstLineChars="0"/>
        <w:rPr>
          <w:rFonts w:hint="default"/>
          <w:color w:val="auto"/>
          <w:lang w:val="en-US" w:eastAsia="zh-CN"/>
        </w:rPr>
      </w:pPr>
      <w:r>
        <w:rPr>
          <w:rFonts w:hint="eastAsia"/>
          <w:color w:val="auto"/>
          <w:lang w:val="en-US" w:eastAsia="zh-CN"/>
        </w:rPr>
        <w:t>项目建设任务</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0000FF"/>
          <w:highlight w:val="none"/>
          <w:vertAlign w:val="baseline"/>
          <w:lang w:val="en-US" w:eastAsia="zh-CN"/>
        </w:rPr>
      </w:pPr>
      <w:r>
        <w:rPr>
          <w:rFonts w:hint="eastAsia"/>
          <w:color w:val="0000FF"/>
          <w:highlight w:val="none"/>
          <w:lang w:val="en-US" w:eastAsia="zh-CN"/>
        </w:rPr>
        <w:t>本项目建设任务是为了解决</w:t>
      </w:r>
      <w:r>
        <w:rPr>
          <w:rFonts w:hint="default"/>
          <w:color w:val="0000FF"/>
          <w:highlight w:val="none"/>
          <w:lang w:val="en-US" w:eastAsia="zh-CN"/>
        </w:rPr>
        <w:t>姜驿乡水平石、半箐、姜驿、糯拉</w:t>
      </w:r>
      <w:r>
        <w:rPr>
          <w:rFonts w:hint="eastAsia"/>
          <w:color w:val="0000FF"/>
          <w:highlight w:val="none"/>
          <w:lang w:val="en-US" w:eastAsia="zh-CN"/>
        </w:rPr>
        <w:t>鲊</w:t>
      </w:r>
      <w:r>
        <w:rPr>
          <w:rFonts w:hint="default"/>
          <w:color w:val="0000FF"/>
          <w:highlight w:val="none"/>
          <w:lang w:val="en-US" w:eastAsia="zh-CN"/>
        </w:rPr>
        <w:t>4个村委会32个自然村和江边乡盐水井村委会3个自然村，3.49万亩</w:t>
      </w:r>
      <w:r>
        <w:rPr>
          <w:rFonts w:hint="eastAsia"/>
          <w:color w:val="0000FF"/>
          <w:highlight w:val="none"/>
          <w:lang w:val="en-US" w:eastAsia="zh-CN"/>
        </w:rPr>
        <w:t>耕园地灌溉用水，设计供水规模为760.7万m</w:t>
      </w:r>
      <w:r>
        <w:rPr>
          <w:rFonts w:hint="eastAsia"/>
          <w:color w:val="0000FF"/>
          <w:highlight w:val="none"/>
          <w:vertAlign w:val="superscript"/>
          <w:lang w:val="en-US" w:eastAsia="zh-CN"/>
        </w:rPr>
        <w:t>3。</w:t>
      </w:r>
      <w:r>
        <w:rPr>
          <w:rFonts w:hint="eastAsia"/>
          <w:color w:val="0000FF"/>
          <w:highlight w:val="none"/>
          <w:vertAlign w:val="baseline"/>
          <w:lang w:val="en-US" w:eastAsia="zh-CN"/>
        </w:rPr>
        <w:t>。</w:t>
      </w:r>
    </w:p>
    <w:p>
      <w:pPr>
        <w:pStyle w:val="4"/>
        <w:bidi w:val="0"/>
        <w:rPr>
          <w:rFonts w:hint="default"/>
          <w:color w:val="auto"/>
          <w:highlight w:val="none"/>
          <w:lang w:val="en-US" w:eastAsia="zh-CN"/>
        </w:rPr>
      </w:pPr>
      <w:bookmarkStart w:id="338" w:name="_Toc7842"/>
      <w:bookmarkStart w:id="339" w:name="_Toc31373"/>
      <w:bookmarkStart w:id="340" w:name="_Toc31711"/>
      <w:r>
        <w:rPr>
          <w:rFonts w:hint="eastAsia"/>
          <w:color w:val="auto"/>
          <w:highlight w:val="none"/>
          <w:lang w:val="en-US" w:eastAsia="zh-CN"/>
        </w:rPr>
        <w:t>水源及水资源配置情况</w:t>
      </w:r>
      <w:bookmarkEnd w:id="338"/>
      <w:bookmarkEnd w:id="339"/>
      <w:bookmarkEnd w:id="340"/>
    </w:p>
    <w:p>
      <w:pPr>
        <w:pStyle w:val="5"/>
        <w:numPr>
          <w:ilvl w:val="3"/>
          <w:numId w:val="7"/>
        </w:numPr>
        <w:bidi w:val="0"/>
        <w:ind w:left="480" w:leftChars="0" w:firstLineChars="0"/>
        <w:rPr>
          <w:rFonts w:hint="default"/>
          <w:color w:val="0000FF"/>
          <w:lang w:val="en-US" w:eastAsia="zh-CN"/>
        </w:rPr>
      </w:pPr>
      <w:r>
        <w:rPr>
          <w:rFonts w:hint="default"/>
          <w:color w:val="0000FF"/>
          <w:lang w:val="en-US" w:eastAsia="zh-CN"/>
        </w:rPr>
        <w:t>项目水源</w:t>
      </w:r>
    </w:p>
    <w:p>
      <w:pPr>
        <w:numPr>
          <w:ilvl w:val="0"/>
          <w:numId w:val="0"/>
        </w:numPr>
        <w:ind w:firstLine="480" w:firstLineChars="200"/>
        <w:rPr>
          <w:rFonts w:hint="default"/>
          <w:color w:val="0000FF"/>
          <w:highlight w:val="none"/>
          <w:lang w:val="en-US" w:eastAsia="zh-CN"/>
        </w:rPr>
      </w:pPr>
      <w:r>
        <w:rPr>
          <w:rFonts w:hint="eastAsia"/>
          <w:color w:val="auto"/>
          <w:highlight w:val="none"/>
          <w:lang w:val="en-US" w:eastAsia="zh-CN"/>
        </w:rPr>
        <w:t>本项目从“金沙江乌东德水电站水资源综合利用—元谋县姜驿乡提水工程”的2040m³高位水池取水，注入本项目3.9万m³管首调节水池作为水源</w:t>
      </w:r>
      <w:r>
        <w:rPr>
          <w:rFonts w:hint="eastAsia"/>
          <w:color w:val="0000FF"/>
          <w:highlight w:val="none"/>
          <w:lang w:val="en-US" w:eastAsia="zh-CN"/>
        </w:rPr>
        <w:t>该工程拟从金沙江乌东德电站库区取水，由2040m³高位水池接东干管向东片区供水。本项目由3.9万m³管首调节水池接北干管及金马分干管向西片区供水；本项目由长42m，管径DN800的管道从2040m³高位水池引水至3.9万m³管首调节。</w:t>
      </w:r>
    </w:p>
    <w:p>
      <w:pPr>
        <w:numPr>
          <w:ilvl w:val="0"/>
          <w:numId w:val="0"/>
        </w:numPr>
        <w:ind w:firstLine="480" w:firstLineChars="200"/>
        <w:rPr>
          <w:rFonts w:hint="eastAsia"/>
          <w:color w:val="auto"/>
          <w:highlight w:val="none"/>
          <w:lang w:val="en-US" w:eastAsia="zh-CN"/>
        </w:rPr>
      </w:pPr>
      <w:r>
        <w:rPr>
          <w:rFonts w:hint="eastAsia"/>
          <w:color w:val="auto"/>
          <w:highlight w:val="none"/>
          <w:lang w:val="en-US" w:eastAsia="zh-CN"/>
        </w:rPr>
        <w:t>“金沙江乌东德水电站水资源综合利用—元谋县姜驿乡提水工程”已被元谋县列为重点项目，并于2023年5月26日取得了楚雄州生态环境局准予行政许可决定书（楚环许准〔2023〕54 号），目前已开工建设，预计2025年竣工，从时间顺序上来看，本项目依托其高位水池作为水源具有可行性。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cs="Times New Roman"/>
          <w:b w:val="0"/>
          <w:bCs w:val="0"/>
          <w:color w:val="0000FF"/>
          <w:sz w:val="24"/>
          <w:szCs w:val="24"/>
          <w:lang w:val="en-US" w:eastAsia="zh-CN"/>
        </w:rPr>
      </w:pPr>
      <w:r>
        <w:rPr>
          <w:rFonts w:hint="default" w:ascii="Times New Roman" w:hAnsi="Times New Roman" w:cs="Times New Roman"/>
          <w:b w:val="0"/>
          <w:bCs w:val="0"/>
          <w:color w:val="0000FF"/>
          <w:sz w:val="24"/>
          <w:szCs w:val="24"/>
          <w:lang w:val="en-US" w:eastAsia="zh-CN"/>
        </w:rPr>
        <w:t>根据金沙江乌东德水电站水资源综合利用—元谋县姜驿乡提水工程水资源论证报告：该项目灌区面积为9.94万亩，其中姜中片区4.4万亩、贡茶片区2.41万亩、金河片区3.13万亩，本项目为该项目中定义的“姜中片区”，预留水量为911.4万m</w:t>
      </w:r>
      <w:r>
        <w:rPr>
          <w:rFonts w:hint="default" w:ascii="Times New Roman" w:hAnsi="Times New Roman" w:cs="Times New Roman"/>
          <w:b w:val="0"/>
          <w:bCs w:val="0"/>
          <w:color w:val="0000FF"/>
          <w:sz w:val="24"/>
          <w:szCs w:val="24"/>
          <w:vertAlign w:val="superscript"/>
          <w:lang w:val="en-US" w:eastAsia="zh-CN"/>
        </w:rPr>
        <w:t>3</w:t>
      </w:r>
      <w:r>
        <w:rPr>
          <w:rFonts w:hint="default" w:ascii="Times New Roman" w:hAnsi="Times New Roman" w:cs="Times New Roman"/>
          <w:b w:val="0"/>
          <w:bCs w:val="0"/>
          <w:color w:val="0000FF"/>
          <w:sz w:val="24"/>
          <w:szCs w:val="24"/>
          <w:lang w:val="en-US" w:eastAsia="zh-CN"/>
        </w:rPr>
        <w:t>（集镇生活用水3.4万m</w:t>
      </w:r>
      <w:r>
        <w:rPr>
          <w:rFonts w:hint="default" w:ascii="Times New Roman" w:hAnsi="Times New Roman" w:cs="Times New Roman"/>
          <w:b w:val="0"/>
          <w:bCs w:val="0"/>
          <w:color w:val="0000FF"/>
          <w:sz w:val="24"/>
          <w:szCs w:val="24"/>
          <w:vertAlign w:val="superscript"/>
          <w:lang w:val="en-US" w:eastAsia="zh-CN"/>
        </w:rPr>
        <w:t>3</w:t>
      </w:r>
      <w:r>
        <w:rPr>
          <w:rFonts w:hint="default" w:ascii="Times New Roman" w:hAnsi="Times New Roman" w:cs="Times New Roman"/>
          <w:b w:val="0"/>
          <w:bCs w:val="0"/>
          <w:color w:val="0000FF"/>
          <w:sz w:val="24"/>
          <w:szCs w:val="24"/>
          <w:lang w:val="en-US" w:eastAsia="zh-CN"/>
        </w:rPr>
        <w:t>，农村生活用水12.5万m</w:t>
      </w:r>
      <w:r>
        <w:rPr>
          <w:rFonts w:hint="default" w:ascii="Times New Roman" w:hAnsi="Times New Roman" w:cs="Times New Roman"/>
          <w:b w:val="0"/>
          <w:bCs w:val="0"/>
          <w:color w:val="0000FF"/>
          <w:sz w:val="24"/>
          <w:szCs w:val="24"/>
          <w:vertAlign w:val="superscript"/>
          <w:lang w:val="en-US" w:eastAsia="zh-CN"/>
        </w:rPr>
        <w:t>3</w:t>
      </w:r>
      <w:r>
        <w:rPr>
          <w:rFonts w:hint="default" w:ascii="Times New Roman" w:hAnsi="Times New Roman" w:cs="Times New Roman"/>
          <w:b w:val="0"/>
          <w:bCs w:val="0"/>
          <w:color w:val="0000FF"/>
          <w:sz w:val="24"/>
          <w:szCs w:val="24"/>
          <w:lang w:val="en-US" w:eastAsia="zh-CN"/>
        </w:rPr>
        <w:t>，高效农灌用水895.5万m</w:t>
      </w:r>
      <w:r>
        <w:rPr>
          <w:rFonts w:hint="default" w:ascii="Times New Roman" w:hAnsi="Times New Roman" w:cs="Times New Roman"/>
          <w:b w:val="0"/>
          <w:bCs w:val="0"/>
          <w:color w:val="0000FF"/>
          <w:sz w:val="24"/>
          <w:szCs w:val="24"/>
          <w:vertAlign w:val="superscript"/>
          <w:lang w:val="en-US" w:eastAsia="zh-CN"/>
        </w:rPr>
        <w:t>3</w:t>
      </w:r>
      <w:r>
        <w:rPr>
          <w:rFonts w:hint="default" w:ascii="Times New Roman" w:hAnsi="Times New Roman" w:cs="Times New Roman"/>
          <w:b w:val="0"/>
          <w:bCs w:val="0"/>
          <w:color w:val="0000FF"/>
          <w:sz w:val="24"/>
          <w:szCs w:val="24"/>
          <w:vertAlign w:val="baseline"/>
          <w:lang w:val="en-US" w:eastAsia="zh-CN"/>
        </w:rPr>
        <w:t>）</w:t>
      </w:r>
      <w:r>
        <w:rPr>
          <w:rFonts w:hint="default" w:ascii="Times New Roman" w:hAnsi="Times New Roman" w:cs="Times New Roman"/>
          <w:b w:val="0"/>
          <w:bCs w:val="0"/>
          <w:color w:val="0000FF"/>
          <w:sz w:val="24"/>
          <w:szCs w:val="24"/>
          <w:lang w:val="en-US" w:eastAsia="zh-CN"/>
        </w:rPr>
        <w:t>。本项目规划实施阶段复核后的灌溉面积为3.49万亩，且片区已有姜驿乡抗旱应急供水工程提供生活用水，无生活用水需求。仅考虑灌溉用水量为</w:t>
      </w:r>
      <w:r>
        <w:rPr>
          <w:rFonts w:hint="default" w:ascii="Times New Roman" w:hAnsi="Times New Roman" w:cs="Times New Roman"/>
          <w:color w:val="0000FF"/>
          <w:sz w:val="24"/>
          <w:szCs w:val="24"/>
          <w:highlight w:val="none"/>
          <w:shd w:val="clear"/>
          <w:lang w:val="en-US" w:eastAsia="zh-CN"/>
        </w:rPr>
        <w:t>760.7万m³，因此小于</w:t>
      </w:r>
      <w:r>
        <w:rPr>
          <w:rFonts w:hint="default" w:ascii="Times New Roman" w:hAnsi="Times New Roman" w:cs="Times New Roman"/>
          <w:b w:val="0"/>
          <w:bCs w:val="0"/>
          <w:color w:val="0000FF"/>
          <w:sz w:val="24"/>
          <w:szCs w:val="24"/>
          <w:lang w:val="en-US" w:eastAsia="zh-CN"/>
        </w:rPr>
        <w:t>金沙江乌东德水电站水资源综合利用—元谋县姜驿乡提水工程预留的水量。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color w:val="auto"/>
          <w:highlight w:val="none"/>
          <w:lang w:val="en-US" w:eastAsia="zh-CN"/>
        </w:rPr>
      </w:pPr>
      <w:r>
        <w:rPr>
          <w:rFonts w:hint="default" w:ascii="Times New Roman" w:hAnsi="Times New Roman" w:cs="Times New Roman"/>
          <w:b w:val="0"/>
          <w:bCs w:val="0"/>
          <w:color w:val="0000FF"/>
          <w:sz w:val="24"/>
          <w:szCs w:val="24"/>
          <w:highlight w:val="none"/>
          <w:lang w:val="en-US" w:eastAsia="zh-CN"/>
        </w:rPr>
        <w:t>关于《元谋县姜驿中型灌区续建配套与节水改造项目》水量的情况说明</w:t>
      </w:r>
      <w:r>
        <w:rPr>
          <w:rFonts w:hint="eastAsia" w:ascii="Times New Roman" w:hAnsi="Times New Roman" w:cs="Times New Roman"/>
          <w:b w:val="0"/>
          <w:bCs w:val="0"/>
          <w:color w:val="0000FF"/>
          <w:sz w:val="24"/>
          <w:szCs w:val="24"/>
          <w:highlight w:val="none"/>
          <w:lang w:val="en-US" w:eastAsia="zh-CN"/>
        </w:rPr>
        <w:t>见附件</w:t>
      </w:r>
      <w:r>
        <w:rPr>
          <w:rFonts w:hint="eastAsia" w:cs="Times New Roman"/>
          <w:b w:val="0"/>
          <w:bCs w:val="0"/>
          <w:color w:val="0000FF"/>
          <w:sz w:val="24"/>
          <w:szCs w:val="24"/>
          <w:highlight w:val="none"/>
          <w:lang w:val="en-US" w:eastAsia="zh-CN"/>
        </w:rPr>
        <w:t>11</w:t>
      </w:r>
      <w:r>
        <w:rPr>
          <w:rFonts w:hint="eastAsia" w:ascii="Times New Roman" w:hAnsi="Times New Roman" w:cs="Times New Roman"/>
          <w:b w:val="0"/>
          <w:bCs w:val="0"/>
          <w:color w:val="0000FF"/>
          <w:sz w:val="24"/>
          <w:szCs w:val="24"/>
          <w:highlight w:val="none"/>
          <w:lang w:val="en-US" w:eastAsia="zh-CN"/>
        </w:rPr>
        <w:t>。</w:t>
      </w:r>
    </w:p>
    <w:p>
      <w:pPr>
        <w:pStyle w:val="5"/>
        <w:tabs>
          <w:tab w:val="clear" w:pos="420"/>
        </w:tabs>
        <w:bidi w:val="0"/>
        <w:ind w:left="480" w:leftChars="0" w:firstLineChars="0"/>
        <w:rPr>
          <w:rFonts w:hint="default"/>
          <w:color w:val="auto"/>
          <w:lang w:val="en-US" w:eastAsia="zh-CN"/>
        </w:rPr>
      </w:pPr>
      <w:r>
        <w:rPr>
          <w:rFonts w:hint="default"/>
          <w:color w:val="auto"/>
          <w:lang w:val="en-US" w:eastAsia="zh-CN"/>
        </w:rPr>
        <w:t>项目建设前后水资源供需分析及配置情况</w:t>
      </w:r>
    </w:p>
    <w:p>
      <w:pPr>
        <w:keepNext w:val="0"/>
        <w:keepLines w:val="0"/>
        <w:pageBreakBefore w:val="0"/>
        <w:widowControl w:val="0"/>
        <w:numPr>
          <w:ilvl w:val="0"/>
          <w:numId w:val="0"/>
        </w:numPr>
        <w:kinsoku/>
        <w:wordWrap/>
        <w:overflowPunct/>
        <w:topLinePunct w:val="0"/>
        <w:autoSpaceDE/>
        <w:autoSpaceDN/>
        <w:bidi w:val="0"/>
        <w:adjustRightInd/>
        <w:snapToGrid w:val="0"/>
        <w:ind w:firstLine="482" w:firstLineChars="200"/>
        <w:textAlignment w:val="auto"/>
        <w:rPr>
          <w:rFonts w:hint="default"/>
          <w:b/>
          <w:bCs/>
          <w:color w:val="auto"/>
          <w:highlight w:val="none"/>
          <w:lang w:val="en-US" w:eastAsia="zh-CN"/>
        </w:rPr>
      </w:pPr>
      <w:r>
        <w:rPr>
          <w:rFonts w:hint="eastAsia"/>
          <w:b/>
          <w:bCs/>
          <w:color w:val="auto"/>
          <w:highlight w:val="none"/>
          <w:lang w:val="en-US" w:eastAsia="zh-CN"/>
        </w:rPr>
        <w:t>1、</w:t>
      </w:r>
      <w:r>
        <w:rPr>
          <w:rFonts w:hint="default"/>
          <w:b/>
          <w:bCs/>
          <w:color w:val="auto"/>
          <w:highlight w:val="none"/>
          <w:lang w:val="en-US" w:eastAsia="zh-CN"/>
        </w:rPr>
        <w:t>灌区现状水量供需分析</w:t>
      </w:r>
    </w:p>
    <w:p>
      <w:pPr>
        <w:keepNext w:val="0"/>
        <w:keepLines w:val="0"/>
        <w:pageBreakBefore w:val="0"/>
        <w:widowControl w:val="0"/>
        <w:numPr>
          <w:ilvl w:val="0"/>
          <w:numId w:val="0"/>
        </w:numPr>
        <w:kinsoku/>
        <w:wordWrap/>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eastAsia"/>
          <w:color w:val="auto"/>
          <w:highlight w:val="none"/>
          <w:lang w:val="en-US" w:eastAsia="zh-CN"/>
        </w:rPr>
        <w:t>（1）现状供水情况</w:t>
      </w:r>
    </w:p>
    <w:p>
      <w:pPr>
        <w:keepNext w:val="0"/>
        <w:keepLines w:val="0"/>
        <w:pageBreakBefore w:val="0"/>
        <w:widowControl w:val="0"/>
        <w:numPr>
          <w:ilvl w:val="0"/>
          <w:numId w:val="0"/>
        </w:numPr>
        <w:kinsoku/>
        <w:wordWrap/>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default"/>
          <w:color w:val="auto"/>
          <w:highlight w:val="none"/>
          <w:lang w:val="en-US" w:eastAsia="zh-CN"/>
        </w:rPr>
        <w:t>现状水平年，项目区灌溉面积3.49万亩，均为常规灌溉，灌溉水利用系数仅为0.56。</w:t>
      </w:r>
      <w:r>
        <w:rPr>
          <w:rFonts w:hint="default"/>
          <w:color w:val="auto"/>
          <w:highlight w:val="none"/>
          <w:shd w:val="clear"/>
          <w:lang w:val="en-US" w:eastAsia="zh-CN"/>
        </w:rPr>
        <w:t>灌区总需水量为1993.8万m³，水利工程总供水量</w:t>
      </w:r>
      <w:r>
        <w:rPr>
          <w:rFonts w:hint="eastAsia"/>
          <w:color w:val="auto"/>
          <w:highlight w:val="none"/>
          <w:shd w:val="clear"/>
          <w:lang w:val="en-US" w:eastAsia="zh-CN"/>
        </w:rPr>
        <w:t>124.5</w:t>
      </w:r>
      <w:r>
        <w:rPr>
          <w:rFonts w:hint="default"/>
          <w:color w:val="auto"/>
          <w:highlight w:val="none"/>
          <w:shd w:val="clear"/>
          <w:lang w:val="en-US" w:eastAsia="zh-CN"/>
        </w:rPr>
        <w:t>万m³，缺水量18</w:t>
      </w:r>
      <w:r>
        <w:rPr>
          <w:rFonts w:hint="eastAsia"/>
          <w:color w:val="auto"/>
          <w:highlight w:val="none"/>
          <w:shd w:val="clear"/>
          <w:lang w:val="en-US" w:eastAsia="zh-CN"/>
        </w:rPr>
        <w:t>69.3</w:t>
      </w:r>
      <w:r>
        <w:rPr>
          <w:rFonts w:hint="default"/>
          <w:color w:val="auto"/>
          <w:highlight w:val="none"/>
          <w:shd w:val="clear"/>
          <w:lang w:val="en-US" w:eastAsia="zh-CN"/>
        </w:rPr>
        <w:t>万m³，</w:t>
      </w:r>
      <w:r>
        <w:rPr>
          <w:rFonts w:hint="default"/>
          <w:color w:val="auto"/>
          <w:highlight w:val="none"/>
          <w:lang w:val="en-US" w:eastAsia="zh-CN"/>
        </w:rPr>
        <w:t>缺水量占总需水量的9</w:t>
      </w:r>
      <w:r>
        <w:rPr>
          <w:rFonts w:hint="eastAsia"/>
          <w:color w:val="auto"/>
          <w:highlight w:val="none"/>
          <w:lang w:val="en-US" w:eastAsia="zh-CN"/>
        </w:rPr>
        <w:t>3</w:t>
      </w:r>
      <w:r>
        <w:rPr>
          <w:rFonts w:hint="default"/>
          <w:color w:val="auto"/>
          <w:highlight w:val="none"/>
          <w:lang w:val="en-US" w:eastAsia="zh-CN"/>
        </w:rPr>
        <w:t>.</w:t>
      </w:r>
      <w:r>
        <w:rPr>
          <w:rFonts w:hint="eastAsia"/>
          <w:color w:val="auto"/>
          <w:highlight w:val="none"/>
          <w:lang w:val="en-US" w:eastAsia="zh-CN"/>
        </w:rPr>
        <w:t>76</w:t>
      </w:r>
      <w:r>
        <w:rPr>
          <w:rFonts w:hint="default"/>
          <w:color w:val="auto"/>
          <w:highlight w:val="none"/>
          <w:lang w:val="en-US" w:eastAsia="zh-CN"/>
        </w:rPr>
        <w:t>%。其中：集镇生活需水量4.6万m³，供水量4.6万m³，供需水平衡，保证0.1009万人集镇人口生活用水；农村生活需水量34.5万m³，供水量34.5万m³，供需水平衡，保证0.6891万人农村人口和1.3046万头大小牲畜生活用水；农业灌溉需水量为1993.8万m³，供水量</w:t>
      </w:r>
      <w:r>
        <w:rPr>
          <w:rFonts w:hint="eastAsia"/>
          <w:color w:val="auto"/>
          <w:highlight w:val="none"/>
          <w:lang w:val="en-US" w:eastAsia="zh-CN"/>
        </w:rPr>
        <w:t>85.4</w:t>
      </w:r>
      <w:r>
        <w:rPr>
          <w:rFonts w:hint="default"/>
          <w:color w:val="auto"/>
          <w:highlight w:val="none"/>
          <w:lang w:val="en-US" w:eastAsia="zh-CN"/>
        </w:rPr>
        <w:t>万m³，保证灌溉面积0.14万亩，缺水量</w:t>
      </w:r>
      <w:r>
        <w:rPr>
          <w:rFonts w:hint="eastAsia"/>
          <w:color w:val="auto"/>
          <w:highlight w:val="none"/>
          <w:lang w:val="en-US" w:eastAsia="zh-CN"/>
        </w:rPr>
        <w:t>1869.3</w:t>
      </w:r>
      <w:r>
        <w:rPr>
          <w:rFonts w:hint="default"/>
          <w:color w:val="auto"/>
          <w:highlight w:val="none"/>
          <w:lang w:val="en-US" w:eastAsia="zh-CN"/>
        </w:rPr>
        <w:t>万m³，缺灌面积3.35万亩。由于项目区产水量低、水利工程可供水量少，且大多耕地属于望天田，形成了地多水少的局面，导致灌区现状水平年农灌缺水状况十分严峻。</w:t>
      </w:r>
    </w:p>
    <w:p>
      <w:pPr>
        <w:keepNext w:val="0"/>
        <w:keepLines w:val="0"/>
        <w:pageBreakBefore w:val="0"/>
        <w:widowControl w:val="0"/>
        <w:numPr>
          <w:ilvl w:val="0"/>
          <w:numId w:val="0"/>
        </w:numPr>
        <w:kinsoku/>
        <w:wordWrap/>
        <w:overflowPunct/>
        <w:topLinePunct w:val="0"/>
        <w:autoSpaceDE/>
        <w:autoSpaceDN/>
        <w:bidi w:val="0"/>
        <w:adjustRightInd/>
        <w:snapToGrid w:val="0"/>
        <w:ind w:left="0" w:leftChars="0" w:firstLine="480" w:firstLineChars="200"/>
        <w:textAlignment w:val="auto"/>
        <w:rPr>
          <w:rFonts w:hint="eastAsia"/>
          <w:color w:val="auto"/>
          <w:highlight w:val="none"/>
          <w:lang w:val="en-US" w:eastAsia="zh-CN"/>
        </w:rPr>
      </w:pPr>
      <w:r>
        <w:rPr>
          <w:rFonts w:hint="eastAsia" w:ascii="Times New Roman" w:hAnsi="Times New Roman" w:eastAsia="宋体" w:cs="Times New Roman"/>
          <w:color w:val="auto"/>
          <w:kern w:val="2"/>
          <w:sz w:val="24"/>
          <w:szCs w:val="21"/>
          <w:highlight w:val="none"/>
          <w:lang w:val="en-US" w:eastAsia="zh-CN" w:bidi="ar-SA"/>
        </w:rPr>
        <w:t>（2）</w:t>
      </w:r>
      <w:r>
        <w:rPr>
          <w:rFonts w:hint="eastAsia"/>
          <w:color w:val="auto"/>
          <w:highlight w:val="none"/>
          <w:lang w:val="en-US" w:eastAsia="zh-CN"/>
        </w:rPr>
        <w:t>现状供水水平评价</w:t>
      </w:r>
    </w:p>
    <w:p>
      <w:pPr>
        <w:keepNext w:val="0"/>
        <w:keepLines w:val="0"/>
        <w:pageBreakBefore w:val="0"/>
        <w:widowControl w:val="0"/>
        <w:numPr>
          <w:ilvl w:val="0"/>
          <w:numId w:val="0"/>
        </w:numPr>
        <w:kinsoku/>
        <w:wordWrap/>
        <w:overflowPunct/>
        <w:topLinePunct w:val="0"/>
        <w:autoSpaceDE/>
        <w:autoSpaceDN/>
        <w:bidi w:val="0"/>
        <w:adjustRightInd/>
        <w:snapToGrid w:val="0"/>
        <w:ind w:leftChars="0" w:firstLine="480" w:firstLineChars="200"/>
        <w:textAlignment w:val="auto"/>
        <w:rPr>
          <w:rFonts w:hint="default"/>
          <w:color w:val="auto"/>
          <w:highlight w:val="none"/>
          <w:lang w:val="en-US" w:eastAsia="zh-CN"/>
        </w:rPr>
      </w:pPr>
      <w:r>
        <w:rPr>
          <w:rFonts w:hint="default"/>
          <w:color w:val="auto"/>
          <w:highlight w:val="none"/>
          <w:lang w:val="en-US" w:eastAsia="zh-CN"/>
        </w:rPr>
        <w:t>①工程建设标准低，配套不完善。由于特定的自然条件和历史原因，现有水利工程普遍存在工程总量不足，规模偏小，建设标准低；投入不足，配套不完善，覆盖率低，年久失修，病险严重等问题，导致水资源利用不足，灌溉保证率低，供水不安全等，不能有效地解除旱涝灾害，特别是旱灾的威胁，严重制约了农业生产的发展。</w:t>
      </w:r>
    </w:p>
    <w:p>
      <w:pPr>
        <w:keepNext w:val="0"/>
        <w:keepLines w:val="0"/>
        <w:pageBreakBefore w:val="0"/>
        <w:widowControl w:val="0"/>
        <w:numPr>
          <w:ilvl w:val="0"/>
          <w:numId w:val="0"/>
        </w:numPr>
        <w:kinsoku/>
        <w:wordWrap/>
        <w:overflowPunct/>
        <w:topLinePunct w:val="0"/>
        <w:autoSpaceDE/>
        <w:autoSpaceDN/>
        <w:bidi w:val="0"/>
        <w:adjustRightInd/>
        <w:snapToGrid w:val="0"/>
        <w:ind w:leftChars="0" w:firstLine="480" w:firstLineChars="200"/>
        <w:textAlignment w:val="auto"/>
        <w:rPr>
          <w:rFonts w:hint="default"/>
          <w:color w:val="auto"/>
          <w:highlight w:val="none"/>
          <w:lang w:val="en-US" w:eastAsia="zh-CN"/>
        </w:rPr>
      </w:pPr>
      <w:r>
        <w:rPr>
          <w:rFonts w:hint="default"/>
          <w:color w:val="auto"/>
          <w:highlight w:val="none"/>
          <w:lang w:val="en-US" w:eastAsia="zh-CN"/>
        </w:rPr>
        <w:t>②农田水利工程老化失修严重，水效益衰减。灌区内工程大多建成于上世纪五、八十年代，农田水利工程设施的建设标准偏低，建筑物配套不全，灌溉工程老化失修严重，大多工程虽已达到工程使用年限，但受资金等因素制约，不能及时改建和加固，致使灌区灌溉水利用率低，效益差。</w:t>
      </w:r>
    </w:p>
    <w:p>
      <w:pPr>
        <w:keepNext w:val="0"/>
        <w:keepLines w:val="0"/>
        <w:pageBreakBefore w:val="0"/>
        <w:widowControl w:val="0"/>
        <w:numPr>
          <w:ilvl w:val="0"/>
          <w:numId w:val="0"/>
        </w:numPr>
        <w:kinsoku/>
        <w:wordWrap/>
        <w:overflowPunct/>
        <w:topLinePunct w:val="0"/>
        <w:autoSpaceDE/>
        <w:autoSpaceDN/>
        <w:bidi w:val="0"/>
        <w:adjustRightInd/>
        <w:snapToGrid w:val="0"/>
        <w:ind w:leftChars="0" w:firstLine="480" w:firstLineChars="200"/>
        <w:textAlignment w:val="auto"/>
        <w:rPr>
          <w:rFonts w:hint="default"/>
          <w:color w:val="auto"/>
          <w:highlight w:val="none"/>
          <w:lang w:val="en-US" w:eastAsia="zh-CN"/>
        </w:rPr>
      </w:pPr>
      <w:r>
        <w:rPr>
          <w:rFonts w:hint="default"/>
          <w:color w:val="auto"/>
          <w:highlight w:val="none"/>
          <w:lang w:val="en-US" w:eastAsia="zh-CN"/>
        </w:rPr>
        <w:t>③工程供水能力减弱，供水保证率较低。灌区内水利工程经过多年运行后，考虑水库泥沙淤积、渗漏等的影响，水库实际供水量均比其设计供水量减小，且灌区部分渠道年久失修，田间配套设施不完善，引水工程引水能力也比设计值偏小。</w:t>
      </w:r>
    </w:p>
    <w:p>
      <w:pPr>
        <w:keepNext w:val="0"/>
        <w:keepLines w:val="0"/>
        <w:pageBreakBefore w:val="0"/>
        <w:widowControl w:val="0"/>
        <w:numPr>
          <w:ilvl w:val="0"/>
          <w:numId w:val="0"/>
        </w:numPr>
        <w:kinsoku/>
        <w:wordWrap/>
        <w:overflowPunct/>
        <w:topLinePunct w:val="0"/>
        <w:autoSpaceDE/>
        <w:autoSpaceDN/>
        <w:bidi w:val="0"/>
        <w:adjustRightInd/>
        <w:snapToGrid w:val="0"/>
        <w:ind w:leftChars="0" w:firstLine="480" w:firstLineChars="200"/>
        <w:textAlignment w:val="auto"/>
        <w:rPr>
          <w:rFonts w:hint="default"/>
          <w:color w:val="auto"/>
          <w:highlight w:val="none"/>
          <w:lang w:val="en-US" w:eastAsia="zh-CN"/>
        </w:rPr>
      </w:pPr>
      <w:r>
        <w:rPr>
          <w:rFonts w:hint="default"/>
          <w:color w:val="auto"/>
          <w:highlight w:val="none"/>
          <w:lang w:val="en-US" w:eastAsia="zh-CN"/>
        </w:rPr>
        <w:t>由于以上原因，导致有限的水资源得不到充分地利用，工程型缺水严重，农业供水得不到保证，农业生产不能稳产高产，严重影响了农村产业结构的优化调整和农民增收，也给社会增加了不可忽视的不稳定因素。</w:t>
      </w:r>
    </w:p>
    <w:p>
      <w:pPr>
        <w:keepNext w:val="0"/>
        <w:keepLines w:val="0"/>
        <w:pageBreakBefore w:val="0"/>
        <w:widowControl w:val="0"/>
        <w:numPr>
          <w:ilvl w:val="0"/>
          <w:numId w:val="0"/>
        </w:numPr>
        <w:kinsoku/>
        <w:wordWrap/>
        <w:overflowPunct/>
        <w:topLinePunct w:val="0"/>
        <w:autoSpaceDE/>
        <w:autoSpaceDN/>
        <w:bidi w:val="0"/>
        <w:adjustRightInd/>
        <w:snapToGrid w:val="0"/>
        <w:ind w:leftChars="0" w:firstLine="480" w:firstLineChars="200"/>
        <w:textAlignment w:val="auto"/>
        <w:rPr>
          <w:rFonts w:hint="default" w:eastAsia="宋体"/>
          <w:color w:val="auto"/>
          <w:highlight w:val="none"/>
          <w:lang w:val="en-US" w:eastAsia="zh-CN"/>
        </w:rPr>
      </w:pPr>
      <w:r>
        <w:rPr>
          <w:color w:val="auto"/>
          <w:highlight w:val="none"/>
        </w:rPr>
        <w:t>姜驿中型灌区西片区现状年水资源供需平衡分析表</w:t>
      </w:r>
      <w:r>
        <w:rPr>
          <w:rFonts w:hint="eastAsia"/>
          <w:color w:val="auto"/>
          <w:highlight w:val="none"/>
          <w:lang w:val="en-US" w:eastAsia="zh-CN"/>
        </w:rPr>
        <w:t>见表2.2.1-1。</w:t>
      </w:r>
    </w:p>
    <w:p>
      <w:pPr>
        <w:keepNext w:val="0"/>
        <w:keepLines w:val="0"/>
        <w:pageBreakBefore w:val="0"/>
        <w:widowControl w:val="0"/>
        <w:numPr>
          <w:ilvl w:val="0"/>
          <w:numId w:val="0"/>
        </w:numPr>
        <w:kinsoku/>
        <w:wordWrap/>
        <w:overflowPunct/>
        <w:topLinePunct w:val="0"/>
        <w:autoSpaceDE/>
        <w:autoSpaceDN/>
        <w:bidi w:val="0"/>
        <w:adjustRightInd/>
        <w:snapToGrid w:val="0"/>
        <w:ind w:firstLine="482" w:firstLineChars="200"/>
        <w:textAlignment w:val="auto"/>
        <w:rPr>
          <w:rFonts w:hint="default"/>
          <w:color w:val="auto"/>
          <w:highlight w:val="none"/>
          <w:lang w:val="en-US" w:eastAsia="zh-CN"/>
        </w:rPr>
      </w:pPr>
      <w:r>
        <w:rPr>
          <w:rFonts w:hint="eastAsia"/>
          <w:b/>
          <w:bCs/>
          <w:color w:val="auto"/>
          <w:highlight w:val="none"/>
          <w:lang w:val="en-US" w:eastAsia="zh-CN"/>
        </w:rPr>
        <w:t>2、</w:t>
      </w:r>
      <w:r>
        <w:rPr>
          <w:rFonts w:hint="default"/>
          <w:b/>
          <w:bCs/>
          <w:color w:val="auto"/>
          <w:highlight w:val="none"/>
          <w:lang w:val="en-US" w:eastAsia="zh-CN"/>
        </w:rPr>
        <w:t>项目实施后灌区水量供需分析</w:t>
      </w:r>
      <w:r>
        <w:rPr>
          <w:rFonts w:hint="eastAsia"/>
          <w:b/>
          <w:bCs/>
          <w:color w:val="auto"/>
          <w:highlight w:val="none"/>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default"/>
          <w:color w:val="auto"/>
          <w:highlight w:val="none"/>
          <w:lang w:val="en-US" w:eastAsia="zh-CN"/>
        </w:rPr>
        <w:t>规划水平年</w:t>
      </w:r>
      <w:r>
        <w:rPr>
          <w:rFonts w:hint="eastAsia"/>
          <w:color w:val="auto"/>
          <w:highlight w:val="none"/>
          <w:lang w:val="en-US" w:eastAsia="zh-CN"/>
        </w:rPr>
        <w:t>2035年</w:t>
      </w:r>
      <w:r>
        <w:rPr>
          <w:rFonts w:hint="default"/>
          <w:color w:val="auto"/>
          <w:highlight w:val="none"/>
          <w:lang w:val="en-US" w:eastAsia="zh-CN"/>
        </w:rPr>
        <w:t>，项目实施后，灌溉水利用系数提高，灌溉需水量减小。</w:t>
      </w:r>
      <w:r>
        <w:rPr>
          <w:rFonts w:hint="default"/>
          <w:color w:val="auto"/>
          <w:highlight w:val="none"/>
          <w:shd w:val="clear"/>
          <w:lang w:val="en-US" w:eastAsia="zh-CN"/>
        </w:rPr>
        <w:t>灌区总需水量为885.2万m³，</w:t>
      </w:r>
      <w:r>
        <w:rPr>
          <w:rFonts w:hint="eastAsia"/>
          <w:color w:val="auto"/>
          <w:highlight w:val="none"/>
          <w:shd w:val="clear"/>
          <w:lang w:val="en-US" w:eastAsia="zh-CN"/>
        </w:rPr>
        <w:t>现有水利工程供水量124.5万m³，本项目新增供水量760.7万m³，</w:t>
      </w:r>
      <w:r>
        <w:rPr>
          <w:rFonts w:hint="default"/>
          <w:color w:val="auto"/>
          <w:highlight w:val="none"/>
          <w:shd w:val="clear"/>
          <w:lang w:val="en-US" w:eastAsia="zh-CN"/>
        </w:rPr>
        <w:t>总供水量为885.2万m³，</w:t>
      </w:r>
      <w:r>
        <w:rPr>
          <w:rFonts w:hint="default"/>
          <w:color w:val="auto"/>
          <w:highlight w:val="none"/>
          <w:lang w:val="en-US" w:eastAsia="zh-CN"/>
        </w:rPr>
        <w:t>缺水量0万m³。其中：集镇生活需水量</w:t>
      </w:r>
      <w:r>
        <w:rPr>
          <w:rFonts w:hint="eastAsia"/>
          <w:color w:val="auto"/>
          <w:highlight w:val="none"/>
          <w:lang w:val="en-US" w:eastAsia="zh-CN"/>
        </w:rPr>
        <w:t>6</w:t>
      </w:r>
      <w:r>
        <w:rPr>
          <w:rFonts w:hint="default"/>
          <w:color w:val="auto"/>
          <w:highlight w:val="none"/>
          <w:lang w:val="en-US" w:eastAsia="zh-CN"/>
        </w:rPr>
        <w:t>万m³，供水量</w:t>
      </w:r>
      <w:r>
        <w:rPr>
          <w:rFonts w:hint="eastAsia"/>
          <w:color w:val="auto"/>
          <w:highlight w:val="none"/>
          <w:lang w:val="en-US" w:eastAsia="zh-CN"/>
        </w:rPr>
        <w:t>6</w:t>
      </w:r>
      <w:r>
        <w:rPr>
          <w:rFonts w:hint="default"/>
          <w:color w:val="auto"/>
          <w:highlight w:val="none"/>
          <w:lang w:val="en-US" w:eastAsia="zh-CN"/>
        </w:rPr>
        <w:t>万m³，供需水平衡，保证0.1096万人集镇人口生活用水；农村生活需水量43.</w:t>
      </w:r>
      <w:r>
        <w:rPr>
          <w:rFonts w:hint="eastAsia"/>
          <w:color w:val="auto"/>
          <w:highlight w:val="none"/>
          <w:lang w:val="en-US" w:eastAsia="zh-CN"/>
        </w:rPr>
        <w:t>2</w:t>
      </w:r>
      <w:r>
        <w:rPr>
          <w:rFonts w:hint="default"/>
          <w:color w:val="auto"/>
          <w:highlight w:val="none"/>
          <w:lang w:val="en-US" w:eastAsia="zh-CN"/>
        </w:rPr>
        <w:t>万m³，供水量43.</w:t>
      </w:r>
      <w:r>
        <w:rPr>
          <w:rFonts w:hint="eastAsia"/>
          <w:color w:val="auto"/>
          <w:highlight w:val="none"/>
          <w:lang w:val="en-US" w:eastAsia="zh-CN"/>
        </w:rPr>
        <w:t>2</w:t>
      </w:r>
      <w:r>
        <w:rPr>
          <w:rFonts w:hint="default"/>
          <w:color w:val="auto"/>
          <w:highlight w:val="none"/>
          <w:lang w:val="en-US" w:eastAsia="zh-CN"/>
        </w:rPr>
        <w:t>万m³，供需水平衡，保证0.7058万人农村人口和1.4254万头大小牲畜生活用水；农业灌溉需水量83</w:t>
      </w:r>
      <w:r>
        <w:rPr>
          <w:rFonts w:hint="eastAsia"/>
          <w:color w:val="auto"/>
          <w:highlight w:val="none"/>
          <w:lang w:val="en-US" w:eastAsia="zh-CN"/>
        </w:rPr>
        <w:t>6</w:t>
      </w:r>
      <w:r>
        <w:rPr>
          <w:rFonts w:hint="default"/>
          <w:color w:val="auto"/>
          <w:highlight w:val="none"/>
          <w:lang w:val="en-US" w:eastAsia="zh-CN"/>
        </w:rPr>
        <w:t>万m³，供水量83</w:t>
      </w:r>
      <w:r>
        <w:rPr>
          <w:rFonts w:hint="eastAsia"/>
          <w:color w:val="auto"/>
          <w:highlight w:val="none"/>
          <w:lang w:val="en-US" w:eastAsia="zh-CN"/>
        </w:rPr>
        <w:t>6</w:t>
      </w:r>
      <w:r>
        <w:rPr>
          <w:rFonts w:hint="default"/>
          <w:color w:val="auto"/>
          <w:highlight w:val="none"/>
          <w:lang w:val="en-US" w:eastAsia="zh-CN"/>
        </w:rPr>
        <w:t>万m³，缺水量0万m³，保证灌溉面积3.49万亩，其中：常规灌溉0.22万亩，高效灌溉3.27万亩。</w:t>
      </w:r>
    </w:p>
    <w:p>
      <w:pPr>
        <w:numPr>
          <w:ilvl w:val="0"/>
          <w:numId w:val="0"/>
        </w:numPr>
        <w:ind w:firstLine="480" w:firstLineChars="200"/>
        <w:rPr>
          <w:rFonts w:hint="default" w:eastAsia="宋体"/>
          <w:color w:val="auto"/>
          <w:highlight w:val="none"/>
          <w:lang w:val="en-US" w:eastAsia="zh-CN"/>
        </w:rPr>
        <w:sectPr>
          <w:footerReference r:id="rId9" w:type="default"/>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r>
        <w:rPr>
          <w:color w:val="auto"/>
          <w:highlight w:val="none"/>
        </w:rPr>
        <w:t>姜驿中型灌区西片区规划年水土资源供需平衡分析表</w:t>
      </w:r>
      <w:r>
        <w:rPr>
          <w:rFonts w:hint="eastAsia"/>
          <w:color w:val="auto"/>
          <w:highlight w:val="none"/>
          <w:lang w:val="en-US" w:eastAsia="zh-CN"/>
        </w:rPr>
        <w:t>见表2.2.1-2。</w:t>
      </w:r>
    </w:p>
    <w:p>
      <w:pPr>
        <w:pStyle w:val="40"/>
        <w:bidi w:val="0"/>
        <w:rPr>
          <w:rFonts w:hint="default" w:eastAsia="宋体"/>
          <w:color w:val="auto"/>
          <w:highlight w:val="none"/>
          <w:lang w:val="en-US" w:eastAsia="zh-CN"/>
        </w:rPr>
      </w:pPr>
      <w:r>
        <w:rPr>
          <w:color w:val="auto"/>
          <w:highlight w:val="none"/>
        </w:rPr>
        <w:t>表</w:t>
      </w:r>
      <w:r>
        <w:rPr>
          <w:rFonts w:hint="eastAsia"/>
          <w:color w:val="auto"/>
          <w:highlight w:val="none"/>
          <w:lang w:val="en-US" w:eastAsia="zh-CN"/>
        </w:rPr>
        <w:t>2.2.2-</w:t>
      </w:r>
      <w:r>
        <w:rPr>
          <w:color w:val="auto"/>
          <w:highlight w:val="none"/>
        </w:rPr>
        <w:t>1  姜驿中型灌区西片区现状年2021年水资源供需平衡分析表</w:t>
      </w:r>
      <w:r>
        <w:rPr>
          <w:rFonts w:hint="eastAsia"/>
          <w:color w:val="auto"/>
          <w:highlight w:val="none"/>
          <w:lang w:val="en-US" w:eastAsia="zh-CN"/>
        </w:rPr>
        <w:t xml:space="preserve">   单位:万m³</w:t>
      </w:r>
    </w:p>
    <w:tbl>
      <w:tblPr>
        <w:tblStyle w:val="2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3064"/>
        <w:gridCol w:w="876"/>
        <w:gridCol w:w="876"/>
        <w:gridCol w:w="760"/>
        <w:gridCol w:w="760"/>
        <w:gridCol w:w="799"/>
        <w:gridCol w:w="876"/>
        <w:gridCol w:w="876"/>
        <w:gridCol w:w="876"/>
        <w:gridCol w:w="876"/>
        <w:gridCol w:w="760"/>
        <w:gridCol w:w="876"/>
        <w:gridCol w:w="904"/>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过程</w:t>
            </w:r>
          </w:p>
        </w:tc>
        <w:tc>
          <w:tcPr>
            <w:tcW w:w="3568" w:type="pct"/>
            <w:gridSpan w:val="12"/>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逐月过程线</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年总量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项目</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6</w:t>
            </w:r>
            <w:r>
              <w:rPr>
                <w:rFonts w:hint="eastAsia" w:ascii="宋体" w:hAnsi="宋体" w:eastAsia="宋体" w:cs="宋体"/>
                <w:i w:val="0"/>
                <w:iCs w:val="0"/>
                <w:color w:val="auto"/>
                <w:kern w:val="0"/>
                <w:sz w:val="18"/>
                <w:szCs w:val="18"/>
                <w:u w:val="none"/>
                <w:lang w:val="en-US" w:eastAsia="zh-CN" w:bidi="ar"/>
              </w:rPr>
              <w:t>月</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7</w:t>
            </w:r>
            <w:r>
              <w:rPr>
                <w:rFonts w:hint="eastAsia" w:ascii="宋体" w:hAnsi="宋体" w:eastAsia="宋体" w:cs="宋体"/>
                <w:i w:val="0"/>
                <w:iCs w:val="0"/>
                <w:color w:val="auto"/>
                <w:kern w:val="0"/>
                <w:sz w:val="18"/>
                <w:szCs w:val="18"/>
                <w:u w:val="none"/>
                <w:lang w:val="en-US" w:eastAsia="zh-CN" w:bidi="ar"/>
              </w:rPr>
              <w:t>月</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w:t>
            </w:r>
            <w:r>
              <w:rPr>
                <w:rFonts w:hint="eastAsia" w:ascii="宋体" w:hAnsi="宋体" w:eastAsia="宋体" w:cs="宋体"/>
                <w:i w:val="0"/>
                <w:iCs w:val="0"/>
                <w:color w:val="auto"/>
                <w:kern w:val="0"/>
                <w:sz w:val="18"/>
                <w:szCs w:val="18"/>
                <w:u w:val="none"/>
                <w:lang w:val="en-US" w:eastAsia="zh-CN" w:bidi="ar"/>
              </w:rPr>
              <w:t>月</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9</w:t>
            </w:r>
            <w:r>
              <w:rPr>
                <w:rFonts w:hint="eastAsia" w:ascii="宋体" w:hAnsi="宋体" w:eastAsia="宋体" w:cs="宋体"/>
                <w:i w:val="0"/>
                <w:iCs w:val="0"/>
                <w:color w:val="auto"/>
                <w:kern w:val="0"/>
                <w:sz w:val="18"/>
                <w:szCs w:val="18"/>
                <w:u w:val="none"/>
                <w:lang w:val="en-US" w:eastAsia="zh-CN" w:bidi="ar"/>
              </w:rPr>
              <w:t>月</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10</w:t>
            </w:r>
            <w:r>
              <w:rPr>
                <w:rFonts w:hint="eastAsia" w:ascii="宋体" w:hAnsi="宋体" w:eastAsia="宋体" w:cs="宋体"/>
                <w:i w:val="0"/>
                <w:iCs w:val="0"/>
                <w:color w:val="auto"/>
                <w:kern w:val="0"/>
                <w:sz w:val="18"/>
                <w:szCs w:val="18"/>
                <w:u w:val="none"/>
                <w:lang w:val="en-US" w:eastAsia="zh-CN" w:bidi="ar"/>
              </w:rPr>
              <w:t>月</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w:t>
            </w:r>
            <w:r>
              <w:rPr>
                <w:rFonts w:hint="eastAsia" w:ascii="宋体" w:hAnsi="宋体" w:eastAsia="宋体" w:cs="宋体"/>
                <w:i w:val="0"/>
                <w:iCs w:val="0"/>
                <w:color w:val="auto"/>
                <w:kern w:val="0"/>
                <w:sz w:val="18"/>
                <w:szCs w:val="18"/>
                <w:u w:val="none"/>
                <w:lang w:val="en-US" w:eastAsia="zh-CN" w:bidi="ar"/>
              </w:rPr>
              <w:t>月</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12</w:t>
            </w:r>
            <w:r>
              <w:rPr>
                <w:rFonts w:hint="eastAsia" w:ascii="宋体" w:hAnsi="宋体" w:eastAsia="宋体" w:cs="宋体"/>
                <w:i w:val="0"/>
                <w:iCs w:val="0"/>
                <w:color w:val="auto"/>
                <w:kern w:val="0"/>
                <w:sz w:val="18"/>
                <w:szCs w:val="18"/>
                <w:u w:val="none"/>
                <w:lang w:val="en-US" w:eastAsia="zh-CN" w:bidi="ar"/>
              </w:rPr>
              <w:t>月</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w:t>
            </w:r>
            <w:r>
              <w:rPr>
                <w:rFonts w:hint="eastAsia" w:ascii="宋体" w:hAnsi="宋体" w:eastAsia="宋体" w:cs="宋体"/>
                <w:i w:val="0"/>
                <w:iCs w:val="0"/>
                <w:color w:val="auto"/>
                <w:kern w:val="0"/>
                <w:sz w:val="18"/>
                <w:szCs w:val="18"/>
                <w:u w:val="none"/>
                <w:lang w:val="en-US" w:eastAsia="zh-CN" w:bidi="ar"/>
              </w:rPr>
              <w:t>月</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w:t>
            </w:r>
            <w:r>
              <w:rPr>
                <w:rFonts w:hint="eastAsia" w:ascii="宋体" w:hAnsi="宋体" w:eastAsia="宋体" w:cs="宋体"/>
                <w:i w:val="0"/>
                <w:iCs w:val="0"/>
                <w:color w:val="auto"/>
                <w:kern w:val="0"/>
                <w:sz w:val="18"/>
                <w:szCs w:val="18"/>
                <w:u w:val="none"/>
                <w:lang w:val="en-US" w:eastAsia="zh-CN" w:bidi="ar"/>
              </w:rPr>
              <w:t>月</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w:t>
            </w:r>
            <w:r>
              <w:rPr>
                <w:rFonts w:hint="eastAsia" w:ascii="宋体" w:hAnsi="宋体" w:eastAsia="宋体" w:cs="宋体"/>
                <w:i w:val="0"/>
                <w:iCs w:val="0"/>
                <w:color w:val="auto"/>
                <w:kern w:val="0"/>
                <w:sz w:val="18"/>
                <w:szCs w:val="18"/>
                <w:u w:val="none"/>
                <w:lang w:val="en-US" w:eastAsia="zh-CN" w:bidi="ar"/>
              </w:rPr>
              <w:t>月</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4</w:t>
            </w:r>
            <w:r>
              <w:rPr>
                <w:rFonts w:hint="eastAsia" w:ascii="宋体" w:hAnsi="宋体" w:eastAsia="宋体" w:cs="宋体"/>
                <w:i w:val="0"/>
                <w:iCs w:val="0"/>
                <w:color w:val="auto"/>
                <w:kern w:val="0"/>
                <w:sz w:val="18"/>
                <w:szCs w:val="18"/>
                <w:u w:val="none"/>
                <w:lang w:val="en-US" w:eastAsia="zh-CN" w:bidi="ar"/>
              </w:rPr>
              <w:t>月</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w:t>
            </w:r>
            <w:r>
              <w:rPr>
                <w:rFonts w:hint="eastAsia" w:ascii="宋体" w:hAnsi="宋体" w:eastAsia="宋体" w:cs="宋体"/>
                <w:i w:val="0"/>
                <w:iCs w:val="0"/>
                <w:color w:val="auto"/>
                <w:kern w:val="0"/>
                <w:sz w:val="18"/>
                <w:szCs w:val="18"/>
                <w:u w:val="none"/>
                <w:lang w:val="en-US" w:eastAsia="zh-CN" w:bidi="ar"/>
              </w:rPr>
              <w:t>月</w:t>
            </w:r>
          </w:p>
        </w:tc>
        <w:tc>
          <w:tcPr>
            <w:tcW w:w="350"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一、可供水量分析</w:t>
            </w: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68"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68"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82"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68"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11"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50"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w:t>
            </w:r>
            <w:r>
              <w:rPr>
                <w:rFonts w:hint="eastAsia" w:ascii="宋体" w:hAnsi="宋体" w:eastAsia="宋体" w:cs="宋体"/>
                <w:i w:val="0"/>
                <w:iCs w:val="0"/>
                <w:color w:val="auto"/>
                <w:kern w:val="0"/>
                <w:sz w:val="18"/>
                <w:szCs w:val="18"/>
                <w:u w:val="none"/>
                <w:lang w:val="en-US" w:eastAsia="zh-CN" w:bidi="ar"/>
              </w:rPr>
              <w:t>、蓄水工程</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5.3</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2.5</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1.6</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1.6</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7.9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7.9</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4.9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16</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13.8</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界牌箐水库（</w:t>
            </w:r>
            <w:r>
              <w:rPr>
                <w:rFonts w:hint="eastAsia" w:ascii="宋体" w:hAnsi="宋体" w:cs="宋体"/>
                <w:i w:val="0"/>
                <w:iCs w:val="0"/>
                <w:color w:val="auto"/>
                <w:kern w:val="0"/>
                <w:sz w:val="18"/>
                <w:szCs w:val="18"/>
                <w:u w:val="none"/>
                <w:lang w:val="en-US" w:eastAsia="zh-CN" w:bidi="ar"/>
              </w:rPr>
              <w:t>界牌箐水库</w:t>
            </w:r>
            <w:r>
              <w:rPr>
                <w:rFonts w:hint="eastAsia" w:ascii="宋体" w:hAnsi="宋体" w:eastAsia="宋体" w:cs="宋体"/>
                <w:i w:val="0"/>
                <w:iCs w:val="0"/>
                <w:color w:val="auto"/>
                <w:kern w:val="0"/>
                <w:sz w:val="18"/>
                <w:szCs w:val="18"/>
                <w:u w:val="none"/>
                <w:lang w:val="en-US" w:eastAsia="zh-CN" w:bidi="ar"/>
              </w:rPr>
              <w:t>）</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水平石水库</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1.2</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0.8</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3.9</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姜中水库</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0.3</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0.6</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1.9</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1.6</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李官坟水库</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0.3</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致富水库</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0.9</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0.9</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0.6</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3.2</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2.5</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15</w:t>
            </w:r>
            <w:r>
              <w:rPr>
                <w:rStyle w:val="118"/>
                <w:color w:val="auto"/>
                <w:sz w:val="18"/>
                <w:szCs w:val="18"/>
                <w:lang w:val="en-US" w:eastAsia="zh-CN" w:bidi="ar"/>
              </w:rPr>
              <w:t>件小坝塘</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2.7</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2.5</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1.2</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5.2</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5.8</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5.7</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5.1</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6.1</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5.6</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w:t>
            </w:r>
            <w:r>
              <w:rPr>
                <w:rFonts w:hint="eastAsia" w:ascii="宋体" w:hAnsi="宋体" w:eastAsia="宋体" w:cs="宋体"/>
                <w:i w:val="0"/>
                <w:iCs w:val="0"/>
                <w:color w:val="auto"/>
                <w:kern w:val="0"/>
                <w:sz w:val="18"/>
                <w:szCs w:val="18"/>
                <w:u w:val="none"/>
                <w:lang w:val="en-US" w:eastAsia="zh-CN" w:bidi="ar"/>
              </w:rPr>
              <w:t>、姜驿乡抗旱应急工程</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w:t>
            </w:r>
            <w:r>
              <w:rPr>
                <w:rFonts w:hint="eastAsia" w:ascii="宋体" w:hAnsi="宋体" w:eastAsia="宋体" w:cs="宋体"/>
                <w:i w:val="0"/>
                <w:iCs w:val="0"/>
                <w:color w:val="auto"/>
                <w:kern w:val="0"/>
                <w:sz w:val="18"/>
                <w:szCs w:val="18"/>
                <w:u w:val="none"/>
                <w:lang w:val="en-US" w:eastAsia="zh-CN" w:bidi="ar"/>
              </w:rPr>
              <w:t>、集雨工程</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0.3</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eastAsia="宋体" w:cs="宋体"/>
                <w:b/>
                <w:bCs/>
                <w:i w:val="0"/>
                <w:iCs w:val="0"/>
                <w:color w:val="auto"/>
                <w:kern w:val="0"/>
                <w:sz w:val="18"/>
                <w:szCs w:val="18"/>
                <w:u w:val="none"/>
                <w:lang w:val="en-US" w:eastAsia="zh-CN" w:bidi="ar"/>
              </w:rPr>
              <w:t>总可供水量</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8.8</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8.7</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5.8</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4.9</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4.9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11.3</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12.3</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11.8</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11.3</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8.3</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19.6</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17.3</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lang w:val="en-US"/>
              </w:rPr>
            </w:pPr>
            <w:r>
              <w:rPr>
                <w:rFonts w:hint="default" w:ascii="Times New Roman" w:hAnsi="Times New Roman" w:eastAsia="宋体" w:cs="Times New Roman"/>
                <w:b/>
                <w:bCs/>
                <w:i w:val="0"/>
                <w:iCs w:val="0"/>
                <w:color w:val="auto"/>
                <w:kern w:val="0"/>
                <w:sz w:val="18"/>
                <w:szCs w:val="18"/>
                <w:u w:val="none"/>
                <w:lang w:val="en-US" w:eastAsia="zh-CN" w:bidi="ar"/>
              </w:rPr>
              <w:t>12</w:t>
            </w:r>
            <w:r>
              <w:rPr>
                <w:rFonts w:hint="eastAsia" w:ascii="Times New Roman" w:hAnsi="Times New Roman" w:eastAsia="宋体" w:cs="Times New Roman"/>
                <w:b/>
                <w:bCs/>
                <w:i w:val="0"/>
                <w:iCs w:val="0"/>
                <w:color w:val="auto"/>
                <w:kern w:val="0"/>
                <w:sz w:val="18"/>
                <w:szCs w:val="18"/>
                <w:u w:val="none"/>
                <w:lang w:val="en-US" w:eastAsia="zh-CN" w:bidi="ar"/>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其中：集镇生活供水</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农村生活供水</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农业灌溉供水</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5.6</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2.7</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1.2</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1.2</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5.2</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5.8</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5.5</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3.8</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19.1</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15.3</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lang w:val="en-US"/>
              </w:rPr>
            </w:pPr>
            <w:r>
              <w:rPr>
                <w:rFonts w:hint="eastAsia" w:ascii="Times New Roman" w:hAnsi="Times New Roman" w:eastAsia="宋体" w:cs="Times New Roman"/>
                <w:i w:val="0"/>
                <w:iCs w:val="0"/>
                <w:color w:val="auto"/>
                <w:kern w:val="0"/>
                <w:sz w:val="18"/>
                <w:szCs w:val="18"/>
                <w:u w:val="none"/>
                <w:lang w:val="en-US" w:eastAsia="zh-CN" w:bidi="ar"/>
              </w:rPr>
              <w:t>85.4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二、需水量分析</w:t>
            </w: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68"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68"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82"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68"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11"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50"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w:t>
            </w:r>
            <w:r>
              <w:rPr>
                <w:rFonts w:hint="eastAsia" w:ascii="宋体" w:hAnsi="宋体" w:eastAsia="宋体" w:cs="宋体"/>
                <w:i w:val="0"/>
                <w:iCs w:val="0"/>
                <w:color w:val="auto"/>
                <w:kern w:val="0"/>
                <w:sz w:val="18"/>
                <w:szCs w:val="18"/>
                <w:u w:val="none"/>
                <w:lang w:val="en-US" w:eastAsia="zh-CN" w:bidi="ar"/>
              </w:rPr>
              <w:t>、集镇生活需水</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0.4</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w:t>
            </w:r>
            <w:r>
              <w:rPr>
                <w:rFonts w:hint="eastAsia" w:ascii="宋体" w:hAnsi="宋体" w:eastAsia="宋体" w:cs="宋体"/>
                <w:i w:val="0"/>
                <w:iCs w:val="0"/>
                <w:color w:val="auto"/>
                <w:kern w:val="0"/>
                <w:sz w:val="18"/>
                <w:szCs w:val="18"/>
                <w:u w:val="none"/>
                <w:lang w:val="en-US" w:eastAsia="zh-CN" w:bidi="ar"/>
              </w:rPr>
              <w:t>、农村生活需水</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w:t>
            </w:r>
            <w:r>
              <w:rPr>
                <w:rFonts w:hint="eastAsia" w:ascii="宋体" w:hAnsi="宋体" w:eastAsia="宋体" w:cs="宋体"/>
                <w:i w:val="0"/>
                <w:iCs w:val="0"/>
                <w:color w:val="auto"/>
                <w:kern w:val="0"/>
                <w:sz w:val="18"/>
                <w:szCs w:val="18"/>
                <w:u w:val="none"/>
                <w:lang w:val="en-US" w:eastAsia="zh-CN" w:bidi="ar"/>
              </w:rPr>
              <w:t>、农业需水</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139.2</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142.7</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68.3</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30.6</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30.6</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134.5</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148</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139.4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140.5</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96.6</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491</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393.3</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1954.7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eastAsia="宋体" w:cs="宋体"/>
                <w:b/>
                <w:bCs/>
                <w:i w:val="0"/>
                <w:iCs w:val="0"/>
                <w:color w:val="auto"/>
                <w:kern w:val="0"/>
                <w:sz w:val="18"/>
                <w:szCs w:val="18"/>
                <w:u w:val="none"/>
                <w:lang w:val="en-US" w:eastAsia="zh-CN" w:bidi="ar"/>
              </w:rPr>
              <w:t>总需水量</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142.4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145.9</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71.5</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33.9</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33.9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137.8</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151.2</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142.7</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143.7</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99.9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494.3</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396.5</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1993.8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三、水量供需平衡</w:t>
            </w: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68"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68"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82"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68"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9"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11"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50" w:type="pct"/>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eastAsia="宋体" w:cs="宋体"/>
                <w:b/>
                <w:bCs/>
                <w:i w:val="0"/>
                <w:iCs w:val="0"/>
                <w:color w:val="auto"/>
                <w:kern w:val="0"/>
                <w:sz w:val="18"/>
                <w:szCs w:val="18"/>
                <w:u w:val="none"/>
                <w:lang w:val="en-US" w:eastAsia="zh-CN" w:bidi="ar"/>
              </w:rPr>
              <w:t>水量盈亏</w:t>
            </w:r>
            <w:r>
              <w:rPr>
                <w:rFonts w:hint="default" w:ascii="Times New Roman" w:hAnsi="Times New Roman" w:eastAsia="宋体" w:cs="Times New Roman"/>
                <w:b/>
                <w:bCs/>
                <w:i w:val="0"/>
                <w:iCs w:val="0"/>
                <w:color w:val="auto"/>
                <w:kern w:val="0"/>
                <w:sz w:val="18"/>
                <w:szCs w:val="18"/>
                <w:u w:val="none"/>
                <w:lang w:val="en-US" w:eastAsia="zh-CN" w:bidi="ar"/>
              </w:rPr>
              <w:t>(</w:t>
            </w:r>
            <w:r>
              <w:rPr>
                <w:rFonts w:hint="eastAsia" w:ascii="宋体" w:hAnsi="宋体" w:eastAsia="宋体" w:cs="宋体"/>
                <w:b/>
                <w:bCs/>
                <w:i w:val="0"/>
                <w:iCs w:val="0"/>
                <w:color w:val="auto"/>
                <w:kern w:val="0"/>
                <w:sz w:val="18"/>
                <w:szCs w:val="18"/>
                <w:u w:val="none"/>
                <w:lang w:val="en-US" w:eastAsia="zh-CN" w:bidi="ar"/>
              </w:rPr>
              <w:t>供水量</w:t>
            </w:r>
            <w:r>
              <w:rPr>
                <w:rFonts w:hint="default" w:ascii="Times New Roman" w:hAnsi="Times New Roman" w:eastAsia="宋体" w:cs="Times New Roman"/>
                <w:b/>
                <w:bCs/>
                <w:i w:val="0"/>
                <w:iCs w:val="0"/>
                <w:color w:val="auto"/>
                <w:kern w:val="0"/>
                <w:sz w:val="18"/>
                <w:szCs w:val="18"/>
                <w:u w:val="none"/>
                <w:lang w:val="en-US" w:eastAsia="zh-CN" w:bidi="ar"/>
              </w:rPr>
              <w:t>-</w:t>
            </w:r>
            <w:r>
              <w:rPr>
                <w:rFonts w:hint="eastAsia" w:ascii="宋体" w:hAnsi="宋体" w:eastAsia="宋体" w:cs="宋体"/>
                <w:b/>
                <w:bCs/>
                <w:i w:val="0"/>
                <w:iCs w:val="0"/>
                <w:color w:val="auto"/>
                <w:kern w:val="0"/>
                <w:sz w:val="18"/>
                <w:szCs w:val="18"/>
                <w:u w:val="none"/>
                <w:lang w:val="en-US" w:eastAsia="zh-CN" w:bidi="ar"/>
              </w:rPr>
              <w:t>需水量</w:t>
            </w:r>
            <w:r>
              <w:rPr>
                <w:rFonts w:hint="default" w:ascii="Times New Roman" w:hAnsi="Times New Roman" w:eastAsia="宋体" w:cs="Times New Roman"/>
                <w:b/>
                <w:bCs/>
                <w:i w:val="0"/>
                <w:iCs w:val="0"/>
                <w:color w:val="auto"/>
                <w:kern w:val="0"/>
                <w:sz w:val="18"/>
                <w:szCs w:val="18"/>
                <w:u w:val="none"/>
                <w:lang w:val="en-US" w:eastAsia="zh-CN" w:bidi="ar"/>
              </w:rPr>
              <w:t>)</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-133.6</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-137.2</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-65.7</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-29</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-29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-126.5</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-138.9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-130.9</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-132.4</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-91.6</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-474.7</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-379.2</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-186</w:t>
            </w:r>
            <w:r>
              <w:rPr>
                <w:rFonts w:hint="eastAsia" w:ascii="Times New Roman" w:hAnsi="Times New Roman" w:eastAsia="宋体" w:cs="Times New Roman"/>
                <w:b/>
                <w:bCs/>
                <w:i w:val="0"/>
                <w:iCs w:val="0"/>
                <w:color w:val="auto"/>
                <w:kern w:val="0"/>
                <w:sz w:val="18"/>
                <w:szCs w:val="18"/>
                <w:u w:val="none"/>
                <w:lang w:val="en-US" w:eastAsia="zh-CN" w:bidi="ar"/>
              </w:rPr>
              <w:t>9</w:t>
            </w:r>
            <w:r>
              <w:rPr>
                <w:rFonts w:hint="default" w:ascii="Times New Roman" w:hAnsi="Times New Roman" w:eastAsia="宋体" w:cs="Times New Roman"/>
                <w:b/>
                <w:bCs/>
                <w:i w:val="0"/>
                <w:iCs w:val="0"/>
                <w:color w:val="auto"/>
                <w:kern w:val="0"/>
                <w:sz w:val="18"/>
                <w:szCs w:val="18"/>
                <w:u w:val="none"/>
                <w:lang w:val="en-US" w:eastAsia="zh-CN" w:bidi="ar"/>
              </w:rPr>
              <w:t>.</w:t>
            </w:r>
            <w:r>
              <w:rPr>
                <w:rFonts w:hint="eastAsia" w:ascii="Times New Roman" w:hAnsi="Times New Roman" w:eastAsia="宋体" w:cs="Times New Roman"/>
                <w:b/>
                <w:bCs/>
                <w:i w:val="0"/>
                <w:iCs w:val="0"/>
                <w:color w:val="auto"/>
                <w:kern w:val="0"/>
                <w:sz w:val="18"/>
                <w:szCs w:val="18"/>
                <w:u w:val="none"/>
                <w:lang w:val="en-US" w:eastAsia="zh-CN"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w:t>
            </w:r>
            <w:r>
              <w:rPr>
                <w:rFonts w:hint="eastAsia" w:ascii="宋体" w:hAnsi="宋体" w:eastAsia="宋体" w:cs="宋体"/>
                <w:i w:val="0"/>
                <w:iCs w:val="0"/>
                <w:color w:val="auto"/>
                <w:kern w:val="0"/>
                <w:sz w:val="18"/>
                <w:szCs w:val="18"/>
                <w:u w:val="none"/>
                <w:lang w:val="en-US" w:eastAsia="zh-CN" w:bidi="ar"/>
              </w:rPr>
              <w:t>、集镇生活缺水量</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w:t>
            </w:r>
            <w:r>
              <w:rPr>
                <w:rFonts w:hint="eastAsia" w:ascii="宋体" w:hAnsi="宋体" w:eastAsia="宋体" w:cs="宋体"/>
                <w:i w:val="0"/>
                <w:iCs w:val="0"/>
                <w:color w:val="auto"/>
                <w:kern w:val="0"/>
                <w:sz w:val="18"/>
                <w:szCs w:val="18"/>
                <w:u w:val="none"/>
                <w:lang w:val="en-US" w:eastAsia="zh-CN" w:bidi="ar"/>
              </w:rPr>
              <w:t>、农村生活缺水量</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bdr w:val="single" w:color="000000" w:sz="8" w:space="0"/>
                <w:lang w:val="en-US" w:eastAsia="zh-CN" w:bidi="ar"/>
              </w:rPr>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57150" cy="181610"/>
                  <wp:effectExtent l="0" t="0" r="0" b="0"/>
                  <wp:wrapNone/>
                  <wp:docPr id="19" name="图片_8"/>
                  <wp:cNvGraphicFramePr/>
                  <a:graphic xmlns:a="http://schemas.openxmlformats.org/drawingml/2006/main">
                    <a:graphicData uri="http://schemas.openxmlformats.org/drawingml/2006/picture">
                      <pic:pic xmlns:pic="http://schemas.openxmlformats.org/drawingml/2006/picture">
                        <pic:nvPicPr>
                          <pic:cNvPr id="19" name="图片_8"/>
                          <pic:cNvPicPr/>
                        </pic:nvPicPr>
                        <pic:blipFill>
                          <a:blip r:embed="rId42"/>
                          <a:stretch>
                            <a:fillRect/>
                          </a:stretch>
                        </pic:blipFill>
                        <pic:spPr>
                          <a:xfrm>
                            <a:off x="0" y="0"/>
                            <a:ext cx="57150" cy="181610"/>
                          </a:xfrm>
                          <a:prstGeom prst="rect">
                            <a:avLst/>
                          </a:prstGeom>
                          <a:noFill/>
                          <a:ln>
                            <a:noFill/>
                          </a:ln>
                        </pic:spPr>
                      </pic:pic>
                    </a:graphicData>
                  </a:graphic>
                </wp:anchor>
              </w:drawing>
            </w:r>
            <w:r>
              <w:rPr>
                <w:rFonts w:hint="default" w:ascii="Times New Roman" w:hAnsi="Times New Roman" w:eastAsia="宋体" w:cs="Times New Roman"/>
                <w:i w:val="0"/>
                <w:iCs w:val="0"/>
                <w:color w:val="auto"/>
                <w:kern w:val="0"/>
                <w:sz w:val="18"/>
                <w:szCs w:val="18"/>
                <w:u w:val="none"/>
                <w:bdr w:val="single" w:color="000000" w:sz="8" w:space="0"/>
                <w:lang w:val="en-US" w:eastAsia="zh-CN" w:bidi="ar"/>
              </w:rPr>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29210" cy="10160"/>
                  <wp:effectExtent l="0" t="0" r="0" b="0"/>
                  <wp:wrapNone/>
                  <wp:docPr id="20" name="图片_9"/>
                  <wp:cNvGraphicFramePr/>
                  <a:graphic xmlns:a="http://schemas.openxmlformats.org/drawingml/2006/main">
                    <a:graphicData uri="http://schemas.openxmlformats.org/drawingml/2006/picture">
                      <pic:pic xmlns:pic="http://schemas.openxmlformats.org/drawingml/2006/picture">
                        <pic:nvPicPr>
                          <pic:cNvPr id="20" name="图片_9"/>
                          <pic:cNvPicPr/>
                        </pic:nvPicPr>
                        <pic:blipFill>
                          <a:blip r:embed="rId43"/>
                          <a:stretch>
                            <a:fillRect/>
                          </a:stretch>
                        </pic:blipFill>
                        <pic:spPr>
                          <a:xfrm>
                            <a:off x="0" y="0"/>
                            <a:ext cx="29210" cy="10160"/>
                          </a:xfrm>
                          <a:prstGeom prst="rect">
                            <a:avLst/>
                          </a:prstGeom>
                          <a:noFill/>
                          <a:ln>
                            <a:noFill/>
                          </a:ln>
                        </pic:spPr>
                      </pic:pic>
                    </a:graphicData>
                  </a:graphic>
                </wp:anchor>
              </w:drawing>
            </w:r>
            <w:r>
              <w:rPr>
                <w:rFonts w:hint="default" w:ascii="Times New Roman" w:hAnsi="Times New Roman" w:eastAsia="宋体" w:cs="Times New Roman"/>
                <w:i w:val="0"/>
                <w:iCs w:val="0"/>
                <w:color w:val="auto"/>
                <w:kern w:val="0"/>
                <w:sz w:val="18"/>
                <w:szCs w:val="18"/>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w:t>
            </w:r>
            <w:r>
              <w:rPr>
                <w:rFonts w:hint="eastAsia" w:ascii="宋体" w:hAnsi="宋体" w:eastAsia="宋体" w:cs="宋体"/>
                <w:i w:val="0"/>
                <w:iCs w:val="0"/>
                <w:color w:val="auto"/>
                <w:kern w:val="0"/>
                <w:sz w:val="18"/>
                <w:szCs w:val="18"/>
                <w:u w:val="none"/>
                <w:lang w:val="en-US" w:eastAsia="zh-CN" w:bidi="ar"/>
              </w:rPr>
              <w:t>、农灌缺水量</w:t>
            </w:r>
          </w:p>
        </w:tc>
        <w:tc>
          <w:tcPr>
            <w:tcW w:w="8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-133.6</w:t>
            </w:r>
          </w:p>
        </w:tc>
        <w:tc>
          <w:tcPr>
            <w:tcW w:w="8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-137.2</w:t>
            </w:r>
          </w:p>
        </w:tc>
        <w:tc>
          <w:tcPr>
            <w:tcW w:w="76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-65.7</w:t>
            </w:r>
          </w:p>
        </w:tc>
        <w:tc>
          <w:tcPr>
            <w:tcW w:w="76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-29</w:t>
            </w:r>
          </w:p>
        </w:tc>
        <w:tc>
          <w:tcPr>
            <w:tcW w:w="79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-29</w:t>
            </w:r>
          </w:p>
        </w:tc>
        <w:tc>
          <w:tcPr>
            <w:tcW w:w="8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-126.5</w:t>
            </w:r>
          </w:p>
        </w:tc>
        <w:tc>
          <w:tcPr>
            <w:tcW w:w="8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-138.9</w:t>
            </w:r>
          </w:p>
        </w:tc>
        <w:tc>
          <w:tcPr>
            <w:tcW w:w="8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-130.9</w:t>
            </w:r>
          </w:p>
        </w:tc>
        <w:tc>
          <w:tcPr>
            <w:tcW w:w="8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-132.4</w:t>
            </w:r>
          </w:p>
        </w:tc>
        <w:tc>
          <w:tcPr>
            <w:tcW w:w="76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-91.6</w:t>
            </w:r>
          </w:p>
        </w:tc>
        <w:tc>
          <w:tcPr>
            <w:tcW w:w="87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-474.7</w:t>
            </w:r>
          </w:p>
        </w:tc>
        <w:tc>
          <w:tcPr>
            <w:tcW w:w="90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-379.2</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val="0"/>
                <w:bCs w:val="0"/>
                <w:i w:val="0"/>
                <w:iCs w:val="0"/>
                <w:color w:val="auto"/>
                <w:sz w:val="18"/>
                <w:szCs w:val="18"/>
                <w:u w:val="none"/>
              </w:rPr>
            </w:pPr>
            <w:r>
              <w:rPr>
                <w:rFonts w:hint="default" w:ascii="Times New Roman" w:hAnsi="Times New Roman" w:eastAsia="宋体" w:cs="Times New Roman"/>
                <w:b w:val="0"/>
                <w:bCs w:val="0"/>
                <w:i w:val="0"/>
                <w:iCs w:val="0"/>
                <w:color w:val="auto"/>
                <w:kern w:val="0"/>
                <w:sz w:val="18"/>
                <w:szCs w:val="18"/>
                <w:u w:val="none"/>
                <w:lang w:val="en-US" w:eastAsia="zh-CN" w:bidi="ar"/>
              </w:rPr>
              <w:t>-186</w:t>
            </w:r>
            <w:r>
              <w:rPr>
                <w:rFonts w:hint="eastAsia" w:ascii="Times New Roman" w:hAnsi="Times New Roman" w:eastAsia="宋体" w:cs="Times New Roman"/>
                <w:b w:val="0"/>
                <w:bCs w:val="0"/>
                <w:i w:val="0"/>
                <w:iCs w:val="0"/>
                <w:color w:val="auto"/>
                <w:kern w:val="0"/>
                <w:sz w:val="18"/>
                <w:szCs w:val="18"/>
                <w:u w:val="none"/>
                <w:lang w:val="en-US" w:eastAsia="zh-CN" w:bidi="ar"/>
              </w:rPr>
              <w:t>9</w:t>
            </w:r>
            <w:r>
              <w:rPr>
                <w:rFonts w:hint="default" w:ascii="Times New Roman" w:hAnsi="Times New Roman" w:eastAsia="宋体" w:cs="Times New Roman"/>
                <w:b w:val="0"/>
                <w:bCs w:val="0"/>
                <w:i w:val="0"/>
                <w:iCs w:val="0"/>
                <w:color w:val="auto"/>
                <w:kern w:val="0"/>
                <w:sz w:val="18"/>
                <w:szCs w:val="18"/>
                <w:u w:val="none"/>
                <w:lang w:val="en-US" w:eastAsia="zh-CN" w:bidi="ar"/>
              </w:rPr>
              <w:t>.</w:t>
            </w:r>
            <w:r>
              <w:rPr>
                <w:rFonts w:hint="eastAsia" w:ascii="Times New Roman" w:hAnsi="Times New Roman" w:eastAsia="宋体" w:cs="Times New Roman"/>
                <w:b w:val="0"/>
                <w:bCs w:val="0"/>
                <w:i w:val="0"/>
                <w:iCs w:val="0"/>
                <w:color w:val="auto"/>
                <w:kern w:val="0"/>
                <w:sz w:val="18"/>
                <w:szCs w:val="18"/>
                <w:u w:val="none"/>
                <w:lang w:val="en-US" w:eastAsia="zh-CN"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缺灌面积</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3.35</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3.35</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3.35</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3.35</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3.35</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3.35</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3.35</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3.35</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3.35</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3.35</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3.35</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3.35</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0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保灌面积</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0.14</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0.14</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0.14</w:t>
            </w:r>
          </w:p>
        </w:tc>
        <w:tc>
          <w:tcPr>
            <w:tcW w:w="2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0.14</w:t>
            </w:r>
          </w:p>
        </w:tc>
        <w:tc>
          <w:tcPr>
            <w:tcW w:w="26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0.14</w:t>
            </w:r>
          </w:p>
        </w:tc>
        <w:tc>
          <w:tcPr>
            <w:tcW w:w="30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0.14</w:t>
            </w:r>
          </w:p>
        </w:tc>
        <w:tc>
          <w:tcPr>
            <w:tcW w:w="31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0.14</w:t>
            </w:r>
          </w:p>
        </w:tc>
        <w:tc>
          <w:tcPr>
            <w:tcW w:w="35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0.14</w:t>
            </w:r>
          </w:p>
        </w:tc>
      </w:tr>
    </w:tbl>
    <w:p>
      <w:pPr>
        <w:pStyle w:val="40"/>
        <w:bidi w:val="0"/>
        <w:rPr>
          <w:color w:val="auto"/>
          <w:highlight w:val="none"/>
        </w:rPr>
      </w:pPr>
    </w:p>
    <w:p>
      <w:pPr>
        <w:pStyle w:val="40"/>
        <w:bidi w:val="0"/>
        <w:rPr>
          <w:color w:val="auto"/>
          <w:highlight w:val="none"/>
        </w:rPr>
      </w:pPr>
    </w:p>
    <w:p>
      <w:pPr>
        <w:pStyle w:val="40"/>
        <w:bidi w:val="0"/>
        <w:rPr>
          <w:color w:val="auto"/>
          <w:highlight w:val="none"/>
        </w:rPr>
      </w:pPr>
    </w:p>
    <w:p>
      <w:pPr>
        <w:pStyle w:val="40"/>
        <w:bidi w:val="0"/>
        <w:rPr>
          <w:color w:val="auto"/>
          <w:highlight w:val="none"/>
        </w:rPr>
      </w:pPr>
    </w:p>
    <w:p>
      <w:pPr>
        <w:pStyle w:val="40"/>
        <w:bidi w:val="0"/>
        <w:rPr>
          <w:rFonts w:hint="default" w:eastAsia="宋体"/>
          <w:color w:val="auto"/>
          <w:highlight w:val="none"/>
          <w:lang w:val="en-US" w:eastAsia="zh-CN"/>
        </w:rPr>
      </w:pPr>
      <w:r>
        <w:rPr>
          <w:color w:val="auto"/>
          <w:highlight w:val="none"/>
        </w:rPr>
        <w:t>表</w:t>
      </w:r>
      <w:r>
        <w:rPr>
          <w:rFonts w:hint="eastAsia"/>
          <w:color w:val="auto"/>
          <w:highlight w:val="none"/>
          <w:lang w:val="en-US" w:eastAsia="zh-CN"/>
        </w:rPr>
        <w:t>2.2.2-</w:t>
      </w:r>
      <w:r>
        <w:rPr>
          <w:color w:val="auto"/>
          <w:highlight w:val="none"/>
        </w:rPr>
        <w:t>2  姜驿中型灌区西片区规划年水资源供需平衡分析表</w:t>
      </w:r>
      <w:r>
        <w:rPr>
          <w:rFonts w:hint="eastAsia"/>
          <w:color w:val="auto"/>
          <w:highlight w:val="none"/>
          <w:lang w:val="en-US" w:eastAsia="zh-CN"/>
        </w:rPr>
        <w:t xml:space="preserve">   单位:万m³</w:t>
      </w:r>
    </w:p>
    <w:tbl>
      <w:tblPr>
        <w:tblStyle w:val="29"/>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423"/>
        <w:gridCol w:w="728"/>
        <w:gridCol w:w="728"/>
        <w:gridCol w:w="729"/>
        <w:gridCol w:w="729"/>
        <w:gridCol w:w="862"/>
        <w:gridCol w:w="862"/>
        <w:gridCol w:w="862"/>
        <w:gridCol w:w="862"/>
        <w:gridCol w:w="862"/>
        <w:gridCol w:w="729"/>
        <w:gridCol w:w="862"/>
        <w:gridCol w:w="876"/>
        <w:gridCol w:w="105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过程</w:t>
            </w:r>
          </w:p>
        </w:tc>
        <w:tc>
          <w:tcPr>
            <w:tcW w:w="3418" w:type="pct"/>
            <w:gridSpan w:val="12"/>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逐月过程线</w:t>
            </w:r>
          </w:p>
        </w:tc>
        <w:tc>
          <w:tcPr>
            <w:tcW w:w="373"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年总量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项目</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6</w:t>
            </w:r>
            <w:r>
              <w:rPr>
                <w:rFonts w:hint="eastAsia" w:ascii="宋体" w:hAnsi="宋体" w:eastAsia="宋体" w:cs="宋体"/>
                <w:i w:val="0"/>
                <w:iCs w:val="0"/>
                <w:color w:val="auto"/>
                <w:kern w:val="0"/>
                <w:sz w:val="18"/>
                <w:szCs w:val="18"/>
                <w:u w:val="none"/>
                <w:lang w:val="en-US" w:eastAsia="zh-CN" w:bidi="ar"/>
              </w:rPr>
              <w:t>月</w:t>
            </w:r>
          </w:p>
        </w:tc>
        <w:tc>
          <w:tcPr>
            <w:tcW w:w="257"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7</w:t>
            </w:r>
            <w:r>
              <w:rPr>
                <w:rFonts w:hint="eastAsia" w:ascii="宋体" w:hAnsi="宋体" w:eastAsia="宋体" w:cs="宋体"/>
                <w:i w:val="0"/>
                <w:iCs w:val="0"/>
                <w:color w:val="auto"/>
                <w:kern w:val="0"/>
                <w:sz w:val="18"/>
                <w:szCs w:val="18"/>
                <w:u w:val="none"/>
                <w:lang w:val="en-US" w:eastAsia="zh-CN" w:bidi="ar"/>
              </w:rPr>
              <w:t>月</w:t>
            </w:r>
          </w:p>
        </w:tc>
        <w:tc>
          <w:tcPr>
            <w:tcW w:w="257"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w:t>
            </w:r>
            <w:r>
              <w:rPr>
                <w:rFonts w:hint="eastAsia" w:ascii="宋体" w:hAnsi="宋体" w:eastAsia="宋体" w:cs="宋体"/>
                <w:i w:val="0"/>
                <w:iCs w:val="0"/>
                <w:color w:val="auto"/>
                <w:kern w:val="0"/>
                <w:sz w:val="18"/>
                <w:szCs w:val="18"/>
                <w:u w:val="none"/>
                <w:lang w:val="en-US" w:eastAsia="zh-CN" w:bidi="ar"/>
              </w:rPr>
              <w:t>月</w:t>
            </w:r>
          </w:p>
        </w:tc>
        <w:tc>
          <w:tcPr>
            <w:tcW w:w="257"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9</w:t>
            </w:r>
            <w:r>
              <w:rPr>
                <w:rFonts w:hint="eastAsia" w:ascii="宋体" w:hAnsi="宋体" w:eastAsia="宋体" w:cs="宋体"/>
                <w:i w:val="0"/>
                <w:iCs w:val="0"/>
                <w:color w:val="auto"/>
                <w:kern w:val="0"/>
                <w:sz w:val="18"/>
                <w:szCs w:val="18"/>
                <w:u w:val="none"/>
                <w:lang w:val="en-US" w:eastAsia="zh-CN" w:bidi="ar"/>
              </w:rPr>
              <w:t>月</w:t>
            </w:r>
          </w:p>
        </w:tc>
        <w:tc>
          <w:tcPr>
            <w:tcW w:w="304"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10</w:t>
            </w:r>
            <w:r>
              <w:rPr>
                <w:rFonts w:hint="eastAsia" w:ascii="宋体" w:hAnsi="宋体" w:eastAsia="宋体" w:cs="宋体"/>
                <w:i w:val="0"/>
                <w:iCs w:val="0"/>
                <w:color w:val="auto"/>
                <w:kern w:val="0"/>
                <w:sz w:val="18"/>
                <w:szCs w:val="18"/>
                <w:u w:val="none"/>
                <w:lang w:val="en-US" w:eastAsia="zh-CN" w:bidi="ar"/>
              </w:rPr>
              <w:t>月</w:t>
            </w:r>
          </w:p>
        </w:tc>
        <w:tc>
          <w:tcPr>
            <w:tcW w:w="304"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w:t>
            </w:r>
            <w:r>
              <w:rPr>
                <w:rFonts w:hint="eastAsia" w:ascii="宋体" w:hAnsi="宋体" w:eastAsia="宋体" w:cs="宋体"/>
                <w:i w:val="0"/>
                <w:iCs w:val="0"/>
                <w:color w:val="auto"/>
                <w:kern w:val="0"/>
                <w:sz w:val="18"/>
                <w:szCs w:val="18"/>
                <w:u w:val="none"/>
                <w:lang w:val="en-US" w:eastAsia="zh-CN" w:bidi="ar"/>
              </w:rPr>
              <w:t>月</w:t>
            </w:r>
          </w:p>
        </w:tc>
        <w:tc>
          <w:tcPr>
            <w:tcW w:w="304"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12</w:t>
            </w:r>
            <w:r>
              <w:rPr>
                <w:rFonts w:hint="eastAsia" w:ascii="宋体" w:hAnsi="宋体" w:eastAsia="宋体" w:cs="宋体"/>
                <w:i w:val="0"/>
                <w:iCs w:val="0"/>
                <w:color w:val="auto"/>
                <w:kern w:val="0"/>
                <w:sz w:val="18"/>
                <w:szCs w:val="18"/>
                <w:u w:val="none"/>
                <w:lang w:val="en-US" w:eastAsia="zh-CN" w:bidi="ar"/>
              </w:rPr>
              <w:t>月</w:t>
            </w:r>
          </w:p>
        </w:tc>
        <w:tc>
          <w:tcPr>
            <w:tcW w:w="304"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w:t>
            </w:r>
            <w:r>
              <w:rPr>
                <w:rFonts w:hint="eastAsia" w:ascii="宋体" w:hAnsi="宋体" w:eastAsia="宋体" w:cs="宋体"/>
                <w:i w:val="0"/>
                <w:iCs w:val="0"/>
                <w:color w:val="auto"/>
                <w:kern w:val="0"/>
                <w:sz w:val="18"/>
                <w:szCs w:val="18"/>
                <w:u w:val="none"/>
                <w:lang w:val="en-US" w:eastAsia="zh-CN" w:bidi="ar"/>
              </w:rPr>
              <w:t>月</w:t>
            </w:r>
          </w:p>
        </w:tc>
        <w:tc>
          <w:tcPr>
            <w:tcW w:w="304"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w:t>
            </w:r>
            <w:r>
              <w:rPr>
                <w:rFonts w:hint="eastAsia" w:ascii="宋体" w:hAnsi="宋体" w:eastAsia="宋体" w:cs="宋体"/>
                <w:i w:val="0"/>
                <w:iCs w:val="0"/>
                <w:color w:val="auto"/>
                <w:kern w:val="0"/>
                <w:sz w:val="18"/>
                <w:szCs w:val="18"/>
                <w:u w:val="none"/>
                <w:lang w:val="en-US" w:eastAsia="zh-CN" w:bidi="ar"/>
              </w:rPr>
              <w:t>月</w:t>
            </w:r>
          </w:p>
        </w:tc>
        <w:tc>
          <w:tcPr>
            <w:tcW w:w="257"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w:t>
            </w:r>
            <w:r>
              <w:rPr>
                <w:rFonts w:hint="eastAsia" w:ascii="宋体" w:hAnsi="宋体" w:eastAsia="宋体" w:cs="宋体"/>
                <w:i w:val="0"/>
                <w:iCs w:val="0"/>
                <w:color w:val="auto"/>
                <w:kern w:val="0"/>
                <w:sz w:val="18"/>
                <w:szCs w:val="18"/>
                <w:u w:val="none"/>
                <w:lang w:val="en-US" w:eastAsia="zh-CN" w:bidi="ar"/>
              </w:rPr>
              <w:t>月</w:t>
            </w:r>
          </w:p>
        </w:tc>
        <w:tc>
          <w:tcPr>
            <w:tcW w:w="304"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4</w:t>
            </w:r>
            <w:r>
              <w:rPr>
                <w:rFonts w:hint="eastAsia" w:ascii="宋体" w:hAnsi="宋体" w:eastAsia="宋体" w:cs="宋体"/>
                <w:i w:val="0"/>
                <w:iCs w:val="0"/>
                <w:color w:val="auto"/>
                <w:kern w:val="0"/>
                <w:sz w:val="18"/>
                <w:szCs w:val="18"/>
                <w:u w:val="none"/>
                <w:lang w:val="en-US" w:eastAsia="zh-CN" w:bidi="ar"/>
              </w:rPr>
              <w:t>月</w:t>
            </w:r>
          </w:p>
        </w:tc>
        <w:tc>
          <w:tcPr>
            <w:tcW w:w="306"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w:t>
            </w:r>
            <w:r>
              <w:rPr>
                <w:rFonts w:hint="eastAsia" w:ascii="宋体" w:hAnsi="宋体" w:eastAsia="宋体" w:cs="宋体"/>
                <w:i w:val="0"/>
                <w:iCs w:val="0"/>
                <w:color w:val="auto"/>
                <w:kern w:val="0"/>
                <w:sz w:val="18"/>
                <w:szCs w:val="18"/>
                <w:u w:val="none"/>
                <w:lang w:val="en-US" w:eastAsia="zh-CN" w:bidi="ar"/>
              </w:rPr>
              <w:t>月</w:t>
            </w:r>
          </w:p>
        </w:tc>
        <w:tc>
          <w:tcPr>
            <w:tcW w:w="373"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一、可供水量分析</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w:t>
            </w:r>
            <w:r>
              <w:rPr>
                <w:rFonts w:hint="eastAsia" w:ascii="宋体" w:hAnsi="宋体" w:eastAsia="宋体" w:cs="宋体"/>
                <w:i w:val="0"/>
                <w:iCs w:val="0"/>
                <w:color w:val="auto"/>
                <w:kern w:val="0"/>
                <w:sz w:val="18"/>
                <w:szCs w:val="18"/>
                <w:u w:val="none"/>
                <w:lang w:val="en-US" w:eastAsia="zh-CN" w:bidi="ar"/>
              </w:rPr>
              <w:t>、蓄水工程</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5.4</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5.3</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2.5</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1.6</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1.6</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7.9</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8.9</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8.4</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7.9</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4.9</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16</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13.8</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w:t>
            </w:r>
            <w:r>
              <w:rPr>
                <w:rFonts w:hint="eastAsia" w:ascii="宋体" w:hAnsi="宋体" w:eastAsia="宋体" w:cs="宋体"/>
                <w:i w:val="0"/>
                <w:iCs w:val="0"/>
                <w:color w:val="auto"/>
                <w:kern w:val="0"/>
                <w:sz w:val="18"/>
                <w:szCs w:val="18"/>
                <w:u w:val="none"/>
                <w:lang w:val="en-US" w:eastAsia="zh-CN" w:bidi="ar"/>
              </w:rPr>
              <w:t>、姜驿乡抗旱应急工程</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3.3</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w:t>
            </w:r>
            <w:r>
              <w:rPr>
                <w:rFonts w:hint="eastAsia" w:ascii="宋体" w:hAnsi="宋体" w:eastAsia="宋体" w:cs="宋体"/>
                <w:i w:val="0"/>
                <w:iCs w:val="0"/>
                <w:color w:val="auto"/>
                <w:kern w:val="0"/>
                <w:sz w:val="18"/>
                <w:szCs w:val="18"/>
                <w:u w:val="none"/>
                <w:lang w:val="en-US" w:eastAsia="zh-CN" w:bidi="ar"/>
              </w:rPr>
              <w:t>、集雨工程</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0.1</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0.3</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eastAsia" w:ascii="Times New Roman" w:hAnsi="Times New Roman" w:eastAsia="宋体" w:cs="Times New Roman"/>
                <w:b/>
                <w:bCs/>
                <w:i w:val="0"/>
                <w:iCs w:val="0"/>
                <w:color w:val="auto"/>
                <w:kern w:val="0"/>
                <w:sz w:val="18"/>
                <w:szCs w:val="18"/>
                <w:u w:val="none"/>
                <w:lang w:val="en-US" w:eastAsia="zh-CN" w:bidi="ar"/>
              </w:rPr>
              <w:t>4</w:t>
            </w:r>
            <w:r>
              <w:rPr>
                <w:rFonts w:hint="eastAsia" w:ascii="宋体" w:hAnsi="宋体" w:eastAsia="宋体" w:cs="宋体"/>
                <w:b/>
                <w:bCs/>
                <w:i w:val="0"/>
                <w:iCs w:val="0"/>
                <w:color w:val="auto"/>
                <w:kern w:val="0"/>
                <w:sz w:val="18"/>
                <w:szCs w:val="18"/>
                <w:u w:val="none"/>
                <w:lang w:val="en-US" w:eastAsia="zh-CN" w:bidi="ar"/>
              </w:rPr>
              <w:t>、本项目</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54.7</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23.3</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23.3</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23.3</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23.3</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66.9</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63.8</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110.2</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93</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74.9</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90.9</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113.1</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760.7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eastAsia="宋体" w:cs="宋体"/>
                <w:b/>
                <w:bCs/>
                <w:i w:val="0"/>
                <w:iCs w:val="0"/>
                <w:color w:val="auto"/>
                <w:kern w:val="0"/>
                <w:sz w:val="18"/>
                <w:szCs w:val="18"/>
                <w:u w:val="none"/>
                <w:lang w:val="en-US" w:eastAsia="zh-CN" w:bidi="ar"/>
              </w:rPr>
              <w:t>总可供水量</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63.5</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32</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29.1</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28.2</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28.2</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78.2</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76.1</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122</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104.3</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83.2</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110.5</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130.4</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885.2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其中：集镇生活供水</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农村生活供水</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43.12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农业灌溉供水</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57.1</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25.7</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22.9</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21.9</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21.9</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72</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73.1</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119.1</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101.4</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80.2</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110.8</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129.4</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835.5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常规灌溉供水</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5.5</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5.7</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1.9</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1.9</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8.3</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9.4</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8.8</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8.4</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5.3</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19.9</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16.3</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94.1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高效灌溉供水</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51.6</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20.1</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20.1</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20.1</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20.1</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63.8</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63.8</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110.2</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93</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74.9</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90.9</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113.1</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741.4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eastAsia="宋体" w:cs="宋体"/>
                <w:b/>
                <w:bCs/>
                <w:i w:val="0"/>
                <w:iCs w:val="0"/>
                <w:color w:val="auto"/>
                <w:kern w:val="0"/>
                <w:sz w:val="18"/>
                <w:szCs w:val="18"/>
                <w:u w:val="none"/>
                <w:lang w:val="en-US" w:eastAsia="zh-CN" w:bidi="ar"/>
              </w:rPr>
              <w:t>二、需水量分析</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b/>
                <w:bCs/>
                <w:i w:val="0"/>
                <w:iCs w:val="0"/>
                <w:color w:val="auto"/>
                <w:sz w:val="18"/>
                <w:szCs w:val="18"/>
                <w:u w:val="none"/>
              </w:rPr>
            </w:pP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b/>
                <w:bCs/>
                <w:i w:val="0"/>
                <w:iCs w:val="0"/>
                <w:color w:val="auto"/>
                <w:sz w:val="18"/>
                <w:szCs w:val="18"/>
                <w:u w:val="none"/>
              </w:rPr>
            </w:pP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b/>
                <w:bCs/>
                <w:i w:val="0"/>
                <w:iCs w:val="0"/>
                <w:color w:val="auto"/>
                <w:sz w:val="18"/>
                <w:szCs w:val="18"/>
                <w:u w:val="none"/>
              </w:rPr>
            </w:pP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b/>
                <w:bCs/>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b/>
                <w:bCs/>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b/>
                <w:bCs/>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b/>
                <w:bCs/>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b/>
                <w:bCs/>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b/>
                <w:bCs/>
                <w:i w:val="0"/>
                <w:iCs w:val="0"/>
                <w:color w:val="auto"/>
                <w:sz w:val="18"/>
                <w:szCs w:val="18"/>
                <w:u w:val="none"/>
              </w:rPr>
            </w:pP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b/>
                <w:bCs/>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b/>
                <w:bCs/>
                <w:i w:val="0"/>
                <w:iCs w:val="0"/>
                <w:color w:val="auto"/>
                <w:sz w:val="18"/>
                <w:szCs w:val="18"/>
                <w:u w:val="none"/>
              </w:rPr>
            </w:pP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b/>
                <w:bCs/>
                <w:i w:val="0"/>
                <w:iCs w:val="0"/>
                <w:color w:val="auto"/>
                <w:sz w:val="18"/>
                <w:szCs w:val="18"/>
                <w:u w:val="none"/>
              </w:rPr>
            </w:pP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w:t>
            </w:r>
            <w:r>
              <w:rPr>
                <w:rFonts w:hint="eastAsia" w:ascii="宋体" w:hAnsi="宋体" w:eastAsia="宋体" w:cs="宋体"/>
                <w:i w:val="0"/>
                <w:iCs w:val="0"/>
                <w:color w:val="auto"/>
                <w:kern w:val="0"/>
                <w:sz w:val="18"/>
                <w:szCs w:val="18"/>
                <w:u w:val="none"/>
                <w:lang w:val="en-US" w:eastAsia="zh-CN" w:bidi="ar"/>
              </w:rPr>
              <w:t>、集镇生活需水</w:t>
            </w:r>
          </w:p>
        </w:tc>
        <w:tc>
          <w:tcPr>
            <w:tcW w:w="728"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728"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876"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0.5</w:t>
            </w:r>
          </w:p>
        </w:tc>
        <w:tc>
          <w:tcPr>
            <w:tcW w:w="105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w:t>
            </w:r>
            <w:r>
              <w:rPr>
                <w:rFonts w:hint="eastAsia" w:ascii="宋体" w:hAnsi="宋体" w:eastAsia="宋体" w:cs="宋体"/>
                <w:i w:val="0"/>
                <w:iCs w:val="0"/>
                <w:color w:val="auto"/>
                <w:kern w:val="0"/>
                <w:sz w:val="18"/>
                <w:szCs w:val="18"/>
                <w:u w:val="none"/>
                <w:lang w:val="en-US" w:eastAsia="zh-CN" w:bidi="ar"/>
              </w:rPr>
              <w:t>、农村生活需水</w:t>
            </w:r>
          </w:p>
        </w:tc>
        <w:tc>
          <w:tcPr>
            <w:tcW w:w="728"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728"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876"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3.6</w:t>
            </w:r>
          </w:p>
        </w:tc>
        <w:tc>
          <w:tcPr>
            <w:tcW w:w="105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43.2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w:t>
            </w:r>
            <w:r>
              <w:rPr>
                <w:rFonts w:hint="eastAsia" w:ascii="宋体" w:hAnsi="宋体" w:eastAsia="宋体" w:cs="宋体"/>
                <w:i w:val="0"/>
                <w:iCs w:val="0"/>
                <w:color w:val="auto"/>
                <w:kern w:val="0"/>
                <w:sz w:val="18"/>
                <w:szCs w:val="18"/>
                <w:u w:val="none"/>
                <w:lang w:val="en-US" w:eastAsia="zh-CN" w:bidi="ar"/>
              </w:rPr>
              <w:t>、农业需水</w:t>
            </w:r>
          </w:p>
        </w:tc>
        <w:tc>
          <w:tcPr>
            <w:tcW w:w="728"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57.1</w:t>
            </w:r>
          </w:p>
        </w:tc>
        <w:tc>
          <w:tcPr>
            <w:tcW w:w="728"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25.8</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23</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22</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22</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72.1</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73.2</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119</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101.4</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80.2</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110.8</w:t>
            </w:r>
          </w:p>
        </w:tc>
        <w:tc>
          <w:tcPr>
            <w:tcW w:w="876"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129.4</w:t>
            </w:r>
          </w:p>
        </w:tc>
        <w:tc>
          <w:tcPr>
            <w:tcW w:w="105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常规灌溉需水（</w:t>
            </w:r>
            <w:r>
              <w:rPr>
                <w:rFonts w:hint="default" w:ascii="Times New Roman" w:hAnsi="Times New Roman" w:eastAsia="宋体" w:cs="Times New Roman"/>
                <w:i w:val="0"/>
                <w:iCs w:val="0"/>
                <w:color w:val="auto"/>
                <w:kern w:val="0"/>
                <w:sz w:val="18"/>
                <w:szCs w:val="18"/>
                <w:u w:val="none"/>
                <w:lang w:val="en-US" w:eastAsia="zh-CN" w:bidi="ar"/>
              </w:rPr>
              <w:t>0.2187</w:t>
            </w:r>
            <w:r>
              <w:rPr>
                <w:rFonts w:hint="eastAsia" w:ascii="宋体" w:hAnsi="宋体" w:eastAsia="宋体" w:cs="宋体"/>
                <w:i w:val="0"/>
                <w:iCs w:val="0"/>
                <w:color w:val="auto"/>
                <w:kern w:val="0"/>
                <w:sz w:val="18"/>
                <w:szCs w:val="18"/>
                <w:u w:val="none"/>
                <w:lang w:val="en-US" w:eastAsia="zh-CN" w:bidi="ar"/>
              </w:rPr>
              <w:t>亩）</w:t>
            </w:r>
          </w:p>
        </w:tc>
        <w:tc>
          <w:tcPr>
            <w:tcW w:w="728"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5.5</w:t>
            </w:r>
          </w:p>
        </w:tc>
        <w:tc>
          <w:tcPr>
            <w:tcW w:w="728"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5.7</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2.9</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1.9</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1.9</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8.3</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9.4</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8.8</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8.4</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5.3</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19.9</w:t>
            </w:r>
          </w:p>
        </w:tc>
        <w:tc>
          <w:tcPr>
            <w:tcW w:w="876"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16.3</w:t>
            </w:r>
          </w:p>
        </w:tc>
        <w:tc>
          <w:tcPr>
            <w:tcW w:w="105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94.3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高效灌溉需水（</w:t>
            </w:r>
            <w:r>
              <w:rPr>
                <w:rFonts w:hint="default" w:ascii="Times New Roman" w:hAnsi="Times New Roman" w:eastAsia="宋体" w:cs="Times New Roman"/>
                <w:i w:val="0"/>
                <w:iCs w:val="0"/>
                <w:color w:val="auto"/>
                <w:kern w:val="0"/>
                <w:sz w:val="18"/>
                <w:szCs w:val="18"/>
                <w:u w:val="none"/>
                <w:lang w:val="en-US" w:eastAsia="zh-CN" w:bidi="ar"/>
              </w:rPr>
              <w:t>3.2698</w:t>
            </w:r>
            <w:r>
              <w:rPr>
                <w:rFonts w:hint="eastAsia" w:ascii="宋体" w:hAnsi="宋体" w:eastAsia="宋体" w:cs="宋体"/>
                <w:i w:val="0"/>
                <w:iCs w:val="0"/>
                <w:color w:val="auto"/>
                <w:kern w:val="0"/>
                <w:sz w:val="18"/>
                <w:szCs w:val="18"/>
                <w:u w:val="none"/>
                <w:lang w:val="en-US" w:eastAsia="zh-CN" w:bidi="ar"/>
              </w:rPr>
              <w:t>亩）</w:t>
            </w:r>
          </w:p>
        </w:tc>
        <w:tc>
          <w:tcPr>
            <w:tcW w:w="728"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51.6</w:t>
            </w:r>
          </w:p>
        </w:tc>
        <w:tc>
          <w:tcPr>
            <w:tcW w:w="728"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20.1</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20.1</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20.1</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20.1</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63.8</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63.8</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110.2</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93</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74.9</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90.9</w:t>
            </w:r>
          </w:p>
        </w:tc>
        <w:tc>
          <w:tcPr>
            <w:tcW w:w="876"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113.1</w:t>
            </w:r>
          </w:p>
        </w:tc>
        <w:tc>
          <w:tcPr>
            <w:tcW w:w="105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741.7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eastAsia="宋体" w:cs="宋体"/>
                <w:b/>
                <w:bCs/>
                <w:i w:val="0"/>
                <w:iCs w:val="0"/>
                <w:color w:val="auto"/>
                <w:kern w:val="0"/>
                <w:sz w:val="18"/>
                <w:szCs w:val="18"/>
                <w:u w:val="none"/>
                <w:lang w:val="en-US" w:eastAsia="zh-CN" w:bidi="ar"/>
              </w:rPr>
              <w:t>总需水量</w:t>
            </w:r>
          </w:p>
        </w:tc>
        <w:tc>
          <w:tcPr>
            <w:tcW w:w="728"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61.2</w:t>
            </w:r>
          </w:p>
        </w:tc>
        <w:tc>
          <w:tcPr>
            <w:tcW w:w="728"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29.9</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27.1</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26.1</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26.1</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76.2</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77.3</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123.1</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105.5</w:t>
            </w:r>
          </w:p>
        </w:tc>
        <w:tc>
          <w:tcPr>
            <w:tcW w:w="72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84.3</w:t>
            </w:r>
          </w:p>
        </w:tc>
        <w:tc>
          <w:tcPr>
            <w:tcW w:w="86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114.9</w:t>
            </w:r>
          </w:p>
        </w:tc>
        <w:tc>
          <w:tcPr>
            <w:tcW w:w="876"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133.5</w:t>
            </w:r>
          </w:p>
        </w:tc>
        <w:tc>
          <w:tcPr>
            <w:tcW w:w="1057"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885.2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三、水量供需平衡</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b/>
                <w:bCs/>
                <w:i w:val="0"/>
                <w:iCs w:val="0"/>
                <w:color w:val="auto"/>
                <w:sz w:val="18"/>
                <w:szCs w:val="18"/>
                <w:u w:val="none"/>
              </w:rPr>
            </w:pPr>
            <w:r>
              <w:rPr>
                <w:rFonts w:hint="eastAsia" w:ascii="宋体" w:hAnsi="宋体" w:eastAsia="宋体" w:cs="宋体"/>
                <w:b/>
                <w:bCs/>
                <w:i w:val="0"/>
                <w:iCs w:val="0"/>
                <w:color w:val="auto"/>
                <w:kern w:val="0"/>
                <w:sz w:val="18"/>
                <w:szCs w:val="18"/>
                <w:u w:val="none"/>
                <w:lang w:val="en-US" w:eastAsia="zh-CN" w:bidi="ar"/>
              </w:rPr>
              <w:t>水量盈亏</w:t>
            </w:r>
            <w:r>
              <w:rPr>
                <w:rFonts w:hint="default" w:ascii="Times New Roman" w:hAnsi="Times New Roman" w:eastAsia="宋体" w:cs="Times New Roman"/>
                <w:b/>
                <w:bCs/>
                <w:i w:val="0"/>
                <w:iCs w:val="0"/>
                <w:color w:val="auto"/>
                <w:kern w:val="0"/>
                <w:sz w:val="18"/>
                <w:szCs w:val="18"/>
                <w:u w:val="none"/>
                <w:lang w:val="en-US" w:eastAsia="zh-CN" w:bidi="ar"/>
              </w:rPr>
              <w:t>(</w:t>
            </w:r>
            <w:r>
              <w:rPr>
                <w:rFonts w:hint="eastAsia" w:ascii="宋体" w:hAnsi="宋体" w:eastAsia="宋体" w:cs="宋体"/>
                <w:b/>
                <w:bCs/>
                <w:i w:val="0"/>
                <w:iCs w:val="0"/>
                <w:color w:val="auto"/>
                <w:kern w:val="0"/>
                <w:sz w:val="18"/>
                <w:szCs w:val="18"/>
                <w:u w:val="none"/>
                <w:lang w:val="en-US" w:eastAsia="zh-CN" w:bidi="ar"/>
              </w:rPr>
              <w:t>供水量</w:t>
            </w:r>
            <w:r>
              <w:rPr>
                <w:rFonts w:hint="default" w:ascii="Times New Roman" w:hAnsi="Times New Roman" w:eastAsia="宋体" w:cs="Times New Roman"/>
                <w:b/>
                <w:bCs/>
                <w:i w:val="0"/>
                <w:iCs w:val="0"/>
                <w:color w:val="auto"/>
                <w:kern w:val="0"/>
                <w:sz w:val="18"/>
                <w:szCs w:val="18"/>
                <w:u w:val="none"/>
                <w:lang w:val="en-US" w:eastAsia="zh-CN" w:bidi="ar"/>
              </w:rPr>
              <w:t>-</w:t>
            </w:r>
            <w:r>
              <w:rPr>
                <w:rFonts w:hint="eastAsia" w:ascii="宋体" w:hAnsi="宋体" w:eastAsia="宋体" w:cs="宋体"/>
                <w:b/>
                <w:bCs/>
                <w:i w:val="0"/>
                <w:iCs w:val="0"/>
                <w:color w:val="auto"/>
                <w:kern w:val="0"/>
                <w:sz w:val="18"/>
                <w:szCs w:val="18"/>
                <w:u w:val="none"/>
                <w:lang w:val="en-US" w:eastAsia="zh-CN" w:bidi="ar"/>
              </w:rPr>
              <w:t>需水量</w:t>
            </w:r>
            <w:r>
              <w:rPr>
                <w:rFonts w:hint="default" w:ascii="Times New Roman" w:hAnsi="Times New Roman" w:eastAsia="宋体" w:cs="Times New Roman"/>
                <w:b/>
                <w:bCs/>
                <w:i w:val="0"/>
                <w:iCs w:val="0"/>
                <w:color w:val="auto"/>
                <w:kern w:val="0"/>
                <w:sz w:val="18"/>
                <w:szCs w:val="18"/>
                <w:u w:val="none"/>
                <w:lang w:val="en-US" w:eastAsia="zh-CN" w:bidi="ar"/>
              </w:rPr>
              <w:t>)</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0</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0</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18"/>
                <w:szCs w:val="18"/>
                <w:u w:val="none"/>
              </w:rPr>
            </w:pPr>
            <w:r>
              <w:rPr>
                <w:rFonts w:hint="default" w:ascii="Times New Roman" w:hAnsi="Times New Roman" w:eastAsia="宋体" w:cs="Times New Roman"/>
                <w:b/>
                <w:bCs/>
                <w:i w:val="0"/>
                <w:iCs w:val="0"/>
                <w:color w:val="auto"/>
                <w:kern w:val="0"/>
                <w:sz w:val="18"/>
                <w:szCs w:val="18"/>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1</w:t>
            </w:r>
            <w:r>
              <w:rPr>
                <w:rFonts w:hint="eastAsia" w:ascii="宋体" w:hAnsi="宋体" w:eastAsia="宋体" w:cs="宋体"/>
                <w:i w:val="0"/>
                <w:iCs w:val="0"/>
                <w:color w:val="auto"/>
                <w:kern w:val="0"/>
                <w:sz w:val="18"/>
                <w:szCs w:val="18"/>
                <w:u w:val="none"/>
                <w:lang w:val="en-US" w:eastAsia="zh-CN" w:bidi="ar"/>
              </w:rPr>
              <w:t>、集镇生活缺水量</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2</w:t>
            </w:r>
            <w:r>
              <w:rPr>
                <w:rFonts w:hint="eastAsia" w:ascii="宋体" w:hAnsi="宋体" w:eastAsia="宋体" w:cs="宋体"/>
                <w:i w:val="0"/>
                <w:iCs w:val="0"/>
                <w:color w:val="auto"/>
                <w:kern w:val="0"/>
                <w:sz w:val="18"/>
                <w:szCs w:val="18"/>
                <w:u w:val="none"/>
                <w:lang w:val="en-US" w:eastAsia="zh-CN" w:bidi="ar"/>
              </w:rPr>
              <w:t>、农村生活缺水量</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w:t>
            </w:r>
            <w:r>
              <w:rPr>
                <w:rFonts w:hint="eastAsia" w:ascii="宋体" w:hAnsi="宋体" w:eastAsia="宋体" w:cs="宋体"/>
                <w:i w:val="0"/>
                <w:iCs w:val="0"/>
                <w:color w:val="auto"/>
                <w:kern w:val="0"/>
                <w:sz w:val="18"/>
                <w:szCs w:val="18"/>
                <w:u w:val="none"/>
                <w:lang w:val="en-US" w:eastAsia="zh-CN" w:bidi="ar"/>
              </w:rPr>
              <w:t>、农灌缺水量</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缺灌面积</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保灌面积</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3.49</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3.49</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3.49</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3.49</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3.49</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3.49</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3.49</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3.49</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3.49</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3.49</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3.49</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3.49</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其中：常规保灌面积</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0.22</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0.22</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0.22</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0.22</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0.22</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0.22</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0.22</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0.22</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0.22</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0.22</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0.22</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0.22</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0.22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20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18"/>
                <w:szCs w:val="18"/>
                <w:u w:val="none"/>
              </w:rPr>
            </w:pPr>
            <w:r>
              <w:rPr>
                <w:rFonts w:hint="eastAsia" w:ascii="宋体" w:hAnsi="宋体" w:eastAsia="宋体" w:cs="宋体"/>
                <w:i w:val="0"/>
                <w:iCs w:val="0"/>
                <w:color w:val="auto"/>
                <w:kern w:val="0"/>
                <w:sz w:val="18"/>
                <w:szCs w:val="18"/>
                <w:u w:val="none"/>
                <w:lang w:val="en-US" w:eastAsia="zh-CN" w:bidi="ar"/>
              </w:rPr>
              <w:t>高效保灌面积</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3.27</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3.27</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3.27</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3.27</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3.27</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3.27</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3.27</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3.27</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3.27</w:t>
            </w:r>
          </w:p>
        </w:tc>
        <w:tc>
          <w:tcPr>
            <w:tcW w:w="257"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3.27</w:t>
            </w:r>
          </w:p>
        </w:tc>
        <w:tc>
          <w:tcPr>
            <w:tcW w:w="30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3.27</w:t>
            </w:r>
          </w:p>
        </w:tc>
        <w:tc>
          <w:tcPr>
            <w:tcW w:w="306"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3.27</w:t>
            </w:r>
          </w:p>
        </w:tc>
        <w:tc>
          <w:tcPr>
            <w:tcW w:w="37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3.27</w:t>
            </w:r>
          </w:p>
        </w:tc>
      </w:tr>
    </w:tbl>
    <w:p>
      <w:pPr>
        <w:numPr>
          <w:ilvl w:val="0"/>
          <w:numId w:val="0"/>
        </w:numPr>
        <w:rPr>
          <w:rFonts w:hint="default"/>
          <w:color w:val="auto"/>
          <w:highlight w:val="none"/>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p>
    <w:p>
      <w:pPr>
        <w:pStyle w:val="3"/>
        <w:bidi w:val="0"/>
        <w:rPr>
          <w:rFonts w:hint="default"/>
          <w:color w:val="auto"/>
          <w:highlight w:val="none"/>
        </w:rPr>
      </w:pPr>
      <w:bookmarkStart w:id="341" w:name="_Toc19022"/>
      <w:bookmarkStart w:id="342" w:name="_Toc195"/>
      <w:bookmarkStart w:id="343" w:name="_Toc8588"/>
      <w:bookmarkStart w:id="344" w:name="_Toc21851"/>
      <w:r>
        <w:rPr>
          <w:rFonts w:hint="default"/>
          <w:color w:val="auto"/>
          <w:highlight w:val="none"/>
        </w:rPr>
        <w:t>建设项目概况</w:t>
      </w:r>
      <w:bookmarkEnd w:id="341"/>
      <w:bookmarkEnd w:id="342"/>
      <w:bookmarkEnd w:id="343"/>
      <w:bookmarkEnd w:id="344"/>
    </w:p>
    <w:p>
      <w:pPr>
        <w:pStyle w:val="4"/>
        <w:bidi w:val="0"/>
        <w:rPr>
          <w:rFonts w:hint="default"/>
          <w:color w:val="auto"/>
          <w:highlight w:val="none"/>
        </w:rPr>
      </w:pPr>
      <w:bookmarkStart w:id="345" w:name="_Toc8823"/>
      <w:bookmarkStart w:id="346" w:name="_Toc1825"/>
      <w:bookmarkStart w:id="347" w:name="_Toc6363"/>
      <w:r>
        <w:rPr>
          <w:rFonts w:hint="default"/>
          <w:color w:val="auto"/>
          <w:highlight w:val="none"/>
        </w:rPr>
        <w:t>项目基本情况</w:t>
      </w:r>
      <w:bookmarkEnd w:id="345"/>
      <w:bookmarkEnd w:id="346"/>
      <w:bookmarkEnd w:id="347"/>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highlight w:val="none"/>
        </w:rPr>
      </w:pPr>
      <w:r>
        <w:rPr>
          <w:rFonts w:hint="default"/>
          <w:color w:val="auto"/>
          <w:highlight w:val="none"/>
        </w:rPr>
        <w:t>项目名称：元谋县姜驿中型灌区续建配套与节水改造项目</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eastAsia="宋体"/>
          <w:color w:val="auto"/>
          <w:highlight w:val="none"/>
          <w:lang w:val="en-US" w:eastAsia="zh-CN"/>
        </w:rPr>
      </w:pPr>
      <w:r>
        <w:rPr>
          <w:rFonts w:hint="default"/>
          <w:color w:val="auto"/>
          <w:highlight w:val="none"/>
        </w:rPr>
        <w:t>项目性质：新建</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highlight w:val="none"/>
        </w:rPr>
      </w:pPr>
      <w:r>
        <w:rPr>
          <w:rFonts w:hint="default"/>
          <w:color w:val="auto"/>
          <w:highlight w:val="none"/>
        </w:rPr>
        <w:t>建设单位：元谋县</w:t>
      </w:r>
      <w:r>
        <w:rPr>
          <w:rFonts w:hint="eastAsia"/>
          <w:color w:val="auto"/>
          <w:highlight w:val="none"/>
          <w:lang w:eastAsia="zh-CN"/>
        </w:rPr>
        <w:t>灌区管理</w:t>
      </w:r>
      <w:r>
        <w:rPr>
          <w:rFonts w:hint="default"/>
          <w:color w:val="auto"/>
          <w:highlight w:val="none"/>
        </w:rPr>
        <w:t>局</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highlight w:val="none"/>
        </w:rPr>
      </w:pPr>
      <w:r>
        <w:rPr>
          <w:rFonts w:hint="default"/>
          <w:color w:val="auto"/>
          <w:highlight w:val="none"/>
        </w:rPr>
        <w:t>建设地点：姜驿乡水平石、半箐、姜驿、</w:t>
      </w:r>
      <w:r>
        <w:rPr>
          <w:rFonts w:hint="default"/>
          <w:color w:val="auto"/>
          <w:highlight w:val="none"/>
          <w:lang w:val="en-US" w:eastAsia="zh-CN"/>
        </w:rPr>
        <w:t>糯拉</w:t>
      </w:r>
      <w:r>
        <w:rPr>
          <w:rFonts w:hint="eastAsia"/>
          <w:color w:val="auto"/>
          <w:highlight w:val="none"/>
          <w:lang w:val="en-US" w:eastAsia="zh-CN"/>
        </w:rPr>
        <w:t>鲊</w:t>
      </w:r>
      <w:r>
        <w:rPr>
          <w:rFonts w:hint="default"/>
          <w:color w:val="auto"/>
          <w:highlight w:val="none"/>
        </w:rPr>
        <w:t>4个村委会32个自然村和江边乡盐水井村委会3个自然村</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highlight w:val="none"/>
          <w:vertAlign w:val="baseline"/>
          <w:lang w:val="en-US" w:eastAsia="zh-CN"/>
        </w:rPr>
      </w:pPr>
      <w:r>
        <w:rPr>
          <w:rFonts w:hint="default"/>
          <w:color w:val="auto"/>
          <w:highlight w:val="none"/>
        </w:rPr>
        <w:t>设计规模：</w:t>
      </w:r>
      <w:r>
        <w:rPr>
          <w:rFonts w:hint="eastAsia"/>
          <w:color w:val="auto"/>
          <w:highlight w:val="none"/>
          <w:lang w:eastAsia="zh-CN"/>
        </w:rPr>
        <w:t>灌溉面积</w:t>
      </w:r>
      <w:r>
        <w:rPr>
          <w:rFonts w:hint="eastAsia"/>
          <w:color w:val="auto"/>
          <w:highlight w:val="none"/>
          <w:lang w:val="en-US" w:eastAsia="zh-CN"/>
        </w:rPr>
        <w:t>3.49万亩，设计供水量760.7万m</w:t>
      </w:r>
      <w:r>
        <w:rPr>
          <w:rFonts w:hint="eastAsia"/>
          <w:color w:val="auto"/>
          <w:highlight w:val="none"/>
          <w:vertAlign w:val="superscript"/>
          <w:lang w:val="en-US" w:eastAsia="zh-CN"/>
        </w:rPr>
        <w:t>3</w:t>
      </w:r>
      <w:r>
        <w:rPr>
          <w:rFonts w:hint="eastAsia"/>
          <w:color w:val="auto"/>
          <w:highlight w:val="none"/>
          <w:vertAlign w:val="baseline"/>
          <w:lang w:val="en-US" w:eastAsia="zh-CN"/>
        </w:rPr>
        <w:t>。</w:t>
      </w:r>
    </w:p>
    <w:p>
      <w:pPr>
        <w:keepNext w:val="0"/>
        <w:keepLines w:val="0"/>
        <w:pageBreakBefore w:val="0"/>
        <w:widowControl w:val="0"/>
        <w:shd w:val="clear"/>
        <w:kinsoku/>
        <w:wordWrap/>
        <w:overflowPunct/>
        <w:topLinePunct w:val="0"/>
        <w:autoSpaceDE/>
        <w:autoSpaceDN/>
        <w:bidi w:val="0"/>
        <w:adjustRightInd/>
        <w:snapToGrid/>
        <w:ind w:firstLine="480" w:firstLineChars="200"/>
        <w:textAlignment w:val="auto"/>
        <w:rPr>
          <w:rFonts w:hint="default"/>
          <w:color w:val="auto"/>
          <w:highlight w:val="none"/>
          <w:shd w:val="clear"/>
          <w:vertAlign w:val="baseline"/>
          <w:lang w:val="en-US" w:eastAsia="zh-CN"/>
        </w:rPr>
      </w:pPr>
      <w:r>
        <w:rPr>
          <w:rFonts w:hint="default"/>
          <w:color w:val="auto"/>
          <w:highlight w:val="none"/>
          <w:vertAlign w:val="baseline"/>
          <w:lang w:val="en-US" w:eastAsia="zh-CN"/>
        </w:rPr>
        <w:t>总投资：</w:t>
      </w:r>
      <w:r>
        <w:rPr>
          <w:rFonts w:hint="eastAsia"/>
          <w:color w:val="auto"/>
          <w:highlight w:val="none"/>
          <w:vertAlign w:val="baseline"/>
          <w:lang w:val="en-US" w:eastAsia="zh-CN"/>
        </w:rPr>
        <w:t>13507.68</w:t>
      </w:r>
      <w:r>
        <w:rPr>
          <w:rFonts w:hint="default"/>
          <w:color w:val="auto"/>
          <w:highlight w:val="none"/>
          <w:vertAlign w:val="baseline"/>
          <w:lang w:val="en-US" w:eastAsia="zh-CN"/>
        </w:rPr>
        <w:t>万元，</w:t>
      </w:r>
      <w:r>
        <w:rPr>
          <w:rFonts w:hint="default"/>
          <w:color w:val="auto"/>
          <w:highlight w:val="none"/>
          <w:shd w:val="clear"/>
          <w:vertAlign w:val="baseline"/>
          <w:lang w:val="en-US" w:eastAsia="zh-CN"/>
        </w:rPr>
        <w:t>其中环保投资</w:t>
      </w:r>
      <w:r>
        <w:rPr>
          <w:rFonts w:hint="eastAsia"/>
          <w:color w:val="auto"/>
          <w:highlight w:val="none"/>
          <w:shd w:val="clear"/>
          <w:vertAlign w:val="baseline"/>
          <w:lang w:val="en-US" w:eastAsia="zh-CN"/>
        </w:rPr>
        <w:t>543.63</w:t>
      </w:r>
      <w:r>
        <w:rPr>
          <w:rFonts w:hint="default"/>
          <w:color w:val="auto"/>
          <w:highlight w:val="none"/>
          <w:shd w:val="clear"/>
          <w:vertAlign w:val="baseline"/>
          <w:lang w:val="en-US" w:eastAsia="zh-CN"/>
        </w:rPr>
        <w:t>万元，占总投资的</w:t>
      </w:r>
      <w:r>
        <w:rPr>
          <w:rFonts w:hint="eastAsia"/>
          <w:color w:val="auto"/>
          <w:highlight w:val="none"/>
          <w:shd w:val="clear"/>
          <w:vertAlign w:val="baseline"/>
          <w:lang w:val="en-US" w:eastAsia="zh-CN"/>
        </w:rPr>
        <w:t>4.02</w:t>
      </w:r>
      <w:r>
        <w:rPr>
          <w:rFonts w:hint="default"/>
          <w:color w:val="auto"/>
          <w:highlight w:val="none"/>
          <w:shd w:val="clear"/>
          <w:vertAlign w:val="baseline"/>
          <w:lang w:val="en-US" w:eastAsia="zh-CN"/>
        </w:rPr>
        <w:t>%。</w:t>
      </w:r>
    </w:p>
    <w:p>
      <w:pPr>
        <w:keepNext w:val="0"/>
        <w:keepLines w:val="0"/>
        <w:pageBreakBefore w:val="0"/>
        <w:widowControl w:val="0"/>
        <w:shd w:val="clear"/>
        <w:kinsoku/>
        <w:wordWrap/>
        <w:overflowPunct/>
        <w:topLinePunct w:val="0"/>
        <w:autoSpaceDE/>
        <w:autoSpaceDN/>
        <w:bidi w:val="0"/>
        <w:adjustRightInd/>
        <w:snapToGrid/>
        <w:ind w:firstLine="480" w:firstLineChars="200"/>
        <w:textAlignment w:val="auto"/>
        <w:rPr>
          <w:rFonts w:hint="default"/>
          <w:color w:val="auto"/>
          <w:sz w:val="24"/>
          <w:szCs w:val="24"/>
          <w:highlight w:val="none"/>
          <w:vertAlign w:val="baseline"/>
          <w:lang w:val="en-US" w:eastAsia="zh-CN"/>
        </w:rPr>
      </w:pPr>
      <w:r>
        <w:rPr>
          <w:rFonts w:hint="eastAsia"/>
          <w:color w:val="auto"/>
          <w:sz w:val="24"/>
          <w:szCs w:val="24"/>
          <w:highlight w:val="none"/>
          <w:vertAlign w:val="baseline"/>
          <w:lang w:val="en-US" w:eastAsia="zh-CN"/>
        </w:rPr>
        <w:t>建设内容：</w:t>
      </w:r>
      <w:r>
        <w:rPr>
          <w:rFonts w:hint="default"/>
          <w:color w:val="auto"/>
          <w:sz w:val="24"/>
          <w:szCs w:val="24"/>
          <w:highlight w:val="none"/>
          <w:vertAlign w:val="baseline"/>
          <w:lang w:val="en-US" w:eastAsia="zh-CN"/>
        </w:rPr>
        <w:t>根据现场踏勘结合建设单位提供资料，项目</w:t>
      </w:r>
      <w:r>
        <w:rPr>
          <w:rFonts w:hint="eastAsia"/>
          <w:color w:val="auto"/>
          <w:sz w:val="24"/>
          <w:szCs w:val="24"/>
          <w:highlight w:val="none"/>
          <w:vertAlign w:val="baseline"/>
          <w:lang w:val="en-US" w:eastAsia="zh-CN"/>
        </w:rPr>
        <w:t>实施方案</w:t>
      </w:r>
      <w:r>
        <w:rPr>
          <w:rFonts w:hint="default"/>
          <w:color w:val="auto"/>
          <w:sz w:val="24"/>
          <w:szCs w:val="24"/>
          <w:highlight w:val="none"/>
          <w:vertAlign w:val="baseline"/>
          <w:lang w:val="en-US" w:eastAsia="zh-CN"/>
        </w:rPr>
        <w:t>与</w:t>
      </w:r>
      <w:r>
        <w:rPr>
          <w:rFonts w:hint="eastAsia"/>
          <w:color w:val="auto"/>
          <w:sz w:val="24"/>
          <w:szCs w:val="24"/>
          <w:highlight w:val="none"/>
          <w:vertAlign w:val="baseline"/>
          <w:lang w:val="en-US" w:eastAsia="zh-CN"/>
        </w:rPr>
        <w:t>可研</w:t>
      </w:r>
      <w:r>
        <w:rPr>
          <w:rFonts w:hint="default"/>
          <w:color w:val="auto"/>
          <w:sz w:val="24"/>
          <w:szCs w:val="24"/>
          <w:highlight w:val="none"/>
          <w:vertAlign w:val="baseline"/>
          <w:lang w:val="en-US" w:eastAsia="zh-CN"/>
        </w:rPr>
        <w:t>中的建设内容有部分变化，</w:t>
      </w:r>
      <w:r>
        <w:rPr>
          <w:rFonts w:hint="eastAsia"/>
          <w:color w:val="auto"/>
          <w:sz w:val="24"/>
          <w:szCs w:val="24"/>
          <w:highlight w:val="none"/>
          <w:vertAlign w:val="baseline"/>
          <w:lang w:val="en-US" w:eastAsia="zh-CN"/>
        </w:rPr>
        <w:t>实施方案细化了工程内容及走向，本次报告内容以实施方案建设内容进行评价。</w:t>
      </w:r>
      <w:r>
        <w:rPr>
          <w:rFonts w:hint="eastAsia"/>
          <w:color w:val="auto"/>
          <w:sz w:val="24"/>
          <w:szCs w:val="24"/>
          <w:highlight w:val="none"/>
          <w:shd w:val="clear"/>
          <w:vertAlign w:val="baseline"/>
          <w:lang w:val="en-US" w:eastAsia="zh-CN"/>
        </w:rPr>
        <w:t>实施方案建设内容主要包括：</w:t>
      </w:r>
      <w:bookmarkStart w:id="348" w:name="OLE_LINK1"/>
      <w:r>
        <w:rPr>
          <w:rFonts w:hint="eastAsia" w:ascii="宋体" w:hAnsi="宋体" w:eastAsia="宋体" w:cs="宋体"/>
          <w:color w:val="auto"/>
          <w:kern w:val="0"/>
          <w:sz w:val="24"/>
          <w:szCs w:val="24"/>
          <w:highlight w:val="none"/>
          <w:shd w:val="clear"/>
          <w:lang w:val="en-US" w:eastAsia="zh-CN" w:bidi="ar"/>
        </w:rPr>
        <w:t>管首</w:t>
      </w:r>
      <w:r>
        <w:rPr>
          <w:rFonts w:hint="default" w:ascii="Times New Roman" w:hAnsi="Times New Roman" w:eastAsia="宋体" w:cs="Times New Roman"/>
          <w:color w:val="auto"/>
          <w:kern w:val="0"/>
          <w:sz w:val="24"/>
          <w:szCs w:val="24"/>
          <w:highlight w:val="none"/>
          <w:shd w:val="clear"/>
          <w:lang w:val="en-US" w:eastAsia="zh-CN" w:bidi="ar"/>
        </w:rPr>
        <w:t>3.9</w:t>
      </w:r>
      <w:r>
        <w:rPr>
          <w:rFonts w:hint="eastAsia" w:ascii="宋体" w:hAnsi="宋体" w:eastAsia="宋体" w:cs="宋体"/>
          <w:color w:val="auto"/>
          <w:kern w:val="0"/>
          <w:sz w:val="24"/>
          <w:szCs w:val="24"/>
          <w:highlight w:val="none"/>
          <w:shd w:val="clear"/>
          <w:lang w:val="en-US" w:eastAsia="zh-CN" w:bidi="ar"/>
        </w:rPr>
        <w:t>万</w:t>
      </w:r>
      <w:r>
        <w:rPr>
          <w:rFonts w:hint="default" w:ascii="Times New Roman" w:hAnsi="Times New Roman" w:eastAsia="宋体" w:cs="Times New Roman"/>
          <w:color w:val="auto"/>
          <w:kern w:val="0"/>
          <w:sz w:val="24"/>
          <w:szCs w:val="24"/>
          <w:highlight w:val="none"/>
          <w:shd w:val="clear"/>
          <w:lang w:val="en-US" w:eastAsia="zh-CN" w:bidi="ar"/>
        </w:rPr>
        <w:t>m³</w:t>
      </w:r>
      <w:r>
        <w:rPr>
          <w:rFonts w:hint="eastAsia" w:ascii="宋体" w:hAnsi="宋体" w:eastAsia="宋体" w:cs="宋体"/>
          <w:color w:val="auto"/>
          <w:kern w:val="0"/>
          <w:sz w:val="24"/>
          <w:szCs w:val="24"/>
          <w:highlight w:val="none"/>
          <w:shd w:val="clear"/>
          <w:lang w:val="en-US" w:eastAsia="zh-CN" w:bidi="ar"/>
        </w:rPr>
        <w:t>高位调节水池</w:t>
      </w:r>
      <w:r>
        <w:rPr>
          <w:rFonts w:hint="default" w:ascii="Times New Roman" w:hAnsi="Times New Roman" w:eastAsia="宋体" w:cs="Times New Roman"/>
          <w:color w:val="auto"/>
          <w:kern w:val="0"/>
          <w:sz w:val="24"/>
          <w:szCs w:val="24"/>
          <w:highlight w:val="none"/>
          <w:shd w:val="clear"/>
          <w:lang w:val="en-US" w:eastAsia="zh-CN" w:bidi="ar"/>
        </w:rPr>
        <w:t>1</w:t>
      </w:r>
      <w:r>
        <w:rPr>
          <w:rFonts w:hint="eastAsia" w:ascii="宋体" w:hAnsi="宋体" w:eastAsia="宋体" w:cs="宋体"/>
          <w:color w:val="auto"/>
          <w:kern w:val="0"/>
          <w:sz w:val="24"/>
          <w:szCs w:val="24"/>
          <w:highlight w:val="none"/>
          <w:shd w:val="clear"/>
          <w:lang w:val="en-US" w:eastAsia="zh-CN" w:bidi="ar"/>
        </w:rPr>
        <w:t>个、输水干管</w:t>
      </w:r>
      <w:r>
        <w:rPr>
          <w:rFonts w:hint="default" w:ascii="Times New Roman" w:hAnsi="Times New Roman" w:eastAsia="宋体" w:cs="Times New Roman"/>
          <w:color w:val="auto"/>
          <w:kern w:val="0"/>
          <w:sz w:val="24"/>
          <w:szCs w:val="24"/>
          <w:highlight w:val="none"/>
          <w:shd w:val="clear"/>
          <w:lang w:val="en-US" w:eastAsia="zh-CN" w:bidi="ar"/>
        </w:rPr>
        <w:t>2</w:t>
      </w:r>
      <w:r>
        <w:rPr>
          <w:rFonts w:hint="eastAsia" w:ascii="宋体" w:hAnsi="宋体" w:eastAsia="宋体" w:cs="宋体"/>
          <w:color w:val="auto"/>
          <w:kern w:val="0"/>
          <w:sz w:val="24"/>
          <w:szCs w:val="24"/>
          <w:highlight w:val="none"/>
          <w:shd w:val="clear"/>
          <w:lang w:val="en-US" w:eastAsia="zh-CN" w:bidi="ar"/>
        </w:rPr>
        <w:t>条（北干管</w:t>
      </w:r>
      <w:r>
        <w:rPr>
          <w:rFonts w:hint="eastAsia"/>
          <w:color w:val="auto"/>
          <w:sz w:val="24"/>
          <w:szCs w:val="24"/>
          <w:highlight w:val="none"/>
          <w:vertAlign w:val="baseline"/>
          <w:lang w:val="en-US" w:eastAsia="zh-CN"/>
        </w:rPr>
        <w:t>10.158km</w:t>
      </w:r>
      <w:r>
        <w:rPr>
          <w:rFonts w:hint="eastAsia" w:ascii="宋体" w:hAnsi="宋体" w:eastAsia="宋体" w:cs="宋体"/>
          <w:color w:val="auto"/>
          <w:kern w:val="0"/>
          <w:sz w:val="24"/>
          <w:szCs w:val="24"/>
          <w:highlight w:val="none"/>
          <w:shd w:val="clear"/>
          <w:lang w:val="en-US" w:eastAsia="zh-CN" w:bidi="ar"/>
        </w:rPr>
        <w:t>、金马分干管</w:t>
      </w:r>
      <w:r>
        <w:rPr>
          <w:rFonts w:hint="eastAsia"/>
          <w:color w:val="auto"/>
          <w:sz w:val="24"/>
          <w:szCs w:val="24"/>
          <w:highlight w:val="none"/>
          <w:vertAlign w:val="baseline"/>
          <w:lang w:val="en-US" w:eastAsia="zh-CN"/>
        </w:rPr>
        <w:t>13.24km</w:t>
      </w:r>
      <w:r>
        <w:rPr>
          <w:rFonts w:hint="eastAsia" w:ascii="宋体" w:hAnsi="宋体" w:eastAsia="宋体" w:cs="宋体"/>
          <w:color w:val="auto"/>
          <w:kern w:val="0"/>
          <w:sz w:val="24"/>
          <w:szCs w:val="24"/>
          <w:highlight w:val="none"/>
          <w:shd w:val="clear"/>
          <w:lang w:val="en-US" w:eastAsia="zh-CN" w:bidi="ar"/>
        </w:rPr>
        <w:t>），支管</w:t>
      </w:r>
      <w:r>
        <w:rPr>
          <w:rFonts w:hint="default" w:ascii="Times New Roman" w:hAnsi="Times New Roman" w:eastAsia="宋体" w:cs="Times New Roman"/>
          <w:color w:val="auto"/>
          <w:kern w:val="0"/>
          <w:sz w:val="24"/>
          <w:szCs w:val="24"/>
          <w:highlight w:val="none"/>
          <w:shd w:val="clear"/>
          <w:lang w:val="en-US" w:eastAsia="zh-CN" w:bidi="ar"/>
        </w:rPr>
        <w:t>4</w:t>
      </w:r>
      <w:r>
        <w:rPr>
          <w:rFonts w:hint="eastAsia" w:ascii="宋体" w:hAnsi="宋体" w:eastAsia="宋体" w:cs="宋体"/>
          <w:color w:val="auto"/>
          <w:kern w:val="0"/>
          <w:sz w:val="24"/>
          <w:szCs w:val="24"/>
          <w:highlight w:val="none"/>
          <w:shd w:val="clear"/>
          <w:lang w:val="en-US" w:eastAsia="zh-CN" w:bidi="ar"/>
        </w:rPr>
        <w:t>条（金马</w:t>
      </w:r>
      <w:r>
        <w:rPr>
          <w:rFonts w:hint="default" w:ascii="Times New Roman" w:hAnsi="Times New Roman" w:eastAsia="宋体" w:cs="Times New Roman"/>
          <w:color w:val="auto"/>
          <w:kern w:val="0"/>
          <w:sz w:val="24"/>
          <w:szCs w:val="24"/>
          <w:highlight w:val="none"/>
          <w:shd w:val="clear"/>
          <w:lang w:val="en-US" w:eastAsia="zh-CN" w:bidi="ar"/>
        </w:rPr>
        <w:t>1#</w:t>
      </w:r>
      <w:r>
        <w:rPr>
          <w:rFonts w:hint="eastAsia" w:ascii="宋体" w:hAnsi="宋体" w:eastAsia="宋体" w:cs="宋体"/>
          <w:color w:val="auto"/>
          <w:kern w:val="0"/>
          <w:sz w:val="24"/>
          <w:szCs w:val="24"/>
          <w:highlight w:val="none"/>
          <w:shd w:val="clear"/>
          <w:lang w:val="en-US" w:eastAsia="zh-CN" w:bidi="ar"/>
        </w:rPr>
        <w:t>、</w:t>
      </w:r>
      <w:r>
        <w:rPr>
          <w:rFonts w:hint="default" w:ascii="Times New Roman" w:hAnsi="Times New Roman" w:eastAsia="宋体" w:cs="Times New Roman"/>
          <w:color w:val="auto"/>
          <w:kern w:val="0"/>
          <w:sz w:val="24"/>
          <w:szCs w:val="24"/>
          <w:highlight w:val="none"/>
          <w:shd w:val="clear"/>
          <w:lang w:val="en-US" w:eastAsia="zh-CN" w:bidi="ar"/>
        </w:rPr>
        <w:t>2#</w:t>
      </w:r>
      <w:r>
        <w:rPr>
          <w:rFonts w:hint="eastAsia" w:ascii="宋体" w:hAnsi="宋体" w:eastAsia="宋体" w:cs="宋体"/>
          <w:color w:val="auto"/>
          <w:kern w:val="0"/>
          <w:sz w:val="24"/>
          <w:szCs w:val="24"/>
          <w:highlight w:val="none"/>
          <w:shd w:val="clear"/>
          <w:lang w:val="en-US" w:eastAsia="zh-CN" w:bidi="ar"/>
        </w:rPr>
        <w:t>、</w:t>
      </w:r>
      <w:r>
        <w:rPr>
          <w:rFonts w:hint="default" w:ascii="Times New Roman" w:hAnsi="Times New Roman" w:eastAsia="宋体" w:cs="Times New Roman"/>
          <w:color w:val="auto"/>
          <w:kern w:val="0"/>
          <w:sz w:val="24"/>
          <w:szCs w:val="24"/>
          <w:highlight w:val="none"/>
          <w:shd w:val="clear"/>
          <w:lang w:val="en-US" w:eastAsia="zh-CN" w:bidi="ar"/>
        </w:rPr>
        <w:t>3#</w:t>
      </w:r>
      <w:r>
        <w:rPr>
          <w:rFonts w:hint="eastAsia" w:ascii="宋体" w:hAnsi="宋体" w:eastAsia="宋体" w:cs="宋体"/>
          <w:color w:val="auto"/>
          <w:kern w:val="0"/>
          <w:sz w:val="24"/>
          <w:szCs w:val="24"/>
          <w:highlight w:val="none"/>
          <w:shd w:val="clear"/>
          <w:lang w:val="en-US" w:eastAsia="zh-CN" w:bidi="ar"/>
        </w:rPr>
        <w:t>、</w:t>
      </w:r>
      <w:r>
        <w:rPr>
          <w:rFonts w:hint="default" w:ascii="Times New Roman" w:hAnsi="Times New Roman" w:eastAsia="宋体" w:cs="Times New Roman"/>
          <w:color w:val="auto"/>
          <w:kern w:val="0"/>
          <w:sz w:val="24"/>
          <w:szCs w:val="24"/>
          <w:highlight w:val="none"/>
          <w:shd w:val="clear"/>
          <w:lang w:val="en-US" w:eastAsia="zh-CN" w:bidi="ar"/>
        </w:rPr>
        <w:t>4#</w:t>
      </w:r>
      <w:r>
        <w:rPr>
          <w:rFonts w:hint="eastAsia" w:ascii="宋体" w:hAnsi="宋体" w:eastAsia="宋体" w:cs="宋体"/>
          <w:color w:val="auto"/>
          <w:kern w:val="0"/>
          <w:sz w:val="24"/>
          <w:szCs w:val="24"/>
          <w:highlight w:val="none"/>
          <w:shd w:val="clear"/>
          <w:lang w:val="en-US" w:eastAsia="zh-CN" w:bidi="ar"/>
        </w:rPr>
        <w:t>支管，</w:t>
      </w:r>
      <w:r>
        <w:rPr>
          <w:rFonts w:hint="eastAsia"/>
          <w:color w:val="auto"/>
          <w:sz w:val="24"/>
          <w:szCs w:val="24"/>
          <w:highlight w:val="none"/>
          <w:vertAlign w:val="baseline"/>
          <w:lang w:val="en-US" w:eastAsia="zh-CN"/>
        </w:rPr>
        <w:t>长分别为1.186km、1.968km、1.475km和0.567km</w:t>
      </w:r>
      <w:r>
        <w:rPr>
          <w:rFonts w:hint="eastAsia" w:ascii="宋体" w:hAnsi="宋体" w:eastAsia="宋体" w:cs="宋体"/>
          <w:color w:val="auto"/>
          <w:kern w:val="0"/>
          <w:sz w:val="24"/>
          <w:szCs w:val="24"/>
          <w:highlight w:val="none"/>
          <w:shd w:val="clear"/>
          <w:lang w:val="en-US" w:eastAsia="zh-CN" w:bidi="ar"/>
        </w:rPr>
        <w:t>），新建提水泵站</w:t>
      </w:r>
      <w:r>
        <w:rPr>
          <w:rFonts w:hint="default" w:ascii="Times New Roman" w:hAnsi="Times New Roman" w:eastAsia="宋体" w:cs="Times New Roman"/>
          <w:color w:val="auto"/>
          <w:kern w:val="0"/>
          <w:sz w:val="24"/>
          <w:szCs w:val="24"/>
          <w:highlight w:val="none"/>
          <w:shd w:val="clear"/>
          <w:lang w:val="en-US" w:eastAsia="zh-CN" w:bidi="ar"/>
        </w:rPr>
        <w:t>2</w:t>
      </w:r>
      <w:r>
        <w:rPr>
          <w:rFonts w:hint="eastAsia" w:ascii="宋体" w:hAnsi="宋体" w:eastAsia="宋体" w:cs="宋体"/>
          <w:color w:val="auto"/>
          <w:kern w:val="0"/>
          <w:sz w:val="24"/>
          <w:szCs w:val="24"/>
          <w:highlight w:val="none"/>
          <w:shd w:val="clear"/>
          <w:lang w:val="en-US" w:eastAsia="zh-CN" w:bidi="ar"/>
        </w:rPr>
        <w:t>座（平坦提水泵站、白秧树提水泵站）并配套</w:t>
      </w:r>
      <w:r>
        <w:rPr>
          <w:rFonts w:hint="default" w:ascii="Times New Roman" w:hAnsi="Times New Roman" w:eastAsia="宋体" w:cs="Times New Roman"/>
          <w:color w:val="auto"/>
          <w:kern w:val="0"/>
          <w:sz w:val="24"/>
          <w:szCs w:val="24"/>
          <w:highlight w:val="none"/>
          <w:shd w:val="clear"/>
          <w:lang w:val="en-US" w:eastAsia="zh-CN" w:bidi="ar"/>
        </w:rPr>
        <w:t>3</w:t>
      </w:r>
      <w:r>
        <w:rPr>
          <w:rFonts w:hint="eastAsia" w:ascii="宋体" w:hAnsi="宋体" w:eastAsia="宋体" w:cs="宋体"/>
          <w:color w:val="auto"/>
          <w:kern w:val="0"/>
          <w:sz w:val="24"/>
          <w:szCs w:val="24"/>
          <w:highlight w:val="none"/>
          <w:shd w:val="clear"/>
          <w:lang w:val="en-US" w:eastAsia="zh-CN" w:bidi="ar"/>
        </w:rPr>
        <w:t>条提水管道，（平坦泵站提水管道、白秧树泵站</w:t>
      </w:r>
      <w:r>
        <w:rPr>
          <w:rFonts w:hint="default" w:ascii="Times New Roman" w:hAnsi="Times New Roman" w:eastAsia="宋体" w:cs="Times New Roman"/>
          <w:color w:val="auto"/>
          <w:kern w:val="0"/>
          <w:sz w:val="24"/>
          <w:szCs w:val="24"/>
          <w:highlight w:val="none"/>
          <w:shd w:val="clear"/>
          <w:lang w:val="en-US" w:eastAsia="zh-CN" w:bidi="ar"/>
        </w:rPr>
        <w:t>1#</w:t>
      </w:r>
      <w:r>
        <w:rPr>
          <w:rFonts w:hint="eastAsia" w:ascii="宋体" w:hAnsi="宋体" w:eastAsia="宋体" w:cs="宋体"/>
          <w:color w:val="auto"/>
          <w:kern w:val="0"/>
          <w:sz w:val="24"/>
          <w:szCs w:val="24"/>
          <w:highlight w:val="none"/>
          <w:shd w:val="clear"/>
          <w:lang w:val="en-US" w:eastAsia="zh-CN" w:bidi="ar"/>
        </w:rPr>
        <w:t>提水管道、白秧树</w:t>
      </w:r>
      <w:r>
        <w:rPr>
          <w:rFonts w:hint="eastAsia" w:ascii="宋体" w:hAnsi="宋体" w:eastAsia="宋体" w:cs="宋体"/>
          <w:color w:val="auto"/>
          <w:kern w:val="0"/>
          <w:sz w:val="24"/>
          <w:szCs w:val="24"/>
          <w:lang w:val="en-US" w:eastAsia="zh-CN" w:bidi="ar"/>
        </w:rPr>
        <w:t>泵站</w:t>
      </w:r>
      <w:r>
        <w:rPr>
          <w:rFonts w:hint="default" w:ascii="Times New Roman" w:hAnsi="Times New Roman" w:eastAsia="宋体" w:cs="Times New Roman"/>
          <w:color w:val="auto"/>
          <w:kern w:val="0"/>
          <w:sz w:val="24"/>
          <w:szCs w:val="24"/>
          <w:lang w:val="en-US" w:eastAsia="zh-CN" w:bidi="ar"/>
        </w:rPr>
        <w:t>2#</w:t>
      </w:r>
      <w:r>
        <w:rPr>
          <w:rFonts w:hint="eastAsia" w:ascii="宋体" w:hAnsi="宋体" w:eastAsia="宋体" w:cs="宋体"/>
          <w:color w:val="auto"/>
          <w:kern w:val="0"/>
          <w:sz w:val="24"/>
          <w:szCs w:val="24"/>
          <w:lang w:val="en-US" w:eastAsia="zh-CN" w:bidi="ar"/>
        </w:rPr>
        <w:t>提水管道）。新建</w:t>
      </w:r>
      <w:r>
        <w:rPr>
          <w:rFonts w:hint="default" w:ascii="Times New Roman" w:hAnsi="Times New Roman" w:eastAsia="宋体" w:cs="Times New Roman"/>
          <w:color w:val="auto"/>
          <w:kern w:val="0"/>
          <w:sz w:val="24"/>
          <w:szCs w:val="24"/>
          <w:lang w:val="en-US" w:eastAsia="zh-CN" w:bidi="ar"/>
        </w:rPr>
        <w:t>1</w:t>
      </w:r>
      <w:r>
        <w:rPr>
          <w:rFonts w:hint="eastAsia" w:ascii="宋体" w:hAnsi="宋体" w:eastAsia="宋体" w:cs="宋体"/>
          <w:color w:val="auto"/>
          <w:kern w:val="0"/>
          <w:sz w:val="24"/>
          <w:szCs w:val="24"/>
          <w:lang w:val="en-US" w:eastAsia="zh-CN" w:bidi="ar"/>
        </w:rPr>
        <w:t>座建筑面积</w:t>
      </w:r>
      <w:r>
        <w:rPr>
          <w:rFonts w:hint="default" w:ascii="Times New Roman" w:hAnsi="Times New Roman" w:eastAsia="宋体" w:cs="Times New Roman"/>
          <w:color w:val="auto"/>
          <w:kern w:val="0"/>
          <w:sz w:val="24"/>
          <w:szCs w:val="24"/>
          <w:lang w:val="en-US" w:eastAsia="zh-CN" w:bidi="ar"/>
        </w:rPr>
        <w:t>464.58m²</w:t>
      </w:r>
      <w:r>
        <w:rPr>
          <w:rFonts w:hint="eastAsia" w:ascii="宋体" w:hAnsi="宋体" w:eastAsia="宋体" w:cs="宋体"/>
          <w:color w:val="auto"/>
          <w:kern w:val="0"/>
          <w:sz w:val="24"/>
          <w:szCs w:val="24"/>
          <w:lang w:val="en-US" w:eastAsia="zh-CN" w:bidi="ar"/>
        </w:rPr>
        <w:t>管理房及灌区信息化系统。</w:t>
      </w:r>
    </w:p>
    <w:bookmarkEnd w:id="348"/>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color w:val="auto"/>
          <w:highlight w:val="none"/>
          <w:vertAlign w:val="baseline"/>
          <w:lang w:val="en-US" w:eastAsia="zh-CN"/>
        </w:rPr>
      </w:pPr>
      <w:r>
        <w:rPr>
          <w:rFonts w:hint="eastAsia"/>
          <w:color w:val="auto"/>
          <w:highlight w:val="none"/>
          <w:vertAlign w:val="baseline"/>
          <w:lang w:val="en-US" w:eastAsia="zh-CN"/>
        </w:rPr>
        <w:t>可研与实施方案工程内容对比如下：</w:t>
      </w:r>
    </w:p>
    <w:p>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default"/>
          <w:b/>
          <w:bCs/>
          <w:color w:val="auto"/>
          <w:highlight w:val="none"/>
          <w:vertAlign w:val="baseline"/>
          <w:lang w:val="en-US" w:eastAsia="zh-CN"/>
        </w:rPr>
      </w:pPr>
      <w:r>
        <w:rPr>
          <w:rFonts w:hint="eastAsia"/>
          <w:b/>
          <w:bCs/>
          <w:color w:val="auto"/>
          <w:highlight w:val="none"/>
          <w:vertAlign w:val="baseline"/>
          <w:lang w:val="en-US" w:eastAsia="zh-CN"/>
        </w:rPr>
        <w:t>表2.3-1   可研与实施方案工程对比一览表</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1"/>
        <w:gridCol w:w="2373"/>
        <w:gridCol w:w="56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序号</w:t>
            </w:r>
          </w:p>
        </w:tc>
        <w:tc>
          <w:tcPr>
            <w:tcW w:w="237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lang w:val="en-US" w:eastAsia="zh-CN"/>
              </w:rPr>
              <w:t>可行性研究报告及批复</w:t>
            </w:r>
          </w:p>
        </w:tc>
        <w:tc>
          <w:tcPr>
            <w:tcW w:w="562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b/>
                <w:bCs/>
                <w:color w:val="auto"/>
                <w:sz w:val="21"/>
                <w:szCs w:val="21"/>
                <w:highlight w:val="none"/>
                <w:vertAlign w:val="baseline"/>
                <w:lang w:val="en-US" w:eastAsia="zh-CN"/>
              </w:rPr>
            </w:pPr>
            <w:r>
              <w:rPr>
                <w:rFonts w:hint="eastAsia"/>
                <w:b/>
                <w:bCs/>
                <w:color w:val="auto"/>
                <w:sz w:val="21"/>
                <w:szCs w:val="21"/>
                <w:highlight w:val="none"/>
                <w:lang w:val="en-US" w:eastAsia="zh-CN"/>
              </w:rPr>
              <w:t>实施方案及批复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w:t>
            </w:r>
          </w:p>
        </w:tc>
        <w:tc>
          <w:tcPr>
            <w:tcW w:w="237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562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color w:val="auto"/>
                <w:sz w:val="21"/>
                <w:szCs w:val="21"/>
                <w:highlight w:val="none"/>
                <w:lang w:val="en-US" w:eastAsia="zh-CN"/>
              </w:rPr>
            </w:pPr>
            <w:r>
              <w:rPr>
                <w:rFonts w:hint="eastAsia"/>
                <w:color w:val="auto"/>
                <w:sz w:val="21"/>
                <w:szCs w:val="21"/>
                <w:highlight w:val="none"/>
                <w:lang w:val="en-US" w:eastAsia="zh-CN"/>
              </w:rPr>
              <w:t>新建管首3.9万m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高位水池1座。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2</w:t>
            </w:r>
          </w:p>
        </w:tc>
        <w:tc>
          <w:tcPr>
            <w:tcW w:w="237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新建输水管道2条，平面管长20.173km。</w:t>
            </w:r>
          </w:p>
        </w:tc>
        <w:tc>
          <w:tcPr>
            <w:tcW w:w="562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新建1条输水北干管，北干管长10.158km。在北干管K3+160处新建金马分干管，长13.24km.。分别在金马分干管K2+690、K3+158、K10+233、K12+121处新建4条支管，4条支管管长分别为1.186km、1.968km、1.475km和0.567km。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3</w:t>
            </w:r>
          </w:p>
        </w:tc>
        <w:tc>
          <w:tcPr>
            <w:tcW w:w="237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新建提水泵站4座并配套4条提水管道，长6.85km。</w:t>
            </w:r>
          </w:p>
        </w:tc>
        <w:tc>
          <w:tcPr>
            <w:tcW w:w="562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新建提水泵站2座，分别为平坦提水泵站和白秧树提水泵站，并配套3条提水管道。平坦泵站提水管道长4.519km，</w:t>
            </w:r>
            <w:r>
              <w:rPr>
                <w:rFonts w:hint="eastAsia"/>
                <w:color w:val="0000FF"/>
                <w:sz w:val="21"/>
                <w:szCs w:val="21"/>
                <w:highlight w:val="none"/>
                <w:vertAlign w:val="baseline"/>
                <w:lang w:val="en-US" w:eastAsia="zh-CN"/>
              </w:rPr>
              <w:t>白秧树泵站1#提水管道长2.166km，白秧树泵站2#提水管道长2.653km。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1"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4</w:t>
            </w:r>
          </w:p>
        </w:tc>
        <w:tc>
          <w:tcPr>
            <w:tcW w:w="237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新建管理房450m</w:t>
            </w:r>
            <w:r>
              <w:rPr>
                <w:rFonts w:hint="eastAsia"/>
                <w:color w:val="auto"/>
                <w:sz w:val="21"/>
                <w:szCs w:val="21"/>
                <w:highlight w:val="none"/>
                <w:vertAlign w:val="superscript"/>
                <w:lang w:val="en-US" w:eastAsia="zh-CN"/>
              </w:rPr>
              <w:t>2</w:t>
            </w:r>
            <w:r>
              <w:rPr>
                <w:rFonts w:hint="eastAsia"/>
                <w:color w:val="auto"/>
                <w:sz w:val="21"/>
                <w:szCs w:val="21"/>
                <w:highlight w:val="none"/>
                <w:vertAlign w:val="baseline"/>
                <w:lang w:val="en-US" w:eastAsia="zh-CN"/>
              </w:rPr>
              <w:t>及灌区信息化系统。</w:t>
            </w:r>
          </w:p>
        </w:tc>
        <w:tc>
          <w:tcPr>
            <w:tcW w:w="562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新建1座464.58m</w:t>
            </w:r>
            <w:r>
              <w:rPr>
                <w:rFonts w:hint="eastAsia"/>
                <w:color w:val="auto"/>
                <w:sz w:val="21"/>
                <w:szCs w:val="21"/>
                <w:highlight w:val="none"/>
                <w:vertAlign w:val="superscript"/>
                <w:lang w:val="en-US" w:eastAsia="zh-CN"/>
              </w:rPr>
              <w:t>2</w:t>
            </w:r>
            <w:r>
              <w:rPr>
                <w:rFonts w:hint="eastAsia"/>
                <w:color w:val="auto"/>
                <w:sz w:val="21"/>
                <w:szCs w:val="21"/>
                <w:highlight w:val="none"/>
                <w:vertAlign w:val="baseline"/>
                <w:lang w:val="en-US" w:eastAsia="zh-CN"/>
              </w:rPr>
              <w:t>管理房（框架结构）及灌区信息化系统。</w:t>
            </w:r>
          </w:p>
        </w:tc>
      </w:tr>
    </w:tbl>
    <w:p>
      <w:pPr>
        <w:pStyle w:val="4"/>
        <w:bidi w:val="0"/>
        <w:rPr>
          <w:rFonts w:hint="default"/>
          <w:color w:val="auto"/>
          <w:lang w:val="en-US" w:eastAsia="zh-CN"/>
        </w:rPr>
      </w:pPr>
      <w:bookmarkStart w:id="349" w:name="_Toc21967"/>
      <w:bookmarkStart w:id="350" w:name="_Toc22129"/>
      <w:bookmarkStart w:id="351" w:name="_Toc17267"/>
      <w:r>
        <w:rPr>
          <w:rFonts w:hint="eastAsia"/>
          <w:color w:val="auto"/>
          <w:lang w:val="en-US" w:eastAsia="zh-CN"/>
        </w:rPr>
        <w:t>工程组成</w:t>
      </w:r>
      <w:bookmarkEnd w:id="349"/>
      <w:bookmarkEnd w:id="350"/>
      <w:bookmarkEnd w:id="351"/>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left"/>
        <w:textAlignment w:val="auto"/>
        <w:rPr>
          <w:rFonts w:hint="eastAsia" w:eastAsia="宋体"/>
          <w:color w:val="auto"/>
          <w:sz w:val="24"/>
          <w:szCs w:val="24"/>
          <w:highlight w:val="none"/>
          <w:lang w:val="en-US" w:eastAsia="zh-CN"/>
        </w:rPr>
      </w:pPr>
      <w:r>
        <w:rPr>
          <w:rFonts w:hint="eastAsia"/>
          <w:color w:val="auto"/>
          <w:sz w:val="24"/>
          <w:szCs w:val="24"/>
          <w:highlight w:val="none"/>
        </w:rPr>
        <w:t>工程包括</w:t>
      </w:r>
      <w:r>
        <w:rPr>
          <w:rFonts w:hint="eastAsia"/>
          <w:color w:val="auto"/>
          <w:sz w:val="24"/>
          <w:szCs w:val="24"/>
          <w:highlight w:val="none"/>
          <w:lang w:val="en-US" w:eastAsia="zh-CN"/>
        </w:rPr>
        <w:t>水源工程、</w:t>
      </w:r>
      <w:r>
        <w:rPr>
          <w:rFonts w:hint="eastAsia"/>
          <w:color w:val="auto"/>
          <w:sz w:val="24"/>
          <w:szCs w:val="24"/>
          <w:highlight w:val="none"/>
        </w:rPr>
        <w:t>输水工程、</w:t>
      </w:r>
      <w:r>
        <w:rPr>
          <w:rFonts w:hint="eastAsia"/>
          <w:color w:val="auto"/>
          <w:sz w:val="24"/>
          <w:szCs w:val="24"/>
          <w:highlight w:val="none"/>
          <w:lang w:val="en-US" w:eastAsia="zh-CN"/>
        </w:rPr>
        <w:t>泵站</w:t>
      </w:r>
      <w:r>
        <w:rPr>
          <w:rFonts w:hint="eastAsia"/>
          <w:color w:val="auto"/>
          <w:sz w:val="24"/>
          <w:szCs w:val="24"/>
          <w:highlight w:val="none"/>
        </w:rPr>
        <w:t>工程、</w:t>
      </w:r>
      <w:r>
        <w:rPr>
          <w:rFonts w:hint="eastAsia"/>
          <w:color w:val="auto"/>
          <w:sz w:val="24"/>
          <w:szCs w:val="24"/>
          <w:highlight w:val="none"/>
          <w:lang w:val="en-US" w:eastAsia="zh-CN"/>
        </w:rPr>
        <w:t>提水</w:t>
      </w:r>
      <w:r>
        <w:rPr>
          <w:rFonts w:hint="eastAsia"/>
          <w:color w:val="auto"/>
          <w:sz w:val="24"/>
          <w:szCs w:val="24"/>
          <w:highlight w:val="none"/>
        </w:rPr>
        <w:t>工程</w:t>
      </w:r>
      <w:r>
        <w:rPr>
          <w:rFonts w:hint="eastAsia"/>
          <w:color w:val="auto"/>
          <w:sz w:val="24"/>
          <w:szCs w:val="24"/>
          <w:highlight w:val="none"/>
          <w:lang w:eastAsia="zh-CN"/>
        </w:rPr>
        <w:t>、泵站工程、</w:t>
      </w:r>
      <w:r>
        <w:rPr>
          <w:rFonts w:hint="eastAsia"/>
          <w:color w:val="auto"/>
          <w:highlight w:val="none"/>
          <w:vertAlign w:val="baseline"/>
          <w:lang w:val="en-US" w:eastAsia="zh-CN"/>
        </w:rPr>
        <w:t>管理房及灌区信息化系</w:t>
      </w:r>
      <w:r>
        <w:rPr>
          <w:rFonts w:hint="eastAsia"/>
          <w:color w:val="auto"/>
          <w:sz w:val="24"/>
          <w:szCs w:val="24"/>
          <w:highlight w:val="none"/>
          <w:lang w:eastAsia="zh-CN"/>
        </w:rPr>
        <w:t>。</w:t>
      </w:r>
      <w:r>
        <w:rPr>
          <w:rFonts w:hint="eastAsia"/>
          <w:color w:val="auto"/>
          <w:sz w:val="24"/>
          <w:szCs w:val="24"/>
          <w:highlight w:val="none"/>
        </w:rPr>
        <w:t>根据各工程功能分为主体工程、</w:t>
      </w:r>
      <w:r>
        <w:rPr>
          <w:rFonts w:hint="eastAsia"/>
          <w:color w:val="auto"/>
          <w:sz w:val="24"/>
          <w:szCs w:val="24"/>
          <w:highlight w:val="none"/>
          <w:lang w:val="en-US" w:eastAsia="zh-CN"/>
        </w:rPr>
        <w:t>辅助</w:t>
      </w:r>
      <w:r>
        <w:rPr>
          <w:rFonts w:hint="eastAsia"/>
          <w:color w:val="auto"/>
          <w:sz w:val="24"/>
          <w:szCs w:val="24"/>
          <w:highlight w:val="none"/>
        </w:rPr>
        <w:t>工程、</w:t>
      </w:r>
      <w:r>
        <w:rPr>
          <w:rFonts w:hint="eastAsia"/>
          <w:color w:val="auto"/>
          <w:sz w:val="24"/>
          <w:szCs w:val="24"/>
          <w:highlight w:val="none"/>
          <w:lang w:val="en-US" w:eastAsia="zh-CN"/>
        </w:rPr>
        <w:t>公用工程、环保</w:t>
      </w:r>
      <w:r>
        <w:rPr>
          <w:rFonts w:hint="eastAsia"/>
          <w:color w:val="auto"/>
          <w:sz w:val="24"/>
          <w:szCs w:val="24"/>
          <w:highlight w:val="none"/>
        </w:rPr>
        <w:t>工程，各工程组成详见下表。</w:t>
      </w:r>
      <w:r>
        <w:rPr>
          <w:rFonts w:hint="eastAsia"/>
          <w:color w:val="auto"/>
          <w:sz w:val="24"/>
          <w:szCs w:val="24"/>
          <w:highlight w:val="none"/>
          <w:lang w:val="en-US" w:eastAsia="zh-CN"/>
        </w:rPr>
        <w:t xml:space="preserve"> </w:t>
      </w:r>
    </w:p>
    <w:p>
      <w:pPr>
        <w:pStyle w:val="40"/>
        <w:bidi w:val="0"/>
        <w:rPr>
          <w:rFonts w:hint="default"/>
          <w:color w:val="0000FF"/>
          <w:highlight w:val="none"/>
          <w:vertAlign w:val="baseline"/>
          <w:lang w:val="en-US" w:eastAsia="zh-CN"/>
        </w:rPr>
      </w:pPr>
      <w:r>
        <w:rPr>
          <w:rFonts w:hint="eastAsia"/>
          <w:color w:val="0000FF"/>
          <w:highlight w:val="none"/>
          <w:lang w:val="en-US" w:eastAsia="zh-CN"/>
        </w:rPr>
        <w:t>表2.3.1-1  建设项目工程组成一览表</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976"/>
        <w:gridCol w:w="65"/>
        <w:gridCol w:w="1145"/>
        <w:gridCol w:w="55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名称</w:t>
            </w:r>
          </w:p>
        </w:tc>
        <w:tc>
          <w:tcPr>
            <w:tcW w:w="1283" w:type="pct"/>
            <w:gridSpan w:val="3"/>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工程组成</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建设内容及规模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438" w:type="pct"/>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主体工程</w:t>
            </w:r>
          </w:p>
        </w:tc>
        <w:tc>
          <w:tcPr>
            <w:tcW w:w="611" w:type="pct"/>
            <w:gridSpan w:val="2"/>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kern w:val="2"/>
                <w:sz w:val="21"/>
                <w:szCs w:val="21"/>
                <w:highlight w:val="none"/>
                <w:lang w:val="en-US" w:eastAsia="zh-CN" w:bidi="ar-SA"/>
              </w:rPr>
              <w:t>水源</w:t>
            </w:r>
            <w:r>
              <w:rPr>
                <w:rFonts w:hint="eastAsia" w:cs="Times New Roman"/>
                <w:color w:val="auto"/>
                <w:kern w:val="2"/>
                <w:sz w:val="21"/>
                <w:szCs w:val="21"/>
                <w:highlight w:val="none"/>
                <w:lang w:val="en-US" w:eastAsia="zh-CN" w:bidi="ar-SA"/>
              </w:rPr>
              <w:t>工程</w:t>
            </w:r>
          </w:p>
        </w:tc>
        <w:tc>
          <w:tcPr>
            <w:tcW w:w="1145" w:type="dxa"/>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高位水池</w:t>
            </w:r>
          </w:p>
        </w:tc>
        <w:tc>
          <w:tcPr>
            <w:tcW w:w="5581"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left"/>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《金沙江乌东德水电站水资源综合利用</w:t>
            </w:r>
            <w:r>
              <w:rPr>
                <w:rFonts w:hint="default" w:ascii="Times New Roman" w:hAnsi="Times New Roman" w:eastAsia="宋体"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元谋县姜驿乡提水工程》</w:t>
            </w:r>
            <w:r>
              <w:rPr>
                <w:rFonts w:hint="default" w:ascii="Times New Roman" w:hAnsi="Times New Roman" w:eastAsia="宋体" w:cs="Times New Roman"/>
                <w:color w:val="auto"/>
                <w:kern w:val="2"/>
                <w:sz w:val="21"/>
                <w:szCs w:val="21"/>
                <w:highlight w:val="none"/>
                <w:lang w:val="en-US" w:eastAsia="zh-CN" w:bidi="ar-SA"/>
              </w:rPr>
              <w:t>2040m³</w:t>
            </w:r>
            <w:r>
              <w:rPr>
                <w:rFonts w:hint="eastAsia" w:ascii="Times New Roman" w:hAnsi="Times New Roman" w:eastAsia="宋体" w:cs="Times New Roman"/>
                <w:color w:val="auto"/>
                <w:kern w:val="2"/>
                <w:sz w:val="21"/>
                <w:szCs w:val="21"/>
                <w:highlight w:val="none"/>
                <w:lang w:val="en-US" w:eastAsia="zh-CN" w:bidi="ar-SA"/>
              </w:rPr>
              <w:t>高位水池</w:t>
            </w:r>
            <w:r>
              <w:rPr>
                <w:rFonts w:hint="eastAsia" w:cs="Times New Roman"/>
                <w:color w:val="auto"/>
                <w:kern w:val="2"/>
                <w:sz w:val="21"/>
                <w:szCs w:val="21"/>
                <w:highlight w:val="none"/>
                <w:lang w:val="en-US" w:eastAsia="zh-CN" w:bidi="ar-SA"/>
              </w:rPr>
              <w:t>为本次水源</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在该高位水池旁新建</w:t>
            </w:r>
            <w:r>
              <w:rPr>
                <w:rFonts w:hint="default" w:ascii="Times New Roman" w:hAnsi="Times New Roman" w:eastAsia="宋体" w:cs="Times New Roman"/>
                <w:color w:val="auto"/>
                <w:kern w:val="2"/>
                <w:sz w:val="21"/>
                <w:szCs w:val="21"/>
                <w:highlight w:val="none"/>
                <w:lang w:val="en-US" w:eastAsia="zh-CN" w:bidi="ar-SA"/>
              </w:rPr>
              <w:t>3.9</w:t>
            </w:r>
            <w:r>
              <w:rPr>
                <w:rFonts w:hint="eastAsia" w:ascii="Times New Roman" w:hAnsi="Times New Roman" w:eastAsia="宋体" w:cs="Times New Roman"/>
                <w:color w:val="auto"/>
                <w:kern w:val="2"/>
                <w:sz w:val="21"/>
                <w:szCs w:val="21"/>
                <w:highlight w:val="none"/>
                <w:lang w:val="en-US" w:eastAsia="zh-CN" w:bidi="ar-SA"/>
              </w:rPr>
              <w:t>万</w:t>
            </w:r>
            <w:r>
              <w:rPr>
                <w:rFonts w:hint="default" w:ascii="Times New Roman" w:hAnsi="Times New Roman" w:eastAsia="宋体" w:cs="Times New Roman"/>
                <w:color w:val="auto"/>
                <w:kern w:val="2"/>
                <w:sz w:val="21"/>
                <w:szCs w:val="21"/>
                <w:highlight w:val="none"/>
                <w:lang w:val="en-US" w:eastAsia="zh-CN" w:bidi="ar-SA"/>
              </w:rPr>
              <w:t>m³</w:t>
            </w:r>
            <w:r>
              <w:rPr>
                <w:rFonts w:hint="eastAsia" w:ascii="Times New Roman" w:hAnsi="Times New Roman" w:eastAsia="宋体" w:cs="Times New Roman"/>
                <w:color w:val="auto"/>
                <w:kern w:val="2"/>
                <w:sz w:val="21"/>
                <w:szCs w:val="21"/>
                <w:highlight w:val="none"/>
                <w:lang w:val="en-US" w:eastAsia="zh-CN" w:bidi="ar-SA"/>
              </w:rPr>
              <w:t>管首高位调节水池位</w:t>
            </w:r>
            <w:r>
              <w:rPr>
                <w:rFonts w:hint="eastAsia" w:cs="Times New Roman"/>
                <w:color w:val="auto"/>
                <w:kern w:val="2"/>
                <w:sz w:val="21"/>
                <w:szCs w:val="21"/>
                <w:highlight w:val="none"/>
                <w:lang w:val="en-US" w:eastAsia="zh-CN" w:bidi="ar-SA"/>
              </w:rPr>
              <w:t>取水</w:t>
            </w:r>
            <w:r>
              <w:rPr>
                <w:rFonts w:hint="eastAsia" w:ascii="Times New Roman" w:hAnsi="Times New Roman" w:eastAsia="宋体" w:cs="Times New Roman"/>
                <w:color w:val="auto"/>
                <w:kern w:val="2"/>
                <w:sz w:val="21"/>
                <w:szCs w:val="21"/>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kern w:val="2"/>
                <w:sz w:val="21"/>
                <w:szCs w:val="21"/>
                <w:highlight w:val="none"/>
                <w:lang w:val="en-US" w:eastAsia="zh-CN" w:bidi="ar-SA"/>
              </w:rPr>
            </w:pPr>
          </w:p>
        </w:tc>
        <w:tc>
          <w:tcPr>
            <w:tcW w:w="611" w:type="pct"/>
            <w:gridSpan w:val="2"/>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672"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0000FF"/>
                <w:kern w:val="2"/>
                <w:sz w:val="21"/>
                <w:szCs w:val="21"/>
                <w:highlight w:val="none"/>
                <w:lang w:val="en-US" w:eastAsia="zh-CN" w:bidi="ar-SA"/>
              </w:rPr>
            </w:pPr>
            <w:r>
              <w:rPr>
                <w:rFonts w:hint="eastAsia" w:cs="Times New Roman"/>
                <w:color w:val="0000FF"/>
                <w:kern w:val="2"/>
                <w:sz w:val="21"/>
                <w:szCs w:val="21"/>
                <w:highlight w:val="none"/>
                <w:lang w:val="en-US" w:eastAsia="zh-CN" w:bidi="ar-SA"/>
              </w:rPr>
              <w:t>引水管</w:t>
            </w:r>
          </w:p>
        </w:tc>
        <w:tc>
          <w:tcPr>
            <w:tcW w:w="32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left"/>
              <w:rPr>
                <w:rFonts w:hint="default" w:ascii="Times New Roman" w:hAnsi="Times New Roman" w:eastAsia="宋体" w:cs="Times New Roman"/>
                <w:color w:val="0000FF"/>
                <w:kern w:val="2"/>
                <w:sz w:val="21"/>
                <w:szCs w:val="21"/>
                <w:highlight w:val="none"/>
                <w:lang w:val="en-US" w:eastAsia="zh-CN" w:bidi="ar-SA"/>
              </w:rPr>
            </w:pPr>
            <w:r>
              <w:rPr>
                <w:rFonts w:hint="eastAsia" w:cs="Times New Roman"/>
                <w:color w:val="0000FF"/>
                <w:kern w:val="2"/>
                <w:sz w:val="21"/>
                <w:szCs w:val="21"/>
                <w:highlight w:val="none"/>
                <w:lang w:val="en-US" w:eastAsia="zh-CN" w:bidi="ar-SA"/>
              </w:rPr>
              <w:t>由长42m，管径DN800的引水管，将</w:t>
            </w:r>
            <w:r>
              <w:rPr>
                <w:rFonts w:hint="default" w:ascii="Times New Roman" w:hAnsi="Times New Roman" w:eastAsia="宋体" w:cs="Times New Roman"/>
                <w:color w:val="0000FF"/>
                <w:kern w:val="2"/>
                <w:sz w:val="21"/>
                <w:szCs w:val="21"/>
                <w:highlight w:val="none"/>
                <w:lang w:val="en-US" w:eastAsia="zh-CN" w:bidi="ar-SA"/>
              </w:rPr>
              <w:t>2040m³</w:t>
            </w:r>
            <w:r>
              <w:rPr>
                <w:rFonts w:hint="eastAsia" w:ascii="Times New Roman" w:hAnsi="Times New Roman" w:eastAsia="宋体" w:cs="Times New Roman"/>
                <w:color w:val="0000FF"/>
                <w:kern w:val="2"/>
                <w:sz w:val="21"/>
                <w:szCs w:val="21"/>
                <w:highlight w:val="none"/>
                <w:lang w:val="en-US" w:eastAsia="zh-CN" w:bidi="ar-SA"/>
              </w:rPr>
              <w:t>高位水池</w:t>
            </w:r>
            <w:r>
              <w:rPr>
                <w:rFonts w:hint="eastAsia" w:cs="Times New Roman"/>
                <w:color w:val="0000FF"/>
                <w:kern w:val="2"/>
                <w:sz w:val="21"/>
                <w:szCs w:val="21"/>
                <w:highlight w:val="none"/>
                <w:lang w:val="en-US" w:eastAsia="zh-CN" w:bidi="ar-SA"/>
              </w:rPr>
              <w:t>的水引至本项目</w:t>
            </w:r>
            <w:r>
              <w:rPr>
                <w:rFonts w:hint="default" w:ascii="Times New Roman" w:hAnsi="Times New Roman" w:eastAsia="宋体" w:cs="Times New Roman"/>
                <w:color w:val="0000FF"/>
                <w:kern w:val="2"/>
                <w:sz w:val="21"/>
                <w:szCs w:val="21"/>
                <w:highlight w:val="none"/>
                <w:lang w:val="en-US" w:eastAsia="zh-CN" w:bidi="ar-SA"/>
              </w:rPr>
              <w:t>3.9</w:t>
            </w:r>
            <w:r>
              <w:rPr>
                <w:rFonts w:hint="eastAsia" w:ascii="Times New Roman" w:hAnsi="Times New Roman" w:eastAsia="宋体" w:cs="Times New Roman"/>
                <w:color w:val="0000FF"/>
                <w:kern w:val="2"/>
                <w:sz w:val="21"/>
                <w:szCs w:val="21"/>
                <w:highlight w:val="none"/>
                <w:lang w:val="en-US" w:eastAsia="zh-CN" w:bidi="ar-SA"/>
              </w:rPr>
              <w:t>万</w:t>
            </w:r>
            <w:r>
              <w:rPr>
                <w:rFonts w:hint="default" w:ascii="Times New Roman" w:hAnsi="Times New Roman" w:eastAsia="宋体" w:cs="Times New Roman"/>
                <w:color w:val="0000FF"/>
                <w:kern w:val="2"/>
                <w:sz w:val="21"/>
                <w:szCs w:val="21"/>
                <w:highlight w:val="none"/>
                <w:lang w:val="en-US" w:eastAsia="zh-CN" w:bidi="ar-SA"/>
              </w:rPr>
              <w:t>m³</w:t>
            </w:r>
            <w:r>
              <w:rPr>
                <w:rFonts w:hint="eastAsia" w:cs="Times New Roman"/>
                <w:color w:val="0000FF"/>
                <w:kern w:val="2"/>
                <w:sz w:val="21"/>
                <w:szCs w:val="21"/>
                <w:highlight w:val="none"/>
                <w:lang w:val="en-US" w:eastAsia="zh-CN" w:bidi="ar-SA"/>
              </w:rPr>
              <w:t>的</w:t>
            </w:r>
            <w:r>
              <w:rPr>
                <w:rFonts w:hint="eastAsia" w:ascii="Times New Roman" w:hAnsi="Times New Roman" w:eastAsia="宋体" w:cs="Times New Roman"/>
                <w:color w:val="0000FF"/>
                <w:kern w:val="2"/>
                <w:sz w:val="21"/>
                <w:szCs w:val="21"/>
                <w:highlight w:val="none"/>
                <w:lang w:val="en-US" w:eastAsia="zh-CN" w:bidi="ar-SA"/>
              </w:rPr>
              <w:t>管首高位调节水池</w:t>
            </w:r>
            <w:r>
              <w:rPr>
                <w:rFonts w:hint="eastAsia" w:cs="Times New Roman"/>
                <w:color w:val="0000FF"/>
                <w:kern w:val="2"/>
                <w:sz w:val="21"/>
                <w:szCs w:val="21"/>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5" w:hRule="atLeast"/>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kern w:val="2"/>
                <w:sz w:val="21"/>
                <w:szCs w:val="21"/>
                <w:highlight w:val="none"/>
                <w:lang w:val="en-US" w:eastAsia="zh-CN" w:bidi="ar-SA"/>
              </w:rPr>
            </w:pPr>
          </w:p>
        </w:tc>
        <w:tc>
          <w:tcPr>
            <w:tcW w:w="611" w:type="pct"/>
            <w:gridSpan w:val="2"/>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输水工程区</w:t>
            </w:r>
          </w:p>
        </w:tc>
        <w:tc>
          <w:tcPr>
            <w:tcW w:w="672"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北干管</w:t>
            </w:r>
          </w:p>
        </w:tc>
        <w:tc>
          <w:tcPr>
            <w:tcW w:w="32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left"/>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北干管从</w:t>
            </w:r>
            <w:r>
              <w:rPr>
                <w:rFonts w:hint="default" w:ascii="Times New Roman" w:hAnsi="Times New Roman" w:eastAsia="宋体" w:cs="Times New Roman"/>
                <w:color w:val="auto"/>
                <w:kern w:val="2"/>
                <w:sz w:val="21"/>
                <w:szCs w:val="21"/>
                <w:highlight w:val="none"/>
                <w:lang w:val="en-US" w:eastAsia="zh-CN" w:bidi="ar-SA"/>
              </w:rPr>
              <w:t>3.9</w:t>
            </w:r>
            <w:r>
              <w:rPr>
                <w:rFonts w:hint="eastAsia" w:ascii="Times New Roman" w:hAnsi="Times New Roman" w:eastAsia="宋体" w:cs="Times New Roman"/>
                <w:color w:val="auto"/>
                <w:kern w:val="2"/>
                <w:sz w:val="21"/>
                <w:szCs w:val="21"/>
                <w:highlight w:val="none"/>
                <w:lang w:val="en-US" w:eastAsia="zh-CN" w:bidi="ar-SA"/>
              </w:rPr>
              <w:t>万</w:t>
            </w:r>
            <w:r>
              <w:rPr>
                <w:rFonts w:hint="default" w:ascii="Times New Roman" w:hAnsi="Times New Roman" w:eastAsia="宋体" w:cs="Times New Roman"/>
                <w:color w:val="auto"/>
                <w:kern w:val="2"/>
                <w:sz w:val="21"/>
                <w:szCs w:val="21"/>
                <w:highlight w:val="none"/>
                <w:lang w:val="en-US" w:eastAsia="zh-CN" w:bidi="ar-SA"/>
              </w:rPr>
              <w:t>m³</w:t>
            </w:r>
            <w:r>
              <w:rPr>
                <w:rFonts w:hint="eastAsia" w:ascii="Times New Roman" w:hAnsi="Times New Roman" w:eastAsia="宋体" w:cs="Times New Roman"/>
                <w:color w:val="auto"/>
                <w:kern w:val="2"/>
                <w:sz w:val="21"/>
                <w:szCs w:val="21"/>
                <w:highlight w:val="none"/>
                <w:lang w:val="en-US" w:eastAsia="zh-CN" w:bidi="ar-SA"/>
              </w:rPr>
              <w:t>高位调节水池取水，管道沿</w:t>
            </w:r>
            <w:r>
              <w:rPr>
                <w:rFonts w:hint="eastAsia" w:cs="Times New Roman"/>
                <w:color w:val="0000FF"/>
                <w:kern w:val="2"/>
                <w:sz w:val="21"/>
                <w:szCs w:val="21"/>
                <w:highlight w:val="none"/>
                <w:lang w:val="en-US" w:eastAsia="zh-CN" w:bidi="ar-SA"/>
              </w:rPr>
              <w:t>华峰</w:t>
            </w:r>
            <w:r>
              <w:rPr>
                <w:rFonts w:hint="eastAsia" w:ascii="Times New Roman" w:hAnsi="Times New Roman" w:eastAsia="宋体" w:cs="Times New Roman"/>
                <w:color w:val="0000FF"/>
                <w:kern w:val="2"/>
                <w:sz w:val="21"/>
                <w:szCs w:val="21"/>
                <w:highlight w:val="none"/>
                <w:lang w:val="en-US" w:eastAsia="zh-CN" w:bidi="ar-SA"/>
              </w:rPr>
              <w:t>村</w:t>
            </w:r>
            <w:r>
              <w:rPr>
                <w:rFonts w:hint="eastAsia" w:ascii="Times New Roman" w:hAnsi="Times New Roman" w:eastAsia="宋体" w:cs="Times New Roman"/>
                <w:color w:val="auto"/>
                <w:kern w:val="2"/>
                <w:sz w:val="21"/>
                <w:szCs w:val="21"/>
                <w:highlight w:val="none"/>
                <w:lang w:val="en-US" w:eastAsia="zh-CN" w:bidi="ar-SA"/>
              </w:rPr>
              <w:t>顺乡村道路布置，途径</w:t>
            </w:r>
            <w:r>
              <w:rPr>
                <w:rFonts w:hint="eastAsia" w:cs="Times New Roman"/>
                <w:color w:val="auto"/>
                <w:kern w:val="2"/>
                <w:sz w:val="21"/>
                <w:szCs w:val="21"/>
                <w:highlight w:val="none"/>
                <w:lang w:val="en-US" w:eastAsia="zh-CN" w:bidi="ar-SA"/>
              </w:rPr>
              <w:t>羊腊席</w:t>
            </w:r>
            <w:r>
              <w:rPr>
                <w:rFonts w:hint="eastAsia" w:ascii="Times New Roman" w:hAnsi="Times New Roman" w:eastAsia="宋体" w:cs="Times New Roman"/>
                <w:color w:val="auto"/>
                <w:kern w:val="2"/>
                <w:sz w:val="21"/>
                <w:szCs w:val="21"/>
                <w:highlight w:val="none"/>
                <w:lang w:val="en-US" w:eastAsia="zh-CN" w:bidi="ar-SA"/>
              </w:rPr>
              <w:t>村、姜驿大村、拉黑沟至白杨树村。北干管平面管长</w:t>
            </w:r>
            <w:r>
              <w:rPr>
                <w:rFonts w:hint="default" w:ascii="Times New Roman" w:hAnsi="Times New Roman" w:eastAsia="宋体" w:cs="Times New Roman"/>
                <w:color w:val="auto"/>
                <w:kern w:val="2"/>
                <w:sz w:val="21"/>
                <w:szCs w:val="21"/>
                <w:highlight w:val="none"/>
                <w:lang w:val="en-US" w:eastAsia="zh-CN" w:bidi="ar-SA"/>
              </w:rPr>
              <w:t>10.158km</w:t>
            </w:r>
            <w:r>
              <w:rPr>
                <w:rFonts w:hint="eastAsia" w:ascii="Times New Roman" w:hAnsi="Times New Roman" w:eastAsia="宋体" w:cs="Times New Roman"/>
                <w:color w:val="auto"/>
                <w:kern w:val="2"/>
                <w:sz w:val="21"/>
                <w:szCs w:val="21"/>
                <w:highlight w:val="none"/>
                <w:lang w:val="en-US" w:eastAsia="zh-CN" w:bidi="ar-SA"/>
              </w:rPr>
              <w:t>，管首流量</w:t>
            </w:r>
            <w:r>
              <w:rPr>
                <w:rFonts w:hint="default" w:ascii="Times New Roman" w:hAnsi="Times New Roman" w:eastAsia="宋体" w:cs="Times New Roman"/>
                <w:color w:val="auto"/>
                <w:kern w:val="2"/>
                <w:sz w:val="21"/>
                <w:szCs w:val="21"/>
                <w:highlight w:val="none"/>
                <w:lang w:val="en-US" w:eastAsia="zh-CN" w:bidi="ar-SA"/>
              </w:rPr>
              <w:t>Q=0.8638m³/s</w:t>
            </w:r>
            <w:r>
              <w:rPr>
                <w:rFonts w:hint="eastAsia" w:ascii="Times New Roman" w:hAnsi="Times New Roman" w:eastAsia="宋体" w:cs="Times New Roman"/>
                <w:color w:val="auto"/>
                <w:kern w:val="2"/>
                <w:sz w:val="21"/>
                <w:szCs w:val="21"/>
                <w:highlight w:val="none"/>
                <w:lang w:val="en-US" w:eastAsia="zh-CN" w:bidi="ar-SA"/>
              </w:rPr>
              <w:t>，管材采用</w:t>
            </w:r>
            <w:r>
              <w:rPr>
                <w:rFonts w:hint="default" w:ascii="Times New Roman" w:hAnsi="Times New Roman" w:eastAsia="宋体" w:cs="Times New Roman"/>
                <w:color w:val="auto"/>
                <w:kern w:val="2"/>
                <w:sz w:val="21"/>
                <w:szCs w:val="21"/>
                <w:highlight w:val="none"/>
                <w:lang w:val="en-US" w:eastAsia="zh-CN" w:bidi="ar-SA"/>
              </w:rPr>
              <w:t>Q235B</w:t>
            </w:r>
            <w:r>
              <w:rPr>
                <w:rFonts w:hint="eastAsia" w:ascii="Times New Roman" w:hAnsi="Times New Roman" w:eastAsia="宋体" w:cs="Times New Roman"/>
                <w:color w:val="auto"/>
                <w:kern w:val="2"/>
                <w:sz w:val="21"/>
                <w:szCs w:val="21"/>
                <w:highlight w:val="none"/>
                <w:lang w:val="en-US" w:eastAsia="zh-CN" w:bidi="ar-SA"/>
              </w:rPr>
              <w:t>螺旋钢管，管径</w:t>
            </w:r>
            <w:r>
              <w:rPr>
                <w:rFonts w:hint="default" w:ascii="Times New Roman" w:hAnsi="Times New Roman" w:eastAsia="宋体" w:cs="Times New Roman"/>
                <w:color w:val="auto"/>
                <w:kern w:val="2"/>
                <w:sz w:val="21"/>
                <w:szCs w:val="21"/>
                <w:highlight w:val="none"/>
                <w:lang w:val="en-US" w:eastAsia="zh-CN" w:bidi="ar-SA"/>
              </w:rPr>
              <w:t>DN800</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DN700</w:t>
            </w:r>
            <w:r>
              <w:rPr>
                <w:rFonts w:hint="eastAsia" w:ascii="Times New Roman" w:hAnsi="Times New Roman" w:eastAsia="宋体" w:cs="Times New Roman"/>
                <w:color w:val="auto"/>
                <w:kern w:val="2"/>
                <w:sz w:val="21"/>
                <w:szCs w:val="21"/>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1" w:hRule="atLeast"/>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kern w:val="2"/>
                <w:sz w:val="21"/>
                <w:szCs w:val="21"/>
                <w:highlight w:val="none"/>
                <w:lang w:val="en-US" w:eastAsia="zh-CN" w:bidi="ar-SA"/>
              </w:rPr>
            </w:pPr>
          </w:p>
        </w:tc>
        <w:tc>
          <w:tcPr>
            <w:tcW w:w="611" w:type="pct"/>
            <w:gridSpan w:val="2"/>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672"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金马分干管</w:t>
            </w:r>
          </w:p>
        </w:tc>
        <w:tc>
          <w:tcPr>
            <w:tcW w:w="32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left"/>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金马分干管从北干管里程K</w:t>
            </w:r>
            <w:r>
              <w:rPr>
                <w:rFonts w:hint="default" w:ascii="Times New Roman" w:hAnsi="Times New Roman" w:eastAsia="宋体" w:cs="Times New Roman"/>
                <w:color w:val="auto"/>
                <w:kern w:val="2"/>
                <w:sz w:val="21"/>
                <w:szCs w:val="21"/>
                <w:highlight w:val="none"/>
                <w:lang w:val="en-US" w:eastAsia="zh-CN" w:bidi="ar-SA"/>
              </w:rPr>
              <w:t>3+160</w:t>
            </w:r>
            <w:r>
              <w:rPr>
                <w:rFonts w:hint="eastAsia" w:ascii="Times New Roman" w:hAnsi="Times New Roman" w:eastAsia="宋体" w:cs="Times New Roman"/>
                <w:color w:val="auto"/>
                <w:kern w:val="2"/>
                <w:sz w:val="21"/>
                <w:szCs w:val="21"/>
                <w:highlight w:val="none"/>
                <w:lang w:val="en-US" w:eastAsia="zh-CN" w:bidi="ar-SA"/>
              </w:rPr>
              <w:t>处搭接，并顺火焰山山脊跨布置跨过沙沟箐到阿洒姑，在途径干海子、他马嘎达到棋盘山高位水池。金马分干管平面管长</w:t>
            </w:r>
            <w:r>
              <w:rPr>
                <w:rFonts w:hint="default" w:ascii="Times New Roman" w:hAnsi="Times New Roman" w:eastAsia="宋体" w:cs="Times New Roman"/>
                <w:color w:val="auto"/>
                <w:kern w:val="2"/>
                <w:sz w:val="21"/>
                <w:szCs w:val="21"/>
                <w:highlight w:val="none"/>
                <w:lang w:val="en-US" w:eastAsia="zh-CN" w:bidi="ar-SA"/>
              </w:rPr>
              <w:t>13.24km</w:t>
            </w:r>
            <w:r>
              <w:rPr>
                <w:rFonts w:hint="eastAsia" w:ascii="Times New Roman" w:hAnsi="Times New Roman" w:eastAsia="宋体" w:cs="Times New Roman"/>
                <w:color w:val="auto"/>
                <w:kern w:val="2"/>
                <w:sz w:val="21"/>
                <w:szCs w:val="21"/>
                <w:highlight w:val="none"/>
                <w:lang w:val="en-US" w:eastAsia="zh-CN" w:bidi="ar-SA"/>
              </w:rPr>
              <w:t>，管首流量</w:t>
            </w:r>
            <w:r>
              <w:rPr>
                <w:rFonts w:hint="default" w:ascii="Times New Roman" w:hAnsi="Times New Roman" w:eastAsia="宋体" w:cs="Times New Roman"/>
                <w:color w:val="auto"/>
                <w:kern w:val="2"/>
                <w:sz w:val="21"/>
                <w:szCs w:val="21"/>
                <w:highlight w:val="none"/>
                <w:lang w:val="en-US" w:eastAsia="zh-CN" w:bidi="ar-SA"/>
              </w:rPr>
              <w:t>0.2887m³/s</w:t>
            </w:r>
            <w:r>
              <w:rPr>
                <w:rFonts w:hint="eastAsia" w:ascii="Times New Roman" w:hAnsi="Times New Roman" w:eastAsia="宋体" w:cs="Times New Roman"/>
                <w:color w:val="auto"/>
                <w:kern w:val="2"/>
                <w:sz w:val="21"/>
                <w:szCs w:val="21"/>
                <w:highlight w:val="none"/>
                <w:lang w:val="en-US" w:eastAsia="zh-CN" w:bidi="ar-SA"/>
              </w:rPr>
              <w:t>，管材采用</w:t>
            </w:r>
            <w:r>
              <w:rPr>
                <w:rFonts w:hint="default" w:ascii="Times New Roman" w:hAnsi="Times New Roman" w:eastAsia="宋体" w:cs="Times New Roman"/>
                <w:color w:val="auto"/>
                <w:kern w:val="2"/>
                <w:sz w:val="21"/>
                <w:szCs w:val="21"/>
                <w:highlight w:val="none"/>
                <w:lang w:val="en-US" w:eastAsia="zh-CN" w:bidi="ar-SA"/>
              </w:rPr>
              <w:t>Q235B</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Q355C</w:t>
            </w:r>
            <w:r>
              <w:rPr>
                <w:rFonts w:hint="eastAsia" w:ascii="Times New Roman" w:hAnsi="Times New Roman" w:eastAsia="宋体" w:cs="Times New Roman"/>
                <w:color w:val="auto"/>
                <w:kern w:val="2"/>
                <w:sz w:val="21"/>
                <w:szCs w:val="21"/>
                <w:highlight w:val="none"/>
                <w:lang w:val="en-US" w:eastAsia="zh-CN" w:bidi="ar-SA"/>
              </w:rPr>
              <w:t>螺旋钢管，管径由</w:t>
            </w:r>
            <w:r>
              <w:rPr>
                <w:rFonts w:hint="default" w:ascii="Times New Roman" w:hAnsi="Times New Roman" w:eastAsia="宋体" w:cs="Times New Roman"/>
                <w:color w:val="auto"/>
                <w:kern w:val="2"/>
                <w:sz w:val="21"/>
                <w:szCs w:val="21"/>
                <w:highlight w:val="none"/>
                <w:lang w:val="en-US" w:eastAsia="zh-CN" w:bidi="ar-SA"/>
              </w:rPr>
              <w:t>DN400</w:t>
            </w:r>
            <w:r>
              <w:rPr>
                <w:rFonts w:hint="eastAsia" w:ascii="Times New Roman" w:hAnsi="Times New Roman" w:eastAsia="宋体" w:cs="Times New Roman"/>
                <w:color w:val="auto"/>
                <w:kern w:val="2"/>
                <w:sz w:val="21"/>
                <w:szCs w:val="21"/>
                <w:highlight w:val="none"/>
                <w:lang w:val="en-US" w:eastAsia="zh-CN" w:bidi="ar-SA"/>
              </w:rPr>
              <w:t>渐变至</w:t>
            </w:r>
            <w:r>
              <w:rPr>
                <w:rFonts w:hint="default" w:ascii="Times New Roman" w:hAnsi="Times New Roman" w:eastAsia="宋体" w:cs="Times New Roman"/>
                <w:color w:val="auto"/>
                <w:kern w:val="2"/>
                <w:sz w:val="21"/>
                <w:szCs w:val="21"/>
                <w:highlight w:val="none"/>
                <w:lang w:val="en-US" w:eastAsia="zh-CN" w:bidi="ar-SA"/>
              </w:rPr>
              <w:t>DN200</w:t>
            </w:r>
            <w:r>
              <w:rPr>
                <w:rFonts w:hint="eastAsia" w:ascii="Times New Roman" w:hAnsi="Times New Roman" w:eastAsia="宋体" w:cs="Times New Roman"/>
                <w:color w:val="auto"/>
                <w:kern w:val="2"/>
                <w:sz w:val="21"/>
                <w:szCs w:val="21"/>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0" w:hRule="atLeast"/>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kern w:val="2"/>
                <w:sz w:val="21"/>
                <w:szCs w:val="21"/>
                <w:highlight w:val="none"/>
                <w:lang w:val="en-US" w:eastAsia="zh-CN" w:bidi="ar-SA"/>
              </w:rPr>
            </w:pPr>
          </w:p>
        </w:tc>
        <w:tc>
          <w:tcPr>
            <w:tcW w:w="611" w:type="pct"/>
            <w:gridSpan w:val="2"/>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672"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金马支管</w:t>
            </w:r>
          </w:p>
        </w:tc>
        <w:tc>
          <w:tcPr>
            <w:tcW w:w="32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①金马1#支管从金马分干管里程K</w:t>
            </w:r>
            <w:r>
              <w:rPr>
                <w:rFonts w:hint="default" w:ascii="Times New Roman" w:hAnsi="Times New Roman" w:eastAsia="宋体" w:cs="Times New Roman"/>
                <w:color w:val="auto"/>
                <w:kern w:val="2"/>
                <w:sz w:val="21"/>
                <w:szCs w:val="21"/>
                <w:highlight w:val="none"/>
                <w:vertAlign w:val="subscript"/>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+690处搭接，平面管长1.186km，管首流量0.0233m³/s，管材采用Q235B螺旋钢管，管径DN200；②金马2#支管从金马分干管里程K3+158处搭接，平面管长1.968km，管首流量0.0251m³/s，管材采用Q235B螺旋钢管，管径DN200；③金马3#支管从金马分干管里程K10+232处搭接，平面管长1.457km，管首流量0.0503m³/s，管材采用Q235B螺旋钢管，管径DN200。④金马4#支管从金马分干管里程K12+121处搭接，平面管长0.567km，管首流量0.0257m³/s，管材采用Q235B螺旋钢管，管径DN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kern w:val="2"/>
                <w:sz w:val="21"/>
                <w:szCs w:val="21"/>
                <w:highlight w:val="none"/>
                <w:lang w:val="en-US" w:eastAsia="zh-CN" w:bidi="ar-SA"/>
              </w:rPr>
            </w:pPr>
          </w:p>
        </w:tc>
        <w:tc>
          <w:tcPr>
            <w:tcW w:w="611" w:type="pct"/>
            <w:gridSpan w:val="2"/>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提水工程</w:t>
            </w:r>
          </w:p>
        </w:tc>
        <w:tc>
          <w:tcPr>
            <w:tcW w:w="672"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泵站</w:t>
            </w:r>
          </w:p>
        </w:tc>
        <w:tc>
          <w:tcPr>
            <w:tcW w:w="32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根据受水区高程和范围布置，本次新建提水泵站2座，分别为平坦提水泵站、白</w:t>
            </w:r>
            <w:r>
              <w:rPr>
                <w:rFonts w:hint="eastAsia" w:ascii="Times New Roman" w:hAnsi="Times New Roman" w:eastAsia="宋体" w:cs="Times New Roman"/>
                <w:color w:val="auto"/>
                <w:kern w:val="2"/>
                <w:sz w:val="21"/>
                <w:szCs w:val="21"/>
                <w:highlight w:val="none"/>
                <w:lang w:val="en-US" w:eastAsia="zh-CN" w:bidi="ar-SA"/>
              </w:rPr>
              <w:t>秧树提水泵站。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8" w:hRule="atLeast"/>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kern w:val="2"/>
                <w:sz w:val="21"/>
                <w:szCs w:val="21"/>
                <w:highlight w:val="none"/>
                <w:lang w:val="en-US" w:eastAsia="zh-CN" w:bidi="ar-SA"/>
              </w:rPr>
            </w:pPr>
          </w:p>
        </w:tc>
        <w:tc>
          <w:tcPr>
            <w:tcW w:w="611" w:type="pct"/>
            <w:gridSpan w:val="2"/>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p>
        </w:tc>
        <w:tc>
          <w:tcPr>
            <w:tcW w:w="672"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提水管道</w:t>
            </w:r>
          </w:p>
        </w:tc>
        <w:tc>
          <w:tcPr>
            <w:tcW w:w="32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泵站配建提水管道3条：①平坦泵站提水管道平面长4.519km，管首流量0.1897m³/s，管材采用Q235B螺旋钢管，管径DN400。②白秧树泵站1#提水管道平面长</w:t>
            </w:r>
            <w:r>
              <w:rPr>
                <w:rFonts w:hint="eastAsia" w:cs="Times New Roman"/>
                <w:color w:val="auto"/>
                <w:kern w:val="2"/>
                <w:sz w:val="21"/>
                <w:szCs w:val="21"/>
                <w:highlight w:val="none"/>
                <w:lang w:val="en-US" w:eastAsia="zh-CN" w:bidi="ar-SA"/>
              </w:rPr>
              <w:t>2.166</w:t>
            </w:r>
            <w:r>
              <w:rPr>
                <w:rFonts w:hint="default" w:ascii="Times New Roman" w:hAnsi="Times New Roman" w:eastAsia="宋体" w:cs="Times New Roman"/>
                <w:color w:val="auto"/>
                <w:kern w:val="2"/>
                <w:sz w:val="21"/>
                <w:szCs w:val="21"/>
                <w:highlight w:val="none"/>
                <w:lang w:val="en-US" w:eastAsia="zh-CN" w:bidi="ar-SA"/>
              </w:rPr>
              <w:t>km，管首流量0.0617m³/s，管材采用Q235B螺旋钢管，管径DN300。③白秧树泵站2#提水管道平面长</w:t>
            </w:r>
            <w:r>
              <w:rPr>
                <w:rFonts w:hint="eastAsia" w:cs="Times New Roman"/>
                <w:color w:val="auto"/>
                <w:kern w:val="2"/>
                <w:sz w:val="21"/>
                <w:szCs w:val="21"/>
                <w:highlight w:val="none"/>
                <w:lang w:val="en-US" w:eastAsia="zh-CN" w:bidi="ar-SA"/>
              </w:rPr>
              <w:t>2.653</w:t>
            </w:r>
            <w:r>
              <w:rPr>
                <w:rFonts w:hint="default" w:ascii="Times New Roman" w:hAnsi="Times New Roman" w:eastAsia="宋体" w:cs="Times New Roman"/>
                <w:color w:val="auto"/>
                <w:kern w:val="2"/>
                <w:sz w:val="21"/>
                <w:szCs w:val="21"/>
                <w:highlight w:val="none"/>
                <w:lang w:val="en-US" w:eastAsia="zh-CN" w:bidi="ar-SA"/>
              </w:rPr>
              <w:t>km，管首流量0.0819m³/s，管材采用Q235B螺旋钢管，管径DN300。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1" w:hRule="atLeast"/>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kern w:val="2"/>
                <w:sz w:val="21"/>
                <w:szCs w:val="21"/>
                <w:highlight w:val="none"/>
                <w:lang w:val="en-US" w:eastAsia="zh-CN" w:bidi="ar-SA"/>
              </w:rPr>
            </w:pPr>
          </w:p>
        </w:tc>
        <w:tc>
          <w:tcPr>
            <w:tcW w:w="1283" w:type="pct"/>
            <w:gridSpan w:val="3"/>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新建管理房450m</w:t>
            </w:r>
            <w:r>
              <w:rPr>
                <w:rFonts w:hint="default" w:ascii="Times New Roman" w:hAnsi="Times New Roman" w:eastAsia="宋体" w:cs="Times New Roman"/>
                <w:color w:val="auto"/>
                <w:kern w:val="2"/>
                <w:sz w:val="21"/>
                <w:szCs w:val="21"/>
                <w:highlight w:val="none"/>
                <w:vertAlign w:val="superscript"/>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及灌区信息化系统</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管理房：共3层，总建筑面积为464.58m</w:t>
            </w:r>
            <w:r>
              <w:rPr>
                <w:rFonts w:hint="eastAsia" w:ascii="Times New Roman" w:hAnsi="Times New Roman" w:eastAsia="宋体" w:cs="Times New Roman"/>
                <w:color w:val="auto"/>
                <w:kern w:val="2"/>
                <w:sz w:val="21"/>
                <w:szCs w:val="21"/>
                <w:highlight w:val="none"/>
                <w:vertAlign w:val="superscript"/>
                <w:lang w:val="en-US" w:eastAsia="zh-CN" w:bidi="ar-SA"/>
              </w:rPr>
              <w:t>2</w:t>
            </w:r>
            <w:r>
              <w:rPr>
                <w:rFonts w:hint="eastAsia" w:ascii="Times New Roman" w:hAnsi="Times New Roman" w:eastAsia="宋体" w:cs="Times New Roman"/>
                <w:color w:val="auto"/>
                <w:kern w:val="2"/>
                <w:sz w:val="21"/>
                <w:szCs w:val="21"/>
                <w:highlight w:val="none"/>
                <w:lang w:val="en-US" w:eastAsia="zh-CN" w:bidi="ar-SA"/>
              </w:rPr>
              <w:t>，建筑物总高度11.75m，1层布置2间办事大厅，2层布置4间会客室和4间休息室，3层布置4间会客室和4间休息室。</w:t>
            </w:r>
          </w:p>
          <w:p>
            <w:pPr>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灌区信息化系统</w:t>
            </w:r>
            <w:r>
              <w:rPr>
                <w:rFonts w:hint="eastAsia" w:ascii="Times New Roman" w:hAnsi="Times New Roman" w:eastAsia="宋体" w:cs="Times New Roman"/>
                <w:color w:val="auto"/>
                <w:kern w:val="2"/>
                <w:sz w:val="21"/>
                <w:szCs w:val="21"/>
                <w:highlight w:val="none"/>
                <w:lang w:val="en-US" w:eastAsia="zh-CN" w:bidi="ar-SA"/>
              </w:rPr>
              <w:t>：在管道沿线共设置14个用水量测点，每个量测点各配1套流量计，建设能为灌区提供多维信息融合、全面决策服务支持和可持续可扩展应用信息服务平台。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辅助工程</w:t>
            </w:r>
          </w:p>
        </w:tc>
        <w:tc>
          <w:tcPr>
            <w:tcW w:w="573" w:type="pct"/>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三场</w:t>
            </w:r>
            <w:r>
              <w:rPr>
                <w:rFonts w:hint="eastAsia" w:ascii="Times New Roman" w:hAnsi="Times New Roman" w:cs="Times New Roman"/>
                <w:color w:val="auto"/>
                <w:sz w:val="21"/>
                <w:szCs w:val="21"/>
                <w:highlight w:val="none"/>
                <w:lang w:val="en-US" w:eastAsia="zh-CN"/>
              </w:rPr>
              <w:t>”</w:t>
            </w:r>
          </w:p>
        </w:tc>
        <w:tc>
          <w:tcPr>
            <w:tcW w:w="710" w:type="pct"/>
            <w:gridSpan w:val="2"/>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砂石料场</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工程区附近无开采砂石料场，工程建设所需天然建筑材料需至大黑山石料场和鑫坤砂料场购买。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573"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710" w:type="pct"/>
            <w:gridSpan w:val="2"/>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表土堆场</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共设置15个临时表土堆土场，占地面积4.089hm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，均位于项目区占地范围内，施工结束后表土用于绿化覆土及复垦覆土。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573"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710" w:type="pct"/>
            <w:gridSpan w:val="2"/>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弃渣场</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弃渣场占地面积为15250m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，弃渣场总容量</w:t>
            </w:r>
            <w:r>
              <w:rPr>
                <w:rFonts w:hint="eastAsia" w:cs="Times New Roman"/>
                <w:color w:val="auto"/>
                <w:sz w:val="21"/>
                <w:szCs w:val="21"/>
                <w:highlight w:val="none"/>
                <w:lang w:val="en-US" w:eastAsia="zh-CN"/>
              </w:rPr>
              <w:t>6.07万</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，占地类型为林地。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公用工程</w:t>
            </w:r>
          </w:p>
        </w:tc>
        <w:tc>
          <w:tcPr>
            <w:tcW w:w="573" w:type="pct"/>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供电</w:t>
            </w:r>
          </w:p>
        </w:tc>
        <w:tc>
          <w:tcPr>
            <w:tcW w:w="710" w:type="pct"/>
            <w:gridSpan w:val="2"/>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施工期</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本工程施工考虑柴油发电机自发电供给。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573"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710" w:type="pct"/>
            <w:gridSpan w:val="2"/>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运营期</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用电来</w:t>
            </w:r>
            <w:r>
              <w:rPr>
                <w:rFonts w:hint="eastAsia" w:eastAsia="宋体" w:cs="Times New Roman"/>
                <w:color w:val="auto"/>
                <w:sz w:val="21"/>
                <w:szCs w:val="21"/>
                <w:highlight w:val="none"/>
                <w:lang w:val="en-US" w:eastAsia="zh-CN"/>
              </w:rPr>
              <w:t>由附近电网接入</w:t>
            </w: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573" w:type="pct"/>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供水</w:t>
            </w:r>
          </w:p>
        </w:tc>
        <w:tc>
          <w:tcPr>
            <w:tcW w:w="710" w:type="pct"/>
            <w:gridSpan w:val="2"/>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施工期</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施工用水可由坝塘和箐沟抽取。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573"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710" w:type="pct"/>
            <w:gridSpan w:val="2"/>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运营期</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生活用水由</w:t>
            </w:r>
            <w:r>
              <w:rPr>
                <w:rFonts w:hint="eastAsia" w:cs="Times New Roman"/>
                <w:color w:val="auto"/>
                <w:sz w:val="21"/>
                <w:szCs w:val="21"/>
                <w:highlight w:val="none"/>
                <w:lang w:val="en-US" w:eastAsia="zh-CN"/>
              </w:rPr>
              <w:t>附近村庄接入</w:t>
            </w: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环保工程</w:t>
            </w:r>
          </w:p>
        </w:tc>
        <w:tc>
          <w:tcPr>
            <w:tcW w:w="1283" w:type="pct"/>
            <w:gridSpan w:val="3"/>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施工期废水处理设施</w:t>
            </w:r>
          </w:p>
        </w:tc>
        <w:tc>
          <w:tcPr>
            <w:tcW w:w="3277" w:type="pct"/>
            <w:vAlign w:val="center"/>
          </w:tcPr>
          <w:p>
            <w:pPr>
              <w:pStyle w:val="42"/>
              <w:keepNext w:val="0"/>
              <w:keepLines w:val="0"/>
              <w:pageBreakBefore w:val="0"/>
              <w:shd w:val="clear"/>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生活污水2m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临时沉淀池及</w:t>
            </w:r>
            <w:r>
              <w:rPr>
                <w:rFonts w:hint="eastAsia" w:ascii="Times New Roman" w:hAnsi="Times New Roman" w:eastAsia="宋体" w:cs="Times New Roman"/>
                <w:color w:val="auto"/>
                <w:sz w:val="21"/>
                <w:szCs w:val="21"/>
                <w:highlight w:val="none"/>
                <w:lang w:val="en-US" w:eastAsia="zh-CN"/>
              </w:rPr>
              <w:t>无害化厕所</w:t>
            </w:r>
            <w:r>
              <w:rPr>
                <w:rFonts w:hint="default" w:ascii="Times New Roman" w:hAnsi="Times New Roman" w:eastAsia="宋体" w:cs="Times New Roman"/>
                <w:color w:val="auto"/>
                <w:sz w:val="21"/>
                <w:szCs w:val="21"/>
                <w:highlight w:val="none"/>
                <w:lang w:val="en-US" w:eastAsia="zh-CN"/>
              </w:rPr>
              <w:t>2个；</w:t>
            </w:r>
          </w:p>
          <w:p>
            <w:pPr>
              <w:pStyle w:val="42"/>
              <w:keepNext w:val="0"/>
              <w:keepLines w:val="0"/>
              <w:pageBreakBefore w:val="0"/>
              <w:shd w:val="clear"/>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施工车辆冲洗</w:t>
            </w:r>
            <w:r>
              <w:rPr>
                <w:rFonts w:hint="eastAsia" w:cs="Times New Roman"/>
                <w:color w:val="auto"/>
                <w:sz w:val="21"/>
                <w:szCs w:val="21"/>
                <w:highlight w:val="none"/>
                <w:lang w:val="en-US" w:eastAsia="zh-CN"/>
              </w:rPr>
              <w:t>废水设置</w:t>
            </w:r>
            <w:r>
              <w:rPr>
                <w:rFonts w:hint="default" w:ascii="Times New Roman" w:hAnsi="Times New Roman" w:cs="Times New Roman"/>
                <w:color w:val="auto"/>
                <w:highlight w:val="none"/>
                <w:shd w:val="clear"/>
                <w:lang w:val="en-US" w:eastAsia="zh-CN"/>
              </w:rPr>
              <w:t>1个隔油池（容积为</w:t>
            </w:r>
            <w:r>
              <w:rPr>
                <w:rFonts w:hint="eastAsia" w:cs="Times New Roman"/>
                <w:color w:val="auto"/>
                <w:highlight w:val="none"/>
                <w:shd w:val="clear"/>
                <w:lang w:val="en-US" w:eastAsia="zh-CN"/>
              </w:rPr>
              <w:t>4</w:t>
            </w:r>
            <w:r>
              <w:rPr>
                <w:rFonts w:hint="default" w:ascii="Times New Roman" w:hAnsi="Times New Roman" w:cs="Times New Roman"/>
                <w:color w:val="auto"/>
                <w:highlight w:val="none"/>
                <w:shd w:val="clear"/>
                <w:lang w:val="en-US" w:eastAsia="zh-CN"/>
              </w:rPr>
              <w:t>m</w:t>
            </w:r>
            <w:r>
              <w:rPr>
                <w:rFonts w:hint="default" w:ascii="Times New Roman" w:hAnsi="Times New Roman" w:cs="Times New Roman"/>
                <w:color w:val="auto"/>
                <w:highlight w:val="none"/>
                <w:shd w:val="clear"/>
                <w:vertAlign w:val="superscript"/>
                <w:lang w:val="en-US" w:eastAsia="zh-CN"/>
              </w:rPr>
              <w:t>3</w:t>
            </w:r>
            <w:r>
              <w:rPr>
                <w:rFonts w:hint="default" w:ascii="Times New Roman" w:hAnsi="Times New Roman" w:cs="Times New Roman"/>
                <w:color w:val="auto"/>
                <w:highlight w:val="none"/>
                <w:shd w:val="clear"/>
                <w:lang w:val="en-US" w:eastAsia="zh-CN"/>
              </w:rPr>
              <w:t>）和1个沉淀池（容积为</w:t>
            </w:r>
            <w:r>
              <w:rPr>
                <w:rFonts w:hint="eastAsia" w:cs="Times New Roman"/>
                <w:color w:val="auto"/>
                <w:highlight w:val="none"/>
                <w:shd w:val="clear"/>
                <w:lang w:val="en-US" w:eastAsia="zh-CN"/>
              </w:rPr>
              <w:t>4</w:t>
            </w:r>
            <w:r>
              <w:rPr>
                <w:rFonts w:hint="default" w:ascii="Times New Roman" w:hAnsi="Times New Roman" w:cs="Times New Roman"/>
                <w:color w:val="auto"/>
                <w:highlight w:val="none"/>
                <w:shd w:val="clear"/>
                <w:lang w:val="en-US" w:eastAsia="zh-CN"/>
              </w:rPr>
              <w:t>m</w:t>
            </w:r>
            <w:r>
              <w:rPr>
                <w:rFonts w:hint="default" w:ascii="Times New Roman" w:hAnsi="Times New Roman" w:cs="Times New Roman"/>
                <w:color w:val="auto"/>
                <w:highlight w:val="none"/>
                <w:shd w:val="clear"/>
                <w:vertAlign w:val="superscript"/>
                <w:lang w:val="en-US" w:eastAsia="zh-CN"/>
              </w:rPr>
              <w:t>3</w:t>
            </w:r>
            <w:r>
              <w:rPr>
                <w:rFonts w:hint="default" w:ascii="Times New Roman" w:hAnsi="Times New Roman" w:cs="Times New Roman"/>
                <w:color w:val="auto"/>
                <w:highlight w:val="none"/>
                <w:shd w:val="clear"/>
                <w:lang w:val="en-US" w:eastAsia="zh-CN"/>
              </w:rPr>
              <w:t>）</w:t>
            </w:r>
            <w:r>
              <w:rPr>
                <w:rFonts w:hint="default" w:ascii="Times New Roman" w:hAnsi="Times New Roman" w:eastAsia="宋体" w:cs="Times New Roman"/>
                <w:color w:val="auto"/>
                <w:sz w:val="21"/>
                <w:szCs w:val="21"/>
                <w:highlight w:val="none"/>
                <w:lang w:val="en-US" w:eastAsia="zh-CN"/>
              </w:rPr>
              <w:t>；</w:t>
            </w:r>
          </w:p>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混凝土搅拌系统冲洗废水1座2m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临时移动式沉淀池。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1283" w:type="pct"/>
            <w:gridSpan w:val="3"/>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施工期废气处理设施</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建筑材料加盖防尘网，场地定期洒水。限制车速，保持路面清洁、运输车辆密闭、施工区出口设置洗车台对出场车辆的轮胎进行冲洗；途经村庄段围挡施工。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1283" w:type="pct"/>
            <w:gridSpan w:val="3"/>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施工期固体废物处理设施</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施工营地设置垃圾桶收集生活垃圾，生活垃圾集中收集后运至乡镇集中处置点处置；建筑垃圾按照当地管理部门要求处置；废弃土石方进入弃渣场。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1283" w:type="pct"/>
            <w:gridSpan w:val="3"/>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施工期声环境保护措施</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强施工管理，合理安排施工作业时间；选用符合国家噪声标准的施工机械；提高施工人员防治噪声扰民的自觉性。施工区外声环境保护目标处设置临时2.5m高围挡，必要时设置移动声屏障、隔声罩和隔声间，进行封闭施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1283" w:type="pct"/>
            <w:gridSpan w:val="3"/>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运营期声环境保护措施</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泵站水泵设置在泵房内，减震降噪。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1283" w:type="pct"/>
            <w:gridSpan w:val="3"/>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陆生生态环境保护措施</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施工临时场地恢复原有土地类型，运行期采取生态补偿措施；对施工人员作必要的生态环境保护宣传教育。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1283" w:type="pct"/>
            <w:gridSpan w:val="3"/>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水生生态环境保护设施</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1283" w:type="pct"/>
            <w:gridSpan w:val="3"/>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运营期固体废物处置设施</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①管理房生活垃圾集中收集后送至最近垃圾收集点；</w:t>
            </w:r>
          </w:p>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0000FF"/>
                <w:sz w:val="21"/>
                <w:szCs w:val="21"/>
                <w:highlight w:val="none"/>
                <w:lang w:val="en-US" w:eastAsia="zh-CN"/>
              </w:rPr>
              <w:t>②</w:t>
            </w:r>
            <w:r>
              <w:rPr>
                <w:rFonts w:hint="default" w:ascii="Times New Roman" w:hAnsi="Times New Roman" w:eastAsia="宋体" w:cs="Times New Roman"/>
                <w:color w:val="0000FF"/>
                <w:sz w:val="21"/>
                <w:szCs w:val="21"/>
                <w:highlight w:val="none"/>
                <w:lang w:val="en-US" w:eastAsia="zh-CN"/>
              </w:rPr>
              <w:t>泵站</w:t>
            </w:r>
            <w:r>
              <w:rPr>
                <w:rFonts w:hint="eastAsia" w:ascii="Times New Roman" w:hAnsi="Times New Roman" w:eastAsia="宋体" w:cs="Times New Roman"/>
                <w:color w:val="0000FF"/>
                <w:sz w:val="21"/>
                <w:szCs w:val="21"/>
                <w:highlight w:val="none"/>
                <w:lang w:val="en-US" w:eastAsia="zh-CN"/>
              </w:rPr>
              <w:t>检修</w:t>
            </w:r>
            <w:r>
              <w:rPr>
                <w:rFonts w:hint="default" w:ascii="Times New Roman" w:hAnsi="Times New Roman" w:eastAsia="宋体" w:cs="Times New Roman"/>
                <w:color w:val="0000FF"/>
                <w:sz w:val="21"/>
                <w:szCs w:val="21"/>
                <w:highlight w:val="none"/>
                <w:lang w:val="en-US" w:eastAsia="zh-CN"/>
              </w:rPr>
              <w:t>废机油</w:t>
            </w:r>
            <w:r>
              <w:rPr>
                <w:rFonts w:hint="eastAsia" w:ascii="Times New Roman" w:hAnsi="Times New Roman" w:eastAsia="宋体" w:cs="Times New Roman"/>
                <w:color w:val="0000FF"/>
                <w:sz w:val="21"/>
                <w:szCs w:val="21"/>
                <w:highlight w:val="none"/>
                <w:lang w:val="en-US" w:eastAsia="zh-CN"/>
              </w:rPr>
              <w:t>：于各泵房内设置占地5㎡的危废暂存间暂存后，委托有资质单位处置</w:t>
            </w:r>
            <w:r>
              <w:rPr>
                <w:rFonts w:hint="default" w:ascii="Times New Roman" w:hAnsi="Times New Roman" w:eastAsia="宋体" w:cs="Times New Roman"/>
                <w:color w:val="0000FF"/>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573" w:type="pct"/>
            <w:vMerge w:val="restar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地下水影响防</w:t>
            </w:r>
          </w:p>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治设施</w:t>
            </w:r>
          </w:p>
        </w:tc>
        <w:tc>
          <w:tcPr>
            <w:tcW w:w="710" w:type="pct"/>
            <w:gridSpan w:val="2"/>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泵站水泵房防渗</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地面按照一般防渗区要求，采用防渗系数不低于P6，厚度不低于100mm的抗渗混凝土，等效≥1.5m厚黏土，渗透系数达到10</w:t>
            </w:r>
            <w:r>
              <w:rPr>
                <w:rFonts w:hint="default" w:ascii="Times New Roman" w:hAnsi="Times New Roman" w:eastAsia="宋体"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lang w:val="en-US" w:eastAsia="zh-CN"/>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8"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573" w:type="pct"/>
            <w:vMerge w:val="continue"/>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auto"/>
                <w:sz w:val="21"/>
                <w:szCs w:val="21"/>
                <w:highlight w:val="none"/>
                <w:lang w:val="en-US" w:eastAsia="zh-CN"/>
              </w:rPr>
            </w:pPr>
          </w:p>
        </w:tc>
        <w:tc>
          <w:tcPr>
            <w:tcW w:w="710" w:type="pct"/>
            <w:gridSpan w:val="2"/>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危废间防渗</w:t>
            </w:r>
          </w:p>
        </w:tc>
        <w:tc>
          <w:tcPr>
            <w:tcW w:w="3277" w:type="pct"/>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both"/>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每个泵站在泵房内设置1个危废暂存间，占地面积约为5㎡。</w:t>
            </w:r>
            <w:r>
              <w:rPr>
                <w:rFonts w:hint="default" w:ascii="Times New Roman" w:hAnsi="Times New Roman" w:eastAsia="宋体" w:cs="Times New Roman"/>
                <w:color w:val="auto"/>
                <w:sz w:val="21"/>
                <w:szCs w:val="21"/>
                <w:highlight w:val="none"/>
                <w:lang w:val="en-US" w:eastAsia="zh-CN"/>
              </w:rPr>
              <w:t>基础防渗设置100mm厚P8抗渗混凝土防渗（等效2mm厚高密度聚乙烯），渗透系数要求为≤10</w:t>
            </w:r>
            <w:r>
              <w:rPr>
                <w:rFonts w:hint="default" w:ascii="Times New Roman" w:hAnsi="Times New Roman" w:eastAsia="宋体"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lang w:val="en-US" w:eastAsia="zh-CN"/>
              </w:rPr>
              <w:t>cm/s，表面刷防腐漆，采用带盖收集桶收集废机油，同时设置围堰。</w:t>
            </w:r>
          </w:p>
        </w:tc>
      </w:tr>
    </w:tbl>
    <w:p>
      <w:pPr>
        <w:pStyle w:val="4"/>
        <w:bidi w:val="0"/>
        <w:rPr>
          <w:rFonts w:hint="eastAsia"/>
          <w:color w:val="auto"/>
          <w:highlight w:val="none"/>
          <w:lang w:val="en-US" w:eastAsia="zh-CN"/>
        </w:rPr>
      </w:pPr>
      <w:bookmarkStart w:id="352" w:name="_Toc13740"/>
      <w:bookmarkStart w:id="353" w:name="_Toc20957"/>
      <w:bookmarkStart w:id="354" w:name="_Toc18231"/>
      <w:r>
        <w:rPr>
          <w:rFonts w:hint="eastAsia"/>
          <w:color w:val="auto"/>
          <w:highlight w:val="none"/>
          <w:lang w:val="en-US" w:eastAsia="zh-CN"/>
        </w:rPr>
        <w:t>建设内容</w:t>
      </w:r>
      <w:bookmarkEnd w:id="352"/>
      <w:bookmarkEnd w:id="353"/>
      <w:bookmarkEnd w:id="354"/>
    </w:p>
    <w:p>
      <w:pPr>
        <w:pStyle w:val="5"/>
        <w:numPr>
          <w:ilvl w:val="3"/>
          <w:numId w:val="8"/>
        </w:numPr>
        <w:bidi w:val="0"/>
        <w:ind w:left="480" w:leftChars="0" w:firstLineChars="0"/>
        <w:rPr>
          <w:rFonts w:hint="default"/>
          <w:color w:val="0000FF"/>
          <w:lang w:val="en-US" w:eastAsia="zh-CN"/>
        </w:rPr>
      </w:pPr>
      <w:r>
        <w:rPr>
          <w:rFonts w:hint="eastAsia"/>
          <w:color w:val="0000FF"/>
          <w:lang w:val="en-US" w:eastAsia="zh-CN"/>
        </w:rPr>
        <w:t>依托水源工程</w:t>
      </w:r>
    </w:p>
    <w:p>
      <w:pPr>
        <w:keepNext w:val="0"/>
        <w:keepLines w:val="0"/>
        <w:widowControl/>
        <w:suppressLineNumbers w:val="0"/>
        <w:jc w:val="left"/>
        <w:rPr>
          <w:rFonts w:hint="default"/>
          <w:b/>
          <w:bCs/>
          <w:color w:val="0000FF"/>
          <w:highlight w:val="none"/>
          <w:lang w:val="en-US" w:eastAsia="zh-CN"/>
        </w:rPr>
      </w:pPr>
      <w:r>
        <w:rPr>
          <w:rFonts w:hint="eastAsia"/>
          <w:b/>
          <w:bCs/>
          <w:color w:val="0000FF"/>
          <w:highlight w:val="none"/>
          <w:lang w:val="en-US" w:eastAsia="zh-CN"/>
        </w:rPr>
        <w:t>1、水源工程</w:t>
      </w:r>
    </w:p>
    <w:p>
      <w:pPr>
        <w:keepNext w:val="0"/>
        <w:keepLines w:val="0"/>
        <w:widowControl/>
        <w:suppressLineNumbers w:val="0"/>
        <w:jc w:val="left"/>
        <w:rPr>
          <w:rFonts w:hint="eastAsia" w:ascii="Times New Roman" w:hAnsi="Times New Roman" w:cs="Times New Roman"/>
          <w:color w:val="0000FF"/>
          <w:highlight w:val="none"/>
          <w:lang w:val="en-US" w:eastAsia="zh-CN"/>
        </w:rPr>
      </w:pPr>
      <w:r>
        <w:rPr>
          <w:rFonts w:hint="eastAsia"/>
          <w:color w:val="auto"/>
          <w:highlight w:val="none"/>
          <w:lang w:val="en-US" w:eastAsia="zh-CN"/>
        </w:rPr>
        <w:t>本次水源为</w:t>
      </w:r>
      <w:r>
        <w:rPr>
          <w:rFonts w:hint="default"/>
          <w:color w:val="auto"/>
          <w:highlight w:val="none"/>
          <w:lang w:val="en-US" w:eastAsia="zh-CN"/>
        </w:rPr>
        <w:t>《金沙江乌东德水电站水资源综合利用—元谋县姜驿乡提水工程》</w:t>
      </w:r>
      <w:r>
        <w:rPr>
          <w:rFonts w:hint="eastAsia"/>
          <w:color w:val="auto"/>
          <w:highlight w:val="none"/>
          <w:lang w:val="en-US" w:eastAsia="zh-CN"/>
        </w:rPr>
        <w:t>在建的</w:t>
      </w:r>
      <w:r>
        <w:rPr>
          <w:rFonts w:hint="default"/>
          <w:color w:val="auto"/>
          <w:highlight w:val="none"/>
          <w:lang w:val="en-US" w:eastAsia="zh-CN"/>
        </w:rPr>
        <w:t>2040</w:t>
      </w:r>
      <w:r>
        <w:rPr>
          <w:rFonts w:hint="default" w:ascii="Times New Roman" w:hAnsi="Times New Roman" w:cs="Times New Roman"/>
          <w:color w:val="auto"/>
          <w:highlight w:val="none"/>
          <w:lang w:val="en-US" w:eastAsia="zh-CN"/>
        </w:rPr>
        <w:t>m³高位水池</w:t>
      </w:r>
      <w:r>
        <w:rPr>
          <w:rFonts w:hint="eastAsia" w:ascii="宋体" w:hAnsi="宋体" w:eastAsia="宋体" w:cs="宋体"/>
          <w:color w:val="auto"/>
          <w:kern w:val="0"/>
          <w:sz w:val="24"/>
          <w:szCs w:val="24"/>
          <w:lang w:val="en-US" w:eastAsia="zh-CN" w:bidi="ar"/>
        </w:rPr>
        <w:t>。</w:t>
      </w:r>
      <w:r>
        <w:rPr>
          <w:rFonts w:hint="eastAsia" w:ascii="Times New Roman" w:hAnsi="Times New Roman" w:cs="Times New Roman"/>
          <w:color w:val="auto"/>
          <w:highlight w:val="none"/>
          <w:lang w:val="en-US" w:eastAsia="zh-CN"/>
        </w:rPr>
        <w:t>本次于高位水池旁新建</w:t>
      </w:r>
      <w:r>
        <w:rPr>
          <w:rFonts w:hint="default" w:ascii="Times New Roman" w:hAnsi="Times New Roman" w:cs="Times New Roman"/>
          <w:color w:val="auto"/>
          <w:highlight w:val="none"/>
          <w:lang w:val="en-US" w:eastAsia="zh-CN"/>
        </w:rPr>
        <w:t>3.9万m³</w:t>
      </w:r>
      <w:r>
        <w:rPr>
          <w:rFonts w:hint="eastAsia" w:ascii="Times New Roman" w:hAnsi="Times New Roman" w:cs="Times New Roman"/>
          <w:color w:val="auto"/>
          <w:highlight w:val="none"/>
          <w:lang w:val="en-US" w:eastAsia="zh-CN"/>
        </w:rPr>
        <w:t>管首高位调节池（</w:t>
      </w:r>
      <w:r>
        <w:rPr>
          <w:rFonts w:hint="default" w:ascii="Times New Roman" w:hAnsi="Times New Roman" w:cs="Times New Roman"/>
          <w:color w:val="auto"/>
          <w:highlight w:val="none"/>
          <w:lang w:val="en-US" w:eastAsia="zh-CN"/>
        </w:rPr>
        <w:t>中心坐标为东经101°55′13.323″，北纬26°1′15.954″</w:t>
      </w:r>
      <w:r>
        <w:rPr>
          <w:rFonts w:hint="eastAsia" w:ascii="Times New Roman" w:hAnsi="Times New Roman" w:cs="Times New Roman"/>
          <w:color w:val="auto"/>
          <w:highlight w:val="none"/>
          <w:lang w:val="en-US" w:eastAsia="zh-CN"/>
        </w:rPr>
        <w:t>）</w:t>
      </w:r>
      <w:r>
        <w:rPr>
          <w:rFonts w:hint="eastAsia" w:cs="Times New Roman"/>
          <w:color w:val="auto"/>
          <w:highlight w:val="none"/>
          <w:lang w:val="en-US" w:eastAsia="zh-CN"/>
        </w:rPr>
        <w:t>，</w:t>
      </w:r>
      <w:r>
        <w:rPr>
          <w:rFonts w:hint="eastAsia" w:cs="Times New Roman"/>
          <w:color w:val="0000FF"/>
          <w:sz w:val="24"/>
          <w:szCs w:val="24"/>
          <w:highlight w:val="none"/>
          <w:lang w:val="en-US" w:eastAsia="zh-CN"/>
        </w:rPr>
        <w:t>利用一根</w:t>
      </w:r>
      <w:r>
        <w:rPr>
          <w:rFonts w:hint="eastAsia" w:cs="Times New Roman"/>
          <w:color w:val="0000FF"/>
          <w:kern w:val="2"/>
          <w:sz w:val="24"/>
          <w:szCs w:val="24"/>
          <w:highlight w:val="none"/>
          <w:lang w:val="en-US" w:eastAsia="zh-CN" w:bidi="ar-SA"/>
        </w:rPr>
        <w:t>长42m，管径DN800的引水管取水。</w:t>
      </w:r>
      <w:r>
        <w:rPr>
          <w:rFonts w:hint="eastAsia" w:ascii="宋体" w:hAnsi="宋体" w:eastAsia="宋体" w:cs="宋体"/>
          <w:color w:val="0000FF"/>
          <w:kern w:val="0"/>
          <w:sz w:val="24"/>
          <w:szCs w:val="24"/>
          <w:lang w:val="en-US" w:eastAsia="zh-CN" w:bidi="ar"/>
        </w:rPr>
        <w:t>由供水过程线可知最大月供水量为</w:t>
      </w:r>
      <w:r>
        <w:rPr>
          <w:rFonts w:hint="default" w:ascii="Times New Roman" w:hAnsi="Times New Roman" w:eastAsia="宋体" w:cs="Times New Roman"/>
          <w:color w:val="0000FF"/>
          <w:kern w:val="0"/>
          <w:sz w:val="24"/>
          <w:szCs w:val="24"/>
          <w:lang w:val="en-US" w:eastAsia="zh-CN" w:bidi="ar"/>
        </w:rPr>
        <w:t>5</w:t>
      </w:r>
      <w:r>
        <w:rPr>
          <w:rFonts w:hint="eastAsia" w:ascii="宋体" w:hAnsi="宋体" w:eastAsia="宋体" w:cs="宋体"/>
          <w:color w:val="0000FF"/>
          <w:kern w:val="0"/>
          <w:sz w:val="24"/>
          <w:szCs w:val="24"/>
          <w:lang w:val="en-US" w:eastAsia="zh-CN" w:bidi="ar"/>
        </w:rPr>
        <w:t>月的</w:t>
      </w:r>
      <w:r>
        <w:rPr>
          <w:rFonts w:hint="default" w:ascii="Times New Roman" w:hAnsi="Times New Roman" w:eastAsia="宋体" w:cs="Times New Roman"/>
          <w:color w:val="0000FF"/>
          <w:kern w:val="0"/>
          <w:sz w:val="24"/>
          <w:szCs w:val="24"/>
          <w:lang w:val="en-US" w:eastAsia="zh-CN" w:bidi="ar"/>
        </w:rPr>
        <w:t>113.1</w:t>
      </w:r>
      <w:r>
        <w:rPr>
          <w:rFonts w:hint="eastAsia" w:ascii="宋体" w:hAnsi="宋体" w:eastAsia="宋体" w:cs="宋体"/>
          <w:color w:val="0000FF"/>
          <w:kern w:val="0"/>
          <w:sz w:val="24"/>
          <w:szCs w:val="24"/>
          <w:lang w:val="en-US" w:eastAsia="zh-CN" w:bidi="ar"/>
        </w:rPr>
        <w:t>万</w:t>
      </w:r>
      <w:r>
        <w:rPr>
          <w:rFonts w:hint="default" w:ascii="Times New Roman" w:hAnsi="Times New Roman" w:eastAsia="宋体" w:cs="Times New Roman"/>
          <w:color w:val="0000FF"/>
          <w:kern w:val="0"/>
          <w:sz w:val="24"/>
          <w:szCs w:val="24"/>
          <w:lang w:val="en-US" w:eastAsia="zh-CN" w:bidi="ar"/>
        </w:rPr>
        <w:t>m³</w:t>
      </w:r>
      <w:r>
        <w:rPr>
          <w:rFonts w:hint="eastAsia" w:ascii="宋体" w:hAnsi="宋体" w:eastAsia="宋体" w:cs="宋体"/>
          <w:color w:val="0000FF"/>
          <w:kern w:val="0"/>
          <w:sz w:val="24"/>
          <w:szCs w:val="24"/>
          <w:lang w:val="en-US" w:eastAsia="zh-CN" w:bidi="ar"/>
        </w:rPr>
        <w:t>，金沙江乌东德水电站水资源综合利用元谋县姜驿乡提水工程供电采用采用光伏发电作为电源，该运行方式只在日间有光照时进行，为了提高灌溉供水保证率，日供水能均匀供给。在管首设高位调节水池，水池容积按最大月</w:t>
      </w:r>
      <w:r>
        <w:rPr>
          <w:rFonts w:hint="default" w:ascii="Times New Roman" w:hAnsi="Times New Roman" w:eastAsia="宋体" w:cs="Times New Roman"/>
          <w:color w:val="0000FF"/>
          <w:kern w:val="0"/>
          <w:sz w:val="24"/>
          <w:szCs w:val="24"/>
          <w:lang w:val="en-US" w:eastAsia="zh-CN" w:bidi="ar"/>
        </w:rPr>
        <w:t>5</w:t>
      </w:r>
      <w:r>
        <w:rPr>
          <w:rFonts w:hint="eastAsia" w:ascii="宋体" w:hAnsi="宋体" w:eastAsia="宋体" w:cs="宋体"/>
          <w:color w:val="0000FF"/>
          <w:kern w:val="0"/>
          <w:sz w:val="24"/>
          <w:szCs w:val="24"/>
          <w:lang w:val="en-US" w:eastAsia="zh-CN" w:bidi="ar"/>
        </w:rPr>
        <w:t>月的日供水量确定，新建的</w:t>
      </w:r>
      <w:r>
        <w:rPr>
          <w:rFonts w:hint="default" w:ascii="Times New Roman" w:hAnsi="Times New Roman" w:eastAsia="宋体" w:cs="Times New Roman"/>
          <w:color w:val="0000FF"/>
          <w:kern w:val="0"/>
          <w:sz w:val="24"/>
          <w:szCs w:val="24"/>
          <w:lang w:val="en-US" w:eastAsia="zh-CN" w:bidi="ar"/>
        </w:rPr>
        <w:t>3.9</w:t>
      </w:r>
      <w:r>
        <w:rPr>
          <w:rFonts w:hint="eastAsia" w:ascii="宋体" w:hAnsi="宋体" w:eastAsia="宋体" w:cs="宋体"/>
          <w:color w:val="0000FF"/>
          <w:kern w:val="0"/>
          <w:sz w:val="24"/>
          <w:szCs w:val="24"/>
          <w:lang w:val="en-US" w:eastAsia="zh-CN" w:bidi="ar"/>
        </w:rPr>
        <w:t>万</w:t>
      </w:r>
      <w:r>
        <w:rPr>
          <w:rFonts w:hint="default" w:ascii="Times New Roman" w:hAnsi="Times New Roman" w:eastAsia="宋体" w:cs="Times New Roman"/>
          <w:color w:val="0000FF"/>
          <w:kern w:val="0"/>
          <w:sz w:val="24"/>
          <w:szCs w:val="24"/>
          <w:lang w:val="en-US" w:eastAsia="zh-CN" w:bidi="ar"/>
        </w:rPr>
        <w:t>m³</w:t>
      </w:r>
      <w:r>
        <w:rPr>
          <w:rFonts w:hint="eastAsia" w:ascii="宋体" w:hAnsi="宋体" w:eastAsia="宋体" w:cs="宋体"/>
          <w:color w:val="0000FF"/>
          <w:kern w:val="0"/>
          <w:sz w:val="24"/>
          <w:szCs w:val="24"/>
          <w:lang w:val="en-US" w:eastAsia="zh-CN" w:bidi="ar"/>
        </w:rPr>
        <w:t>调节水池。</w:t>
      </w:r>
      <w:r>
        <w:rPr>
          <w:rFonts w:hint="eastAsia" w:ascii="Times New Roman" w:hAnsi="Times New Roman" w:cs="Times New Roman"/>
          <w:color w:val="0000FF"/>
          <w:highlight w:val="none"/>
          <w:lang w:val="en-US" w:eastAsia="zh-CN"/>
        </w:rPr>
        <w:t>调节池的建设可更加便利的进行调蓄及调控管理。</w:t>
      </w:r>
    </w:p>
    <w:p>
      <w:pPr>
        <w:keepNext w:val="0"/>
        <w:keepLines w:val="0"/>
        <w:widowControl/>
        <w:suppressLineNumbers w:val="0"/>
        <w:jc w:val="left"/>
        <w:rPr>
          <w:rFonts w:hint="eastAsia" w:ascii="Times New Roman" w:hAnsi="Times New Roman" w:cs="Times New Roman"/>
          <w:color w:val="0000FF"/>
          <w:highlight w:val="none"/>
          <w:lang w:val="en-US" w:eastAsia="zh-CN"/>
        </w:rPr>
      </w:pPr>
      <w:r>
        <w:rPr>
          <w:rFonts w:hint="eastAsia" w:cs="Times New Roman"/>
          <w:color w:val="0000FF"/>
          <w:highlight w:val="none"/>
          <w:lang w:val="en-US" w:eastAsia="zh-CN"/>
        </w:rPr>
        <w:t>管首调节</w:t>
      </w:r>
      <w:r>
        <w:rPr>
          <w:rFonts w:hint="eastAsia" w:ascii="Times New Roman" w:hAnsi="Times New Roman" w:cs="Times New Roman"/>
          <w:color w:val="0000FF"/>
          <w:highlight w:val="none"/>
          <w:lang w:val="en-US" w:eastAsia="zh-CN"/>
        </w:rPr>
        <w:t>水池布置于姜驿乡华峰村西南约850m处山坡上。水池平面形状近似矩形，因场地受限，局部采用异型。经</w:t>
      </w:r>
      <w:r>
        <w:rPr>
          <w:rFonts w:hint="eastAsia" w:cs="Times New Roman"/>
          <w:color w:val="0000FF"/>
          <w:highlight w:val="none"/>
          <w:lang w:val="en-US" w:eastAsia="zh-CN"/>
        </w:rPr>
        <w:t>设计</w:t>
      </w:r>
      <w:r>
        <w:rPr>
          <w:rFonts w:hint="eastAsia" w:ascii="Times New Roman" w:hAnsi="Times New Roman" w:cs="Times New Roman"/>
          <w:color w:val="0000FF"/>
          <w:highlight w:val="none"/>
          <w:lang w:val="en-US" w:eastAsia="zh-CN"/>
        </w:rPr>
        <w:t>计算水池</w:t>
      </w:r>
      <w:r>
        <w:rPr>
          <w:rFonts w:hint="eastAsia" w:cs="Times New Roman"/>
          <w:color w:val="0000FF"/>
          <w:highlight w:val="none"/>
          <w:lang w:val="en-US" w:eastAsia="zh-CN"/>
        </w:rPr>
        <w:t>水面</w:t>
      </w:r>
      <w:r>
        <w:rPr>
          <w:rFonts w:hint="eastAsia" w:ascii="Times New Roman" w:hAnsi="Times New Roman" w:cs="Times New Roman"/>
          <w:color w:val="0000FF"/>
          <w:highlight w:val="none"/>
          <w:lang w:val="en-US" w:eastAsia="zh-CN"/>
        </w:rPr>
        <w:t>面积为4174m²，周长273m，池壁净高度10m，正常水深9.5m，池底高程1900.00m为了解决运行期间地基不均匀沉降后破坏混凝土结构问题，本工程水池结构设计采用池壁、池底、池顶为分离式结构。池壁采用扶壁式钢筋混凝土挡土墙，</w:t>
      </w:r>
      <w:r>
        <w:rPr>
          <w:rFonts w:hint="eastAsia" w:cs="Times New Roman"/>
          <w:color w:val="0000FF"/>
          <w:highlight w:val="none"/>
          <w:lang w:val="en-US" w:eastAsia="zh-CN"/>
        </w:rPr>
        <w:t>并</w:t>
      </w:r>
      <w:r>
        <w:rPr>
          <w:rFonts w:hint="eastAsia" w:ascii="Times New Roman" w:hAnsi="Times New Roman" w:cs="Times New Roman"/>
          <w:color w:val="0000FF"/>
          <w:highlight w:val="none"/>
          <w:lang w:val="en-US" w:eastAsia="zh-CN"/>
        </w:rPr>
        <w:t>采用30cm厚C30混凝土表层配防裂温度筋防渗，池壁与池底接缝处采用T2型铜片止水。池底每隔10m设一道伸缩缝，缝内填塞聚氨酯弹性密封膏止水。池板上设300×300mm排水沟，间距10m。水池上部设DN800进水管和溢流管，下部设DN800 供水管及放空管，正常水位高程1909.50m。</w:t>
      </w:r>
    </w:p>
    <w:p>
      <w:pPr>
        <w:numPr>
          <w:ilvl w:val="0"/>
          <w:numId w:val="0"/>
        </w:numPr>
        <w:ind w:firstLine="482" w:firstLineChars="200"/>
        <w:rPr>
          <w:rFonts w:hint="default"/>
          <w:b/>
          <w:bCs/>
          <w:color w:val="0000FF"/>
          <w:highlight w:val="none"/>
          <w:lang w:val="en-US" w:eastAsia="zh-CN"/>
        </w:rPr>
      </w:pPr>
      <w:r>
        <w:rPr>
          <w:rFonts w:hint="eastAsia"/>
          <w:b/>
          <w:bCs/>
          <w:color w:val="0000FF"/>
          <w:highlight w:val="none"/>
          <w:lang w:val="en-US" w:eastAsia="zh-CN"/>
        </w:rPr>
        <w:t>2、依托可行性分析</w:t>
      </w:r>
    </w:p>
    <w:p>
      <w:pPr>
        <w:numPr>
          <w:ilvl w:val="0"/>
          <w:numId w:val="0"/>
        </w:numPr>
        <w:ind w:firstLine="482" w:firstLineChars="200"/>
        <w:rPr>
          <w:rFonts w:hint="default"/>
          <w:b/>
          <w:bCs/>
          <w:color w:val="auto"/>
          <w:highlight w:val="none"/>
          <w:lang w:val="en-US" w:eastAsia="zh-CN"/>
        </w:rPr>
      </w:pPr>
      <w:r>
        <w:rPr>
          <w:rFonts w:hint="eastAsia"/>
          <w:b/>
          <w:bCs/>
          <w:color w:val="auto"/>
          <w:highlight w:val="none"/>
          <w:lang w:val="en-US" w:eastAsia="zh-CN"/>
        </w:rPr>
        <w:t>（1）建设时序可行性分析</w:t>
      </w:r>
    </w:p>
    <w:p>
      <w:pPr>
        <w:numPr>
          <w:ilvl w:val="0"/>
          <w:numId w:val="0"/>
        </w:numPr>
        <w:ind w:firstLine="480" w:firstLineChars="200"/>
        <w:rPr>
          <w:rFonts w:hint="eastAsia"/>
          <w:color w:val="auto"/>
          <w:highlight w:val="none"/>
          <w:lang w:val="en-US" w:eastAsia="zh-CN"/>
        </w:rPr>
      </w:pPr>
      <w:r>
        <w:rPr>
          <w:rFonts w:hint="eastAsia"/>
          <w:color w:val="auto"/>
          <w:highlight w:val="none"/>
          <w:lang w:val="en-US" w:eastAsia="zh-CN"/>
        </w:rPr>
        <w:t>金沙江乌东德水电站水资源综合利用—元谋县姜驿乡提水工程拟从金沙江乌东德电站库区取水，水位变幅23m。元谋县已将该项目列为重点项目，并于2023年5月26日取得了楚雄州生态环境局准予行政许可决定书（楚环许准〔2023〕54 号），目前已开工建设，预计2025年竣工，从时间顺序上来看，本项目依托其高位水池作为水源具有可行性。</w:t>
      </w:r>
    </w:p>
    <w:p>
      <w:pPr>
        <w:numPr>
          <w:ilvl w:val="0"/>
          <w:numId w:val="0"/>
        </w:numPr>
        <w:ind w:firstLine="482" w:firstLineChars="200"/>
        <w:rPr>
          <w:rFonts w:hint="default"/>
          <w:b/>
          <w:bCs/>
          <w:color w:val="0000FF"/>
          <w:highlight w:val="none"/>
          <w:lang w:val="en-US" w:eastAsia="zh-CN"/>
        </w:rPr>
      </w:pPr>
      <w:r>
        <w:rPr>
          <w:rFonts w:hint="eastAsia"/>
          <w:b/>
          <w:bCs/>
          <w:color w:val="0000FF"/>
          <w:highlight w:val="none"/>
          <w:lang w:val="en-US" w:eastAsia="zh-CN"/>
        </w:rPr>
        <w:t>（2）水量依托可行性分析</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cs="Times New Roman"/>
          <w:b w:val="0"/>
          <w:bCs w:val="0"/>
          <w:color w:val="0000FF"/>
          <w:sz w:val="24"/>
          <w:szCs w:val="24"/>
          <w:lang w:val="en-US" w:eastAsia="zh-CN"/>
        </w:rPr>
      </w:pPr>
      <w:r>
        <w:rPr>
          <w:rFonts w:hint="default" w:ascii="Times New Roman" w:hAnsi="Times New Roman" w:cs="Times New Roman"/>
          <w:b w:val="0"/>
          <w:bCs w:val="0"/>
          <w:color w:val="0000FF"/>
          <w:sz w:val="24"/>
          <w:szCs w:val="24"/>
          <w:lang w:val="en-US" w:eastAsia="zh-CN"/>
        </w:rPr>
        <w:t>根据金沙江乌东德水电站水资源综合利用—元谋县姜驿乡提水工程水资源论证报告：该项目灌区面积为9.94万亩，其中姜中片区4.4万亩、贡茶片区2.41万亩、金河片区3.13万亩，本项目为该项目中定义的“姜中片区”，预留水量为911.4万m</w:t>
      </w:r>
      <w:r>
        <w:rPr>
          <w:rFonts w:hint="default" w:ascii="Times New Roman" w:hAnsi="Times New Roman" w:cs="Times New Roman"/>
          <w:b w:val="0"/>
          <w:bCs w:val="0"/>
          <w:color w:val="0000FF"/>
          <w:sz w:val="24"/>
          <w:szCs w:val="24"/>
          <w:vertAlign w:val="superscript"/>
          <w:lang w:val="en-US" w:eastAsia="zh-CN"/>
        </w:rPr>
        <w:t>3</w:t>
      </w:r>
      <w:r>
        <w:rPr>
          <w:rFonts w:hint="default" w:ascii="Times New Roman" w:hAnsi="Times New Roman" w:cs="Times New Roman"/>
          <w:b w:val="0"/>
          <w:bCs w:val="0"/>
          <w:color w:val="0000FF"/>
          <w:sz w:val="24"/>
          <w:szCs w:val="24"/>
          <w:lang w:val="en-US" w:eastAsia="zh-CN"/>
        </w:rPr>
        <w:t>（集镇生活用水3.4万m</w:t>
      </w:r>
      <w:r>
        <w:rPr>
          <w:rFonts w:hint="default" w:ascii="Times New Roman" w:hAnsi="Times New Roman" w:cs="Times New Roman"/>
          <w:b w:val="0"/>
          <w:bCs w:val="0"/>
          <w:color w:val="0000FF"/>
          <w:sz w:val="24"/>
          <w:szCs w:val="24"/>
          <w:vertAlign w:val="superscript"/>
          <w:lang w:val="en-US" w:eastAsia="zh-CN"/>
        </w:rPr>
        <w:t>3</w:t>
      </w:r>
      <w:r>
        <w:rPr>
          <w:rFonts w:hint="default" w:ascii="Times New Roman" w:hAnsi="Times New Roman" w:cs="Times New Roman"/>
          <w:b w:val="0"/>
          <w:bCs w:val="0"/>
          <w:color w:val="0000FF"/>
          <w:sz w:val="24"/>
          <w:szCs w:val="24"/>
          <w:lang w:val="en-US" w:eastAsia="zh-CN"/>
        </w:rPr>
        <w:t>，农村生活用水12.5万m</w:t>
      </w:r>
      <w:r>
        <w:rPr>
          <w:rFonts w:hint="default" w:ascii="Times New Roman" w:hAnsi="Times New Roman" w:cs="Times New Roman"/>
          <w:b w:val="0"/>
          <w:bCs w:val="0"/>
          <w:color w:val="0000FF"/>
          <w:sz w:val="24"/>
          <w:szCs w:val="24"/>
          <w:vertAlign w:val="superscript"/>
          <w:lang w:val="en-US" w:eastAsia="zh-CN"/>
        </w:rPr>
        <w:t>3</w:t>
      </w:r>
      <w:r>
        <w:rPr>
          <w:rFonts w:hint="default" w:ascii="Times New Roman" w:hAnsi="Times New Roman" w:cs="Times New Roman"/>
          <w:b w:val="0"/>
          <w:bCs w:val="0"/>
          <w:color w:val="0000FF"/>
          <w:sz w:val="24"/>
          <w:szCs w:val="24"/>
          <w:lang w:val="en-US" w:eastAsia="zh-CN"/>
        </w:rPr>
        <w:t>，高效农灌用水895.5万m</w:t>
      </w:r>
      <w:r>
        <w:rPr>
          <w:rFonts w:hint="default" w:ascii="Times New Roman" w:hAnsi="Times New Roman" w:cs="Times New Roman"/>
          <w:b w:val="0"/>
          <w:bCs w:val="0"/>
          <w:color w:val="0000FF"/>
          <w:sz w:val="24"/>
          <w:szCs w:val="24"/>
          <w:vertAlign w:val="superscript"/>
          <w:lang w:val="en-US" w:eastAsia="zh-CN"/>
        </w:rPr>
        <w:t>3</w:t>
      </w:r>
      <w:r>
        <w:rPr>
          <w:rFonts w:hint="default" w:ascii="Times New Roman" w:hAnsi="Times New Roman" w:cs="Times New Roman"/>
          <w:b w:val="0"/>
          <w:bCs w:val="0"/>
          <w:color w:val="0000FF"/>
          <w:sz w:val="24"/>
          <w:szCs w:val="24"/>
          <w:vertAlign w:val="baseline"/>
          <w:lang w:val="en-US" w:eastAsia="zh-CN"/>
        </w:rPr>
        <w:t>）</w:t>
      </w:r>
      <w:r>
        <w:rPr>
          <w:rFonts w:hint="default" w:ascii="Times New Roman" w:hAnsi="Times New Roman" w:cs="Times New Roman"/>
          <w:b w:val="0"/>
          <w:bCs w:val="0"/>
          <w:color w:val="0000FF"/>
          <w:sz w:val="24"/>
          <w:szCs w:val="24"/>
          <w:lang w:val="en-US" w:eastAsia="zh-CN"/>
        </w:rPr>
        <w:t>。本项目规划实施阶段复核后的灌溉面积为3.49万亩，且片区已有姜驿乡抗旱应急供水工程提供生活用水，无生活用水需求。仅考虑灌溉用水量为</w:t>
      </w:r>
      <w:r>
        <w:rPr>
          <w:rFonts w:hint="default" w:ascii="Times New Roman" w:hAnsi="Times New Roman" w:cs="Times New Roman"/>
          <w:color w:val="0000FF"/>
          <w:sz w:val="24"/>
          <w:szCs w:val="24"/>
          <w:highlight w:val="none"/>
          <w:shd w:val="clear"/>
          <w:lang w:val="en-US" w:eastAsia="zh-CN"/>
        </w:rPr>
        <w:t>760.7万m³，因此小于</w:t>
      </w:r>
      <w:r>
        <w:rPr>
          <w:rFonts w:hint="default" w:ascii="Times New Roman" w:hAnsi="Times New Roman" w:cs="Times New Roman"/>
          <w:b w:val="0"/>
          <w:bCs w:val="0"/>
          <w:color w:val="0000FF"/>
          <w:sz w:val="24"/>
          <w:szCs w:val="24"/>
          <w:lang w:val="en-US" w:eastAsia="zh-CN"/>
        </w:rPr>
        <w:t>金沙江乌东德水电站水资源综合利用—元谋县姜驿乡提水工程预留的水量。</w:t>
      </w:r>
    </w:p>
    <w:p>
      <w:pPr>
        <w:numPr>
          <w:ilvl w:val="0"/>
          <w:numId w:val="0"/>
        </w:numPr>
        <w:ind w:firstLine="480" w:firstLineChars="200"/>
        <w:rPr>
          <w:rFonts w:hint="default"/>
          <w:color w:val="0000FF"/>
          <w:highlight w:val="none"/>
          <w:lang w:val="en-US" w:eastAsia="zh-CN"/>
        </w:rPr>
      </w:pPr>
      <w:r>
        <w:rPr>
          <w:rFonts w:hint="eastAsia"/>
          <w:color w:val="0000FF"/>
          <w:highlight w:val="none"/>
          <w:lang w:val="en-US" w:eastAsia="zh-CN"/>
        </w:rPr>
        <w:t>综上，本项目供水量已在根据金沙江乌东德水电站水资源综合利用—元谋县姜驿乡提水工程中进行了预留，且未超过该项目的预留量，水量依托可行。</w:t>
      </w:r>
    </w:p>
    <w:p>
      <w:pPr>
        <w:numPr>
          <w:ilvl w:val="0"/>
          <w:numId w:val="0"/>
        </w:numPr>
        <w:ind w:firstLine="480" w:firstLineChars="200"/>
        <w:rPr>
          <w:rFonts w:hint="eastAsia"/>
          <w:color w:val="auto"/>
          <w:highlight w:val="none"/>
          <w:lang w:val="en-US" w:eastAsia="zh-CN"/>
        </w:rPr>
        <w:sectPr>
          <w:headerReference r:id="rId10" w:type="default"/>
          <w:footerReference r:id="rId11" w:type="default"/>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p>
    <w:p>
      <w:pPr>
        <w:numPr>
          <w:ilvl w:val="0"/>
          <w:numId w:val="0"/>
        </w:numPr>
        <w:ind w:firstLine="482" w:firstLineChars="200"/>
        <w:rPr>
          <w:rFonts w:hint="default"/>
          <w:b/>
          <w:bCs/>
          <w:color w:val="0000FF"/>
          <w:highlight w:val="none"/>
          <w:lang w:val="en-US" w:eastAsia="zh-CN"/>
        </w:rPr>
      </w:pPr>
      <w:r>
        <w:rPr>
          <w:rFonts w:hint="eastAsia"/>
          <w:b/>
          <w:bCs/>
          <w:color w:val="0000FF"/>
          <w:highlight w:val="none"/>
          <w:lang w:val="en-US" w:eastAsia="zh-CN"/>
        </w:rPr>
        <w:t>（3）运行方式依托可行性分析</w:t>
      </w:r>
    </w:p>
    <w:p>
      <w:pPr>
        <w:numPr>
          <w:ilvl w:val="0"/>
          <w:numId w:val="0"/>
        </w:numPr>
        <w:ind w:firstLine="480" w:firstLineChars="200"/>
        <w:rPr>
          <w:rFonts w:hint="default" w:ascii="Times New Roman" w:hAnsi="Times New Roman" w:cs="Times New Roman"/>
          <w:b w:val="0"/>
          <w:bCs w:val="0"/>
          <w:color w:val="0000FF"/>
          <w:sz w:val="24"/>
          <w:szCs w:val="24"/>
          <w:lang w:val="en-US" w:eastAsia="zh-CN"/>
        </w:rPr>
      </w:pPr>
      <w:r>
        <w:rPr>
          <w:rFonts w:hint="default" w:ascii="Times New Roman" w:hAnsi="Times New Roman" w:cs="Times New Roman"/>
          <w:b w:val="0"/>
          <w:bCs w:val="0"/>
          <w:color w:val="0000FF"/>
          <w:sz w:val="24"/>
          <w:szCs w:val="24"/>
          <w:lang w:val="en-US" w:eastAsia="zh-CN"/>
        </w:rPr>
        <w:t>金沙江乌东德水电站水资源综合利用—元谋县姜驿乡提水工程</w:t>
      </w:r>
      <w:r>
        <w:rPr>
          <w:rFonts w:hint="eastAsia" w:cs="Times New Roman"/>
          <w:b w:val="0"/>
          <w:bCs w:val="0"/>
          <w:color w:val="0000FF"/>
          <w:sz w:val="24"/>
          <w:szCs w:val="24"/>
          <w:lang w:val="en-US" w:eastAsia="zh-CN"/>
        </w:rPr>
        <w:t>全年进行提水，在丰水期向灌区现有及规划新建水库补水以备枯水期使用。该工程中姜中片区分配的水量为895.5万m³。</w:t>
      </w:r>
    </w:p>
    <w:p>
      <w:pPr>
        <w:numPr>
          <w:ilvl w:val="0"/>
          <w:numId w:val="0"/>
        </w:numPr>
        <w:ind w:firstLine="480" w:firstLineChars="200"/>
        <w:rPr>
          <w:rFonts w:hint="default"/>
          <w:color w:val="0000FF"/>
          <w:highlight w:val="none"/>
          <w:lang w:val="en-US" w:eastAsia="zh-CN"/>
        </w:rPr>
      </w:pPr>
      <w:r>
        <w:rPr>
          <w:rFonts w:hint="eastAsia" w:cs="Times New Roman"/>
          <w:color w:val="0000FF"/>
          <w:sz w:val="24"/>
          <w:szCs w:val="24"/>
          <w:highlight w:val="none"/>
          <w:shd w:val="clear"/>
          <w:lang w:val="en-US" w:eastAsia="zh-CN"/>
        </w:rPr>
        <w:t>金沙江乌东德水电站水资源综合利用—元谋县姜驿乡提水工程按灌区为本项目预留了水量，项目在实施过程中细化了灌溉方式，全年从该工程高位水池取水通过管道供水灌溉，同时</w:t>
      </w:r>
      <w:r>
        <w:rPr>
          <w:rFonts w:hint="eastAsia" w:cs="Times New Roman"/>
          <w:b w:val="0"/>
          <w:bCs w:val="0"/>
          <w:color w:val="0000FF"/>
          <w:sz w:val="24"/>
          <w:szCs w:val="24"/>
          <w:lang w:val="en-US" w:eastAsia="zh-CN"/>
        </w:rPr>
        <w:t>在丰水期向界牌箐水库、李官坟水库、姜中水库、水平石水库补水。</w:t>
      </w:r>
    </w:p>
    <w:p>
      <w:pPr>
        <w:numPr>
          <w:ilvl w:val="0"/>
          <w:numId w:val="0"/>
        </w:numPr>
        <w:ind w:firstLine="480" w:firstLineChars="200"/>
        <w:rPr>
          <w:rFonts w:hint="default"/>
          <w:color w:val="0000FF"/>
          <w:highlight w:val="none"/>
          <w:lang w:val="en-US" w:eastAsia="zh-CN"/>
        </w:rPr>
      </w:pPr>
      <w:r>
        <w:rPr>
          <w:rFonts w:hint="eastAsia"/>
          <w:color w:val="0000FF"/>
          <w:highlight w:val="none"/>
          <w:lang w:val="en-US" w:eastAsia="zh-CN"/>
        </w:rPr>
        <w:t>本项目供水过程与金沙江乌东德水电站水资源综合利用—元谋县姜驿乡提水工程中姜中片区水量分配过程如下表所示：</w:t>
      </w:r>
    </w:p>
    <w:p>
      <w:pPr>
        <w:numPr>
          <w:ilvl w:val="0"/>
          <w:numId w:val="0"/>
        </w:numPr>
        <w:spacing w:line="240" w:lineRule="auto"/>
        <w:ind w:firstLine="482" w:firstLineChars="200"/>
        <w:jc w:val="center"/>
        <w:rPr>
          <w:rFonts w:hint="default"/>
          <w:b/>
          <w:bCs/>
          <w:color w:val="0000FF"/>
          <w:highlight w:val="none"/>
          <w:lang w:val="en-US" w:eastAsia="zh-CN"/>
        </w:rPr>
      </w:pPr>
      <w:r>
        <w:rPr>
          <w:rFonts w:hint="eastAsia"/>
          <w:b/>
          <w:bCs/>
          <w:color w:val="0000FF"/>
          <w:highlight w:val="none"/>
          <w:lang w:val="en-US" w:eastAsia="zh-CN"/>
        </w:rPr>
        <w:t>表2.3.1-2   本项目水量分配及供水对比过程表     单位:万m³</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8"/>
        <w:gridCol w:w="726"/>
        <w:gridCol w:w="1012"/>
        <w:gridCol w:w="1012"/>
        <w:gridCol w:w="1012"/>
        <w:gridCol w:w="1012"/>
        <w:gridCol w:w="1012"/>
        <w:gridCol w:w="1012"/>
        <w:gridCol w:w="1013"/>
        <w:gridCol w:w="1013"/>
        <w:gridCol w:w="1013"/>
        <w:gridCol w:w="1013"/>
        <w:gridCol w:w="1013"/>
        <w:gridCol w:w="10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内容</w:t>
            </w:r>
          </w:p>
        </w:tc>
        <w:tc>
          <w:tcPr>
            <w:tcW w:w="72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6月</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7月</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8月</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9月</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10月</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11月</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12月</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1月</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2月</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3月</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4月</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5月</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本项目</w:t>
            </w:r>
            <w:r>
              <w:rPr>
                <w:rFonts w:hint="default" w:ascii="Times New Roman" w:hAnsi="Times New Roman" w:cs="Times New Roman"/>
                <w:color w:val="0000FF"/>
                <w:sz w:val="21"/>
                <w:szCs w:val="21"/>
                <w:vertAlign w:val="baseline"/>
                <w:lang w:val="en-US" w:eastAsia="zh-CN"/>
              </w:rPr>
              <w:t>供水过程</w:t>
            </w:r>
          </w:p>
        </w:tc>
        <w:tc>
          <w:tcPr>
            <w:tcW w:w="72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54.7</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23.3</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23.3</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23.3</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23.3</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66.9</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63.8</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110.2</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93.0</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74.9</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90.9</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113.1</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760.7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2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default" w:ascii="Times New Roman" w:hAnsi="Times New Roman" w:cs="Times New Roman" w:eastAsiaTheme="minorEastAsia"/>
                <w:color w:val="0000FF"/>
                <w:sz w:val="21"/>
                <w:szCs w:val="21"/>
                <w:vertAlign w:val="baseline"/>
                <w:lang w:val="en-US" w:eastAsia="zh-CN"/>
              </w:rPr>
              <w:t>乌东德提水工程</w:t>
            </w:r>
            <w:r>
              <w:rPr>
                <w:rFonts w:hint="eastAsia" w:ascii="Times New Roman" w:hAnsi="Times New Roman" w:cs="Times New Roman" w:eastAsiaTheme="minorEastAsia"/>
                <w:color w:val="0000FF"/>
                <w:sz w:val="21"/>
                <w:szCs w:val="21"/>
                <w:vertAlign w:val="baseline"/>
                <w:lang w:val="en-US" w:eastAsia="zh-CN"/>
              </w:rPr>
              <w:t>-姜中片区水量分配过程</w:t>
            </w:r>
          </w:p>
        </w:tc>
        <w:tc>
          <w:tcPr>
            <w:tcW w:w="726"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65.4</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26.4</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23.5</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23.5</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23.5</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67.6</w:t>
            </w:r>
          </w:p>
        </w:tc>
        <w:tc>
          <w:tcPr>
            <w:tcW w:w="101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64.6</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129.4</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122.3</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97.1</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115.4</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136.8</w:t>
            </w:r>
          </w:p>
        </w:tc>
        <w:tc>
          <w:tcPr>
            <w:tcW w:w="101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vertAlign w:val="baseline"/>
                <w:lang w:val="en-US" w:eastAsia="zh-CN"/>
              </w:rPr>
            </w:pPr>
            <w:r>
              <w:rPr>
                <w:rFonts w:hint="eastAsia" w:ascii="Times New Roman" w:hAnsi="Times New Roman" w:cs="Times New Roman"/>
                <w:color w:val="0000FF"/>
                <w:sz w:val="21"/>
                <w:szCs w:val="21"/>
                <w:vertAlign w:val="baseline"/>
                <w:lang w:val="en-US" w:eastAsia="zh-CN"/>
              </w:rPr>
              <w:t>895.5</w:t>
            </w:r>
          </w:p>
        </w:tc>
      </w:tr>
    </w:tbl>
    <w:p>
      <w:pPr>
        <w:numPr>
          <w:ilvl w:val="0"/>
          <w:numId w:val="0"/>
        </w:numPr>
        <w:ind w:firstLine="480" w:firstLineChars="200"/>
        <w:rPr>
          <w:rFonts w:hint="eastAsia"/>
          <w:color w:val="auto"/>
          <w:highlight w:val="none"/>
          <w:lang w:val="en-US" w:eastAsia="zh-CN"/>
        </w:rPr>
      </w:pPr>
      <w:r>
        <w:rPr>
          <w:rFonts w:hint="default" w:ascii="Times New Roman" w:hAnsi="Times New Roman" w:cs="Times New Roman"/>
          <w:b w:val="0"/>
          <w:bCs w:val="0"/>
          <w:color w:val="0000FF"/>
          <w:sz w:val="24"/>
          <w:szCs w:val="24"/>
          <w:lang w:val="en-US" w:eastAsia="zh-CN"/>
        </w:rPr>
        <w:t>项目规划实施阶段复核后的灌溉面积为3.49万亩，且片区已有姜驿乡抗旱应急供水工程提供生活用水，无生活用水需求。仅考虑灌溉用水量为</w:t>
      </w:r>
      <w:r>
        <w:rPr>
          <w:rFonts w:hint="default" w:ascii="Times New Roman" w:hAnsi="Times New Roman" w:cs="Times New Roman"/>
          <w:color w:val="0000FF"/>
          <w:sz w:val="24"/>
          <w:szCs w:val="24"/>
          <w:highlight w:val="none"/>
          <w:shd w:val="clear"/>
          <w:lang w:val="en-US" w:eastAsia="zh-CN"/>
        </w:rPr>
        <w:t>760.7万m³，</w:t>
      </w:r>
      <w:r>
        <w:rPr>
          <w:rFonts w:hint="eastAsia" w:cs="Times New Roman"/>
          <w:color w:val="0000FF"/>
          <w:sz w:val="24"/>
          <w:szCs w:val="24"/>
          <w:highlight w:val="none"/>
          <w:shd w:val="clear"/>
          <w:lang w:val="en-US" w:eastAsia="zh-CN"/>
        </w:rPr>
        <w:t>年总量不超过依托水源预留的水量。</w:t>
      </w:r>
    </w:p>
    <w:p>
      <w:pPr>
        <w:numPr>
          <w:ilvl w:val="0"/>
          <w:numId w:val="0"/>
        </w:numPr>
        <w:ind w:firstLine="480" w:firstLineChars="200"/>
        <w:rPr>
          <w:rFonts w:hint="default"/>
          <w:color w:val="0000FF"/>
          <w:highlight w:val="none"/>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r>
        <w:rPr>
          <w:rFonts w:hint="eastAsia"/>
          <w:color w:val="0000FF"/>
          <w:highlight w:val="none"/>
          <w:lang w:val="en-US" w:eastAsia="zh-CN"/>
        </w:rPr>
        <w:t>根据上表，本项目运行方式与金沙江乌东德水电站水资源综合利用—元谋县姜驿乡提水工程全年进行提水运行方式一致，水量未超过该项目月分配的水量。</w:t>
      </w:r>
    </w:p>
    <w:p>
      <w:pPr>
        <w:pStyle w:val="5"/>
        <w:numPr>
          <w:ilvl w:val="3"/>
          <w:numId w:val="1"/>
        </w:numPr>
        <w:bidi w:val="0"/>
        <w:ind w:left="480" w:leftChars="0" w:firstLineChars="0"/>
        <w:rPr>
          <w:rFonts w:hint="default"/>
          <w:color w:val="auto"/>
          <w:lang w:val="en-US" w:eastAsia="zh-CN"/>
        </w:rPr>
      </w:pPr>
      <w:r>
        <w:rPr>
          <w:rFonts w:hint="eastAsia"/>
          <w:color w:val="auto"/>
          <w:lang w:val="en-US" w:eastAsia="zh-CN"/>
        </w:rPr>
        <w:t>输水工程</w:t>
      </w:r>
    </w:p>
    <w:p>
      <w:pPr>
        <w:keepNext w:val="0"/>
        <w:keepLines w:val="0"/>
        <w:pageBreakBefore w:val="0"/>
        <w:widowControl w:val="0"/>
        <w:kinsoku/>
        <w:wordWrap w:val="0"/>
        <w:overflowPunct/>
        <w:topLinePunct w:val="0"/>
        <w:autoSpaceDE/>
        <w:autoSpaceDN/>
        <w:bidi w:val="0"/>
        <w:adjustRightInd/>
        <w:snapToGrid/>
        <w:textAlignment w:val="auto"/>
        <w:rPr>
          <w:rFonts w:hint="default" w:ascii="Times New Roman" w:hAnsi="Times New Roman" w:cs="Times New Roman"/>
          <w:b w:val="0"/>
          <w:bCs w:val="0"/>
          <w:color w:val="auto"/>
          <w:highlight w:val="none"/>
          <w:lang w:val="en-US" w:eastAsia="zh-CN"/>
        </w:rPr>
      </w:pPr>
      <w:r>
        <w:rPr>
          <w:rFonts w:hint="eastAsia" w:cs="Times New Roman"/>
          <w:b w:val="0"/>
          <w:bCs w:val="0"/>
          <w:color w:val="auto"/>
          <w:highlight w:val="none"/>
          <w:lang w:val="en-US" w:eastAsia="zh-CN"/>
        </w:rPr>
        <w:t>本项目输水工程主要为管道，主要包括北干管、金马分干管、金马1#、2#、3#、4#支管：</w:t>
      </w:r>
    </w:p>
    <w:p>
      <w:pPr>
        <w:keepNext w:val="0"/>
        <w:keepLines w:val="0"/>
        <w:pageBreakBefore w:val="0"/>
        <w:widowControl w:val="0"/>
        <w:kinsoku/>
        <w:wordWrap w:val="0"/>
        <w:overflowPunct/>
        <w:topLinePunct w:val="0"/>
        <w:autoSpaceDE/>
        <w:autoSpaceDN/>
        <w:bidi w:val="0"/>
        <w:adjustRightInd/>
        <w:snapToGrid w:val="0"/>
        <w:ind w:firstLine="480" w:firstLineChars="200"/>
        <w:textAlignment w:val="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北干管</w:t>
      </w:r>
    </w:p>
    <w:p>
      <w:pPr>
        <w:keepNext w:val="0"/>
        <w:keepLines w:val="0"/>
        <w:pageBreakBefore w:val="0"/>
        <w:widowControl w:val="0"/>
        <w:kinsoku/>
        <w:wordWrap w:val="0"/>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default" w:ascii="Times New Roman" w:hAnsi="Times New Roman" w:cs="Times New Roman"/>
          <w:color w:val="auto"/>
          <w:highlight w:val="none"/>
          <w:lang w:val="en-US" w:eastAsia="zh-CN"/>
        </w:rPr>
        <w:t>北干管从3.9万m³高位调节水池取水，管道起点坐标为：东经101°55′8.486″，北纬26°1′15.617″</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终点坐标为：东经101°55′57.089″，北纬26°5′42.2</w:t>
      </w:r>
      <w:r>
        <w:rPr>
          <w:rFonts w:hint="eastAsia"/>
          <w:color w:val="auto"/>
          <w:highlight w:val="none"/>
          <w:lang w:val="en-US" w:eastAsia="zh-CN"/>
        </w:rPr>
        <w:t>32″，走向由南向北。</w:t>
      </w:r>
      <w:r>
        <w:rPr>
          <w:rFonts w:hint="default"/>
          <w:color w:val="auto"/>
          <w:highlight w:val="none"/>
          <w:lang w:val="en-US" w:eastAsia="zh-CN"/>
        </w:rPr>
        <w:t>沿华峰村顺乡村道路布置，途径</w:t>
      </w:r>
      <w:r>
        <w:rPr>
          <w:rFonts w:hint="eastAsia"/>
          <w:color w:val="auto"/>
          <w:highlight w:val="none"/>
          <w:lang w:val="en-US" w:eastAsia="zh-CN"/>
        </w:rPr>
        <w:t>羊腊席</w:t>
      </w:r>
      <w:r>
        <w:rPr>
          <w:rFonts w:hint="default"/>
          <w:color w:val="auto"/>
          <w:highlight w:val="none"/>
          <w:lang w:val="en-US" w:eastAsia="zh-CN"/>
        </w:rPr>
        <w:t>村、姜驿大村、拉黑沟至白杨树村。北干管平面管长10.158km，管首流量Q=0.8638m³/s，管材采用Q235B螺旋钢管，管径DN800 、DN700。</w:t>
      </w:r>
      <w:r>
        <w:rPr>
          <w:rFonts w:hint="eastAsia"/>
          <w:color w:val="auto"/>
          <w:highlight w:val="none"/>
          <w:lang w:val="en-US" w:eastAsia="zh-CN"/>
        </w:rPr>
        <w:t>北干管K7+845~K7+940管段跨姜驿河，采用镇墩浇筑跨河，其余均采用埋管。</w:t>
      </w:r>
    </w:p>
    <w:p>
      <w:pPr>
        <w:keepNext w:val="0"/>
        <w:keepLines w:val="0"/>
        <w:pageBreakBefore w:val="0"/>
        <w:widowControl w:val="0"/>
        <w:kinsoku/>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eastAsia"/>
          <w:color w:val="auto"/>
          <w:highlight w:val="none"/>
          <w:lang w:val="en-US" w:eastAsia="zh-CN"/>
        </w:rPr>
        <w:t>（2）</w:t>
      </w:r>
      <w:r>
        <w:rPr>
          <w:rFonts w:hint="default"/>
          <w:color w:val="auto"/>
          <w:highlight w:val="none"/>
          <w:lang w:val="en-US" w:eastAsia="zh-CN"/>
        </w:rPr>
        <w:t>金马分干管</w:t>
      </w:r>
    </w:p>
    <w:p>
      <w:pPr>
        <w:keepNext w:val="0"/>
        <w:keepLines w:val="0"/>
        <w:pageBreakBefore w:val="0"/>
        <w:widowControl w:val="0"/>
        <w:kinsoku/>
        <w:wordWrap w:val="0"/>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default"/>
          <w:color w:val="auto"/>
          <w:highlight w:val="none"/>
          <w:lang w:val="en-US" w:eastAsia="zh-CN"/>
        </w:rPr>
        <w:t>金马分干管从北干</w:t>
      </w:r>
      <w:r>
        <w:rPr>
          <w:rFonts w:hint="default" w:ascii="Times New Roman" w:hAnsi="Times New Roman" w:cs="Times New Roman"/>
          <w:color w:val="auto"/>
          <w:highlight w:val="none"/>
          <w:lang w:val="en-US" w:eastAsia="zh-CN"/>
        </w:rPr>
        <w:t>管里程 K3+160 处搭接，搭接处坐标（起点坐标）为东经101°54′20.134″，北纬26°2′32.579″；终点坐标为东经101°51′8.366″，北纬25°59′2.485″</w:t>
      </w:r>
      <w:r>
        <w:rPr>
          <w:rFonts w:hint="eastAsia" w:ascii="Times New Roman" w:hAnsi="Times New Roman" w:cs="Times New Roman"/>
          <w:color w:val="auto"/>
          <w:highlight w:val="none"/>
          <w:lang w:val="en-US" w:eastAsia="zh-CN"/>
        </w:rPr>
        <w:t>。</w:t>
      </w:r>
      <w:r>
        <w:rPr>
          <w:rFonts w:hint="default"/>
          <w:color w:val="auto"/>
          <w:highlight w:val="none"/>
          <w:lang w:val="en-US" w:eastAsia="zh-CN"/>
        </w:rPr>
        <w:t>顺火焰山山脊跨布置跨过沙沟箐到阿洒姑，在途径干海子、他马嘎达到棋盘山高位水池。金马分干管平面管长13.24km，管首流量0.2887m³/s，管材采用Q235B、Q355C螺旋钢管，管径由DN400渐变至DN200。</w:t>
      </w:r>
      <w:r>
        <w:rPr>
          <w:rStyle w:val="61"/>
          <w:rFonts w:hint="eastAsia" w:ascii="Times New Roman" w:hAnsi="Times New Roman" w:cs="Times New Roman"/>
          <w:b w:val="0"/>
          <w:i w:val="0"/>
          <w:caps w:val="0"/>
          <w:color w:val="auto"/>
          <w:spacing w:val="0"/>
          <w:w w:val="100"/>
          <w:kern w:val="2"/>
          <w:sz w:val="24"/>
          <w:szCs w:val="24"/>
          <w:lang w:val="en-US" w:eastAsia="zh-CN" w:bidi="ar-SA"/>
        </w:rPr>
        <w:t>金马分干管K1+711~K1+720段跨沙沟箐，</w:t>
      </w:r>
      <w:r>
        <w:rPr>
          <w:rFonts w:hint="eastAsia"/>
          <w:color w:val="auto"/>
          <w:highlight w:val="none"/>
          <w:lang w:val="en-US" w:eastAsia="zh-CN"/>
        </w:rPr>
        <w:t>采用镇墩浇筑跨河，其余均采用埋管。</w:t>
      </w:r>
    </w:p>
    <w:p>
      <w:pPr>
        <w:keepNext w:val="0"/>
        <w:keepLines w:val="0"/>
        <w:pageBreakBefore w:val="0"/>
        <w:widowControl w:val="0"/>
        <w:kinsoku/>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eastAsia"/>
          <w:color w:val="auto"/>
          <w:highlight w:val="none"/>
          <w:lang w:val="en-US" w:eastAsia="zh-CN"/>
        </w:rPr>
        <w:t>（3）金马支管</w:t>
      </w:r>
    </w:p>
    <w:p>
      <w:pPr>
        <w:keepNext w:val="0"/>
        <w:keepLines w:val="0"/>
        <w:pageBreakBefore w:val="0"/>
        <w:widowControl w:val="0"/>
        <w:kinsoku/>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default" w:ascii="Times New Roman" w:hAnsi="Times New Roman" w:cs="Times New Roman"/>
          <w:color w:val="auto"/>
          <w:highlight w:val="none"/>
          <w:lang w:val="en-US" w:eastAsia="zh-CN"/>
        </w:rPr>
        <w:t>金马1#支管</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从金马分干管里程K2+690处搭接，搭接处坐标（起点坐标）为东经 101°52′46.674″，北纬26°2′16.492″；终点坐标为东经101°52′48.228″，北纬26°1′38.631″</w:t>
      </w:r>
      <w:r>
        <w:rPr>
          <w:rFonts w:hint="eastAsia" w:ascii="Times New Roman" w:hAnsi="Times New Roman" w:cs="Times New Roman"/>
          <w:color w:val="auto"/>
          <w:highlight w:val="none"/>
          <w:lang w:val="en-US" w:eastAsia="zh-CN"/>
        </w:rPr>
        <w:t>，未途径村庄。</w:t>
      </w:r>
      <w:r>
        <w:rPr>
          <w:rFonts w:hint="default"/>
          <w:color w:val="auto"/>
          <w:highlight w:val="none"/>
          <w:lang w:val="en-US" w:eastAsia="zh-CN"/>
        </w:rPr>
        <w:t>平面管长1.186km，</w:t>
      </w:r>
      <w:r>
        <w:rPr>
          <w:rFonts w:hint="eastAsia"/>
          <w:color w:val="auto"/>
          <w:highlight w:val="none"/>
          <w:lang w:val="en-US" w:eastAsia="zh-CN"/>
        </w:rPr>
        <w:t>均采用埋管。</w:t>
      </w:r>
      <w:r>
        <w:rPr>
          <w:rFonts w:hint="default"/>
          <w:color w:val="auto"/>
          <w:highlight w:val="none"/>
          <w:lang w:val="en-US" w:eastAsia="zh-CN"/>
        </w:rPr>
        <w:t>管首流量0.0233m³/s，管材采用Q235B螺旋钢管，管径DN200。</w:t>
      </w:r>
    </w:p>
    <w:p>
      <w:pPr>
        <w:keepNext w:val="0"/>
        <w:keepLines w:val="0"/>
        <w:pageBreakBefore w:val="0"/>
        <w:widowControl w:val="0"/>
        <w:kinsoku/>
        <w:overflowPunct/>
        <w:topLinePunct w:val="0"/>
        <w:autoSpaceDE/>
        <w:autoSpaceDN/>
        <w:bidi w:val="0"/>
        <w:adjustRightInd/>
        <w:snapToGrid w:val="0"/>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金马2#支管：从金马分干管里程K3+158处搭接，搭接处坐标（起点坐标）为东经101°52′39.943″，北纬26°2′28.982″；终点坐标为：东经101°52′6.746″ ，北纬26°1′41.677″。平面管长 1.968km，</w:t>
      </w:r>
      <w:r>
        <w:rPr>
          <w:rFonts w:hint="eastAsia"/>
          <w:color w:val="auto"/>
          <w:highlight w:val="none"/>
          <w:lang w:val="en-US" w:eastAsia="zh-CN"/>
        </w:rPr>
        <w:t>均采用埋管。</w:t>
      </w:r>
      <w:r>
        <w:rPr>
          <w:rFonts w:hint="default" w:ascii="Times New Roman" w:hAnsi="Times New Roman" w:cs="Times New Roman"/>
          <w:color w:val="auto"/>
          <w:highlight w:val="none"/>
          <w:lang w:val="en-US" w:eastAsia="zh-CN"/>
        </w:rPr>
        <w:t>管首流量0.0251m³/s，管材采用Q235B螺旋钢管，管径DN200。</w:t>
      </w:r>
    </w:p>
    <w:p>
      <w:pPr>
        <w:keepNext w:val="0"/>
        <w:keepLines w:val="0"/>
        <w:pageBreakBefore w:val="0"/>
        <w:widowControl w:val="0"/>
        <w:kinsoku/>
        <w:overflowPunct/>
        <w:topLinePunct w:val="0"/>
        <w:autoSpaceDE/>
        <w:autoSpaceDN/>
        <w:bidi w:val="0"/>
        <w:adjustRightInd/>
        <w:snapToGrid w:val="0"/>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金马3#支管：从金马分干管里程K10+232处搭接，搭接处坐标（起点坐标）为东经101°51′12.99614″，北纬26°0′35.95879″，终点坐标为东经101°51′52.557″，北纬26°0′7.976″。平面管长1.457km，管首流量0.0503m³/s，管材采用Q235B螺旋钢管，管径DN200。</w:t>
      </w:r>
    </w:p>
    <w:p>
      <w:pPr>
        <w:keepNext w:val="0"/>
        <w:keepLines w:val="0"/>
        <w:pageBreakBefore w:val="0"/>
        <w:widowControl w:val="0"/>
        <w:kinsoku/>
        <w:overflowPunct/>
        <w:topLinePunct w:val="0"/>
        <w:autoSpaceDE/>
        <w:autoSpaceDN/>
        <w:bidi w:val="0"/>
        <w:adjustRightInd/>
        <w:snapToGrid w:val="0"/>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金马4#支管：从金马分干管里程K12+121处搭接，搭接处坐标（起点坐标）东经101°51′14.026″，北纬25°59′37.929″；终点坐标：东经101°51′30.490″，北纬25°59′34.964″。平面管长0.567km，</w:t>
      </w:r>
      <w:r>
        <w:rPr>
          <w:rFonts w:hint="eastAsia"/>
          <w:color w:val="auto"/>
          <w:highlight w:val="none"/>
          <w:lang w:val="en-US" w:eastAsia="zh-CN"/>
        </w:rPr>
        <w:t>均采用埋管。</w:t>
      </w:r>
      <w:r>
        <w:rPr>
          <w:rFonts w:hint="default" w:ascii="Times New Roman" w:hAnsi="Times New Roman" w:cs="Times New Roman"/>
          <w:color w:val="auto"/>
          <w:highlight w:val="none"/>
          <w:lang w:val="en-US" w:eastAsia="zh-CN"/>
        </w:rPr>
        <w:t>管首流量0.0257m³/s，管材采用Q235B螺旋钢管，管径DN200。</w:t>
      </w:r>
    </w:p>
    <w:p>
      <w:pPr>
        <w:pStyle w:val="5"/>
        <w:numPr>
          <w:ilvl w:val="3"/>
          <w:numId w:val="1"/>
        </w:numPr>
        <w:bidi w:val="0"/>
        <w:ind w:left="480" w:leftChars="0" w:firstLineChars="0"/>
        <w:rPr>
          <w:rFonts w:hint="default"/>
          <w:color w:val="auto"/>
          <w:lang w:val="en-US" w:eastAsia="zh-CN"/>
        </w:rPr>
      </w:pPr>
      <w:r>
        <w:rPr>
          <w:rFonts w:hint="eastAsia"/>
          <w:color w:val="auto"/>
          <w:lang w:val="en-US" w:eastAsia="zh-CN"/>
        </w:rPr>
        <w:t>提水工程</w:t>
      </w:r>
    </w:p>
    <w:p>
      <w:pPr>
        <w:keepNext w:val="0"/>
        <w:keepLines w:val="0"/>
        <w:pageBreakBefore w:val="0"/>
        <w:widowControl w:val="0"/>
        <w:numPr>
          <w:ilvl w:val="0"/>
          <w:numId w:val="0"/>
        </w:numPr>
        <w:kinsoku/>
        <w:wordWrap/>
        <w:overflowPunct/>
        <w:topLinePunct w:val="0"/>
        <w:autoSpaceDE/>
        <w:autoSpaceDN/>
        <w:bidi w:val="0"/>
        <w:adjustRightInd/>
        <w:snapToGrid w:val="0"/>
        <w:ind w:firstLine="482" w:firstLineChars="200"/>
        <w:textAlignment w:val="auto"/>
        <w:rPr>
          <w:rFonts w:hint="eastAsia"/>
          <w:b/>
          <w:bCs/>
          <w:color w:val="auto"/>
          <w:highlight w:val="none"/>
          <w:lang w:val="en-US" w:eastAsia="zh-CN"/>
        </w:rPr>
      </w:pPr>
      <w:r>
        <w:rPr>
          <w:rFonts w:hint="eastAsia"/>
          <w:b/>
          <w:bCs/>
          <w:color w:val="auto"/>
          <w:highlight w:val="none"/>
          <w:lang w:val="en-US" w:eastAsia="zh-CN"/>
        </w:rPr>
        <w:t>（1）泵站</w:t>
      </w:r>
    </w:p>
    <w:p>
      <w:pPr>
        <w:pStyle w:val="35"/>
        <w:keepNext w:val="0"/>
        <w:keepLines w:val="0"/>
        <w:pageBreakBefore w:val="0"/>
        <w:widowControl w:val="0"/>
        <w:numPr>
          <w:ilvl w:val="0"/>
          <w:numId w:val="0"/>
        </w:numPr>
        <w:kinsoku/>
        <w:wordWrap/>
        <w:overflowPunct/>
        <w:topLinePunct w:val="0"/>
        <w:autoSpaceDE/>
        <w:autoSpaceDN/>
        <w:bidi w:val="0"/>
        <w:adjustRightInd/>
        <w:snapToGrid w:val="0"/>
        <w:ind w:firstLine="480" w:firstLineChars="200"/>
        <w:textAlignment w:val="baseline"/>
        <w:rPr>
          <w:rFonts w:hint="default"/>
          <w:b w:val="0"/>
          <w:bCs w:val="0"/>
          <w:color w:val="auto"/>
          <w:lang w:val="en-US" w:eastAsia="zh-CN"/>
        </w:rPr>
      </w:pPr>
      <w:r>
        <w:rPr>
          <w:rFonts w:hint="default"/>
          <w:b w:val="0"/>
          <w:bCs w:val="0"/>
          <w:color w:val="auto"/>
          <w:highlight w:val="none"/>
          <w:lang w:val="en-US" w:eastAsia="zh-CN"/>
        </w:rPr>
        <w:t>本次新建提水泵站2座，分别为平坦提水泵站、白秧树提水泵站</w:t>
      </w:r>
      <w:r>
        <w:rPr>
          <w:rFonts w:hint="eastAsia"/>
          <w:b w:val="0"/>
          <w:bCs w:val="0"/>
          <w:color w:val="auto"/>
          <w:highlight w:val="none"/>
          <w:lang w:val="en-US" w:eastAsia="zh-CN"/>
        </w:rPr>
        <w:t>。</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①</w:t>
      </w:r>
      <w:r>
        <w:rPr>
          <w:rFonts w:hint="default" w:ascii="Times New Roman" w:hAnsi="Times New Roman" w:eastAsia="宋体" w:cs="Times New Roman"/>
          <w:color w:val="auto"/>
          <w:highlight w:val="none"/>
          <w:lang w:val="en-US" w:eastAsia="zh-CN"/>
        </w:rPr>
        <w:t>平坦泵站</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平坦泵站位于平坦泵站提水管道与北干管连接处，中心坐标为</w:t>
      </w:r>
      <w:r>
        <w:rPr>
          <w:rFonts w:hint="default" w:ascii="Times New Roman" w:hAnsi="Times New Roman" w:cs="Times New Roman"/>
          <w:color w:val="auto"/>
          <w:highlight w:val="none"/>
          <w:lang w:val="en-US" w:eastAsia="zh-CN"/>
        </w:rPr>
        <w:t>东经101°54′32.572″，北纬26°3′40.665″。</w:t>
      </w:r>
      <w:r>
        <w:rPr>
          <w:rFonts w:hint="default" w:ascii="Times New Roman" w:hAnsi="Times New Roman" w:eastAsia="宋体" w:cs="Times New Roman"/>
          <w:color w:val="auto"/>
          <w:highlight w:val="none"/>
          <w:lang w:val="en-US" w:eastAsia="zh-CN"/>
        </w:rPr>
        <w:t>由进水池、泵房组成</w:t>
      </w:r>
      <w:r>
        <w:rPr>
          <w:rFonts w:hint="eastAsia" w:cs="Times New Roman"/>
          <w:color w:val="auto"/>
          <w:highlight w:val="none"/>
          <w:lang w:val="en-US" w:eastAsia="zh-CN"/>
        </w:rPr>
        <w:t>，设置3台（2用1备）D型多级卧式离心泵，型号为DP-360-40×9。</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进水池：进水池为正向进水，进水池为矩形水池，采用整体结构设计。底板高程1863.80m，长6.8m，底坡i=0，底宽8.8m，底板、边墙衬砌厚度为0.4m，采用C30钢筋砼，边墙高4.60m。</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泵房：由配电室、水泵室、安装检修间组成</w:t>
      </w:r>
      <w:r>
        <w:rPr>
          <w:rFonts w:hint="eastAsia" w:ascii="Times New Roman" w:hAnsi="Times New Roman" w:eastAsia="宋体" w:cs="Times New Roman"/>
          <w:color w:val="auto"/>
          <w:highlight w:val="none"/>
          <w:lang w:val="en-US" w:eastAsia="zh-CN"/>
        </w:rPr>
        <w:t>。</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val="en-US" w:eastAsia="zh-CN"/>
        </w:rPr>
        <w:t>水泵室长10.8m，宽11.20m，高14.2m，下部采用钢筋混凝土剪力墙结构，上部采用钢筋砼框架结构，屋顶为混凝土现浇屋面。水泵中心距3.4m。水泵室分二层布置，从上到下分别为巡视挑台层、水泵层。布置一台5t电动单梁起重机（LK=9.7m），吊车轨道固定于泵房独立柱牛腿上。水泵层层高4.20m，主要布置2台自平衡离心泵及单机为560kW的电动机等电气设备。主机段边墙厚度均为0.6m，底板厚度0.6m，左、右端两侧共有二把楼梯通往水泵层连接厂内交通。水泵房室外地坪高程1863.80m。出水管道采用两机一管的布置形式，</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eastAsia="宋体" w:cs="Times New Roman"/>
          <w:color w:val="0000FF"/>
          <w:highlight w:val="none"/>
          <w:lang w:val="en-US" w:eastAsia="zh-CN"/>
        </w:rPr>
      </w:pP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val="en-US" w:eastAsia="zh-CN"/>
        </w:rPr>
        <w:t>检修安装间位于水泵室顺水流方向右侧，紧接水泵室布置。长5.60m，宽11.20m，高10.0m，单层布置；采用钢筋混凝土框架结构，现浇钢筋混凝土屋面。水泵主机段与安装间之间设缝，缝宽50mm，并设止水铜片及填缝材料。</w:t>
      </w:r>
      <w:bookmarkStart w:id="355" w:name="OLE_LINK3"/>
      <w:r>
        <w:rPr>
          <w:rFonts w:hint="eastAsia" w:cs="Times New Roman"/>
          <w:color w:val="0000FF"/>
          <w:highlight w:val="none"/>
          <w:lang w:val="en-US" w:eastAsia="zh-CN"/>
        </w:rPr>
        <w:t>在检修间角落设置2㎡的危废暂存间，对检修废机油进行暂存。</w:t>
      </w:r>
    </w:p>
    <w:bookmarkEnd w:id="355"/>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val="en-US" w:eastAsia="zh-CN"/>
        </w:rPr>
        <w:t>配电室位于泵房室左侧，紧接泵房布置。配电室长8.8m，宽11.20，高7.67m，单层布置，与检修安装场高程同高，层高5.47m，采用钢筋混凝土框架结构，现浇钢筋混凝土屋面。为适应配电室不同地基的沉降，与水泵房间设一条沉降缝，缝宽50mm，并设止水铜片及填缝材料。</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②</w:t>
      </w:r>
      <w:r>
        <w:rPr>
          <w:rFonts w:hint="default" w:ascii="Times New Roman" w:hAnsi="Times New Roman" w:eastAsia="宋体" w:cs="Times New Roman"/>
          <w:color w:val="auto"/>
          <w:highlight w:val="none"/>
          <w:lang w:val="en-US" w:eastAsia="zh-CN"/>
        </w:rPr>
        <w:t>白秧树泵站</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白秧树泵站</w:t>
      </w:r>
      <w:r>
        <w:rPr>
          <w:rFonts w:hint="eastAsia" w:ascii="Times New Roman" w:hAnsi="Times New Roman" w:eastAsia="宋体" w:cs="Times New Roman"/>
          <w:color w:val="auto"/>
          <w:highlight w:val="none"/>
          <w:lang w:val="en-US" w:eastAsia="zh-CN"/>
        </w:rPr>
        <w:t>位于</w:t>
      </w:r>
      <w:r>
        <w:rPr>
          <w:rFonts w:hint="default" w:ascii="Times New Roman" w:hAnsi="Times New Roman" w:eastAsia="宋体" w:cs="Times New Roman"/>
          <w:color w:val="auto"/>
          <w:highlight w:val="none"/>
          <w:lang w:val="en-US" w:eastAsia="zh-CN"/>
        </w:rPr>
        <w:t>白秧树泵站1#提水管道</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白秧树泵站2#提水管道起点</w:t>
      </w:r>
      <w:r>
        <w:rPr>
          <w:rFonts w:hint="eastAsia" w:ascii="Times New Roman" w:hAnsi="Times New Roman" w:eastAsia="宋体" w:cs="Times New Roman"/>
          <w:color w:val="auto"/>
          <w:highlight w:val="none"/>
          <w:lang w:val="en-US" w:eastAsia="zh-CN"/>
        </w:rPr>
        <w:t>处，中心地理坐标</w:t>
      </w:r>
      <w:r>
        <w:rPr>
          <w:rFonts w:hint="default" w:ascii="Times New Roman" w:hAnsi="Times New Roman" w:eastAsia="宋体" w:cs="Times New Roman"/>
          <w:color w:val="auto"/>
          <w:highlight w:val="none"/>
          <w:lang w:val="en-US" w:eastAsia="zh-CN"/>
        </w:rPr>
        <w:t>为东经101°56′4.130″，北纬26°5′26.581″</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泵站工程由进水池、泵房组成。</w:t>
      </w:r>
      <w:r>
        <w:rPr>
          <w:rFonts w:hint="eastAsia" w:cs="Times New Roman"/>
          <w:color w:val="auto"/>
          <w:highlight w:val="none"/>
          <w:lang w:val="en-US" w:eastAsia="zh-CN"/>
        </w:rPr>
        <w:t>设置4台（2用2备）D型多级卧式离心泵，型号为：DP-155-30×5。</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进水池：进水池采用现有圆形水池，水池内径5.5m，池壁厚0.3m，池深3.5m。</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泵房：由配电室、水泵室、安装检修间组成。</w:t>
      </w:r>
    </w:p>
    <w:p>
      <w:pPr>
        <w:keepNext w:val="0"/>
        <w:keepLines w:val="0"/>
        <w:pageBreakBefore w:val="0"/>
        <w:widowControl w:val="0"/>
        <w:numPr>
          <w:ilvl w:val="0"/>
          <w:numId w:val="9"/>
        </w:numPr>
        <w:kinsoku/>
        <w:wordWrap/>
        <w:overflowPunct/>
        <w:topLinePunct w:val="0"/>
        <w:autoSpaceDE/>
        <w:autoSpaceDN/>
        <w:bidi w:val="0"/>
        <w:adjustRightInd/>
        <w:snapToGrid w:val="0"/>
        <w:ind w:firstLine="480" w:firstLineChars="200"/>
        <w:textAlignment w:val="auto"/>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水泵室长17.8m，宽9.70m，高12.7m，下部采用钢筋混凝土剪力墙结构，上部采用钢筋砼框架结构，屋顶为混凝土现浇屋面。水泵中心距3.2m。布置一台2t电动单梁起重机（LK=8.1m），吊车轨道固定于泵房独立柱牛腿上。主要布置4台自平衡离心泵及单机为110kW和75kW的电动机等电气设备。主机段边墙厚度均为0.6m，底板厚度0.6m，左、右端两侧共有二把楼梯通往水泵层连接厂内交通。水泵房室外地坪高程1882.06m。出水管道采用两机一管布置形式</w:t>
      </w:r>
      <w:r>
        <w:rPr>
          <w:rFonts w:hint="eastAsia" w:ascii="Times New Roman" w:hAnsi="Times New Roman" w:eastAsia="宋体" w:cs="Times New Roman"/>
          <w:color w:val="auto"/>
          <w:highlight w:val="none"/>
          <w:lang w:val="en-US" w:eastAsia="zh-CN"/>
        </w:rPr>
        <w:t>。</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检修安装间位于水泵室顺水流方向右侧，紧接水泵室布置。长5.20m，宽9.7m，与水泵室同高；采用钢筋混凝土框架结构，现浇钢筋混凝土屋面。</w:t>
      </w:r>
      <w:r>
        <w:rPr>
          <w:rFonts w:hint="eastAsia" w:cs="Times New Roman"/>
          <w:color w:val="0000FF"/>
          <w:highlight w:val="none"/>
          <w:lang w:val="en-US" w:eastAsia="zh-CN"/>
        </w:rPr>
        <w:t>在检修间角落设置2㎡的危废暂存间，对检修废机油进行暂存。</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val="en-US" w:eastAsia="zh-CN"/>
        </w:rPr>
        <w:t>配电室位于泵房室左侧，紧接泵房布置。配电室长8.4m，宽9.7，高10.37m，层高5.47m，采用钢筋混凝土框架结构，现浇钢筋混凝土屋面。为适应配电室不同地基的沉降，与水泵房间设一条沉降缝，缝宽 50mm，设止水铜片及填缝材料。</w:t>
      </w:r>
    </w:p>
    <w:p>
      <w:pPr>
        <w:keepNext w:val="0"/>
        <w:keepLines w:val="0"/>
        <w:pageBreakBefore w:val="0"/>
        <w:widowControl w:val="0"/>
        <w:kinsoku/>
        <w:overflowPunct/>
        <w:topLinePunct w:val="0"/>
        <w:autoSpaceDE/>
        <w:autoSpaceDN/>
        <w:bidi w:val="0"/>
        <w:adjustRightInd/>
        <w:snapToGrid w:val="0"/>
        <w:ind w:firstLine="482" w:firstLineChars="200"/>
        <w:textAlignment w:val="auto"/>
        <w:rPr>
          <w:rFonts w:hint="default" w:ascii="Times New Roman" w:hAnsi="Times New Roman" w:cs="Times New Roman"/>
          <w:b/>
          <w:bCs/>
          <w:color w:val="auto"/>
          <w:highlight w:val="none"/>
          <w:lang w:val="en-US" w:eastAsia="zh-CN"/>
        </w:rPr>
      </w:pPr>
      <w:r>
        <w:rPr>
          <w:rFonts w:hint="eastAsia"/>
          <w:b/>
          <w:bCs/>
          <w:color w:val="auto"/>
          <w:highlight w:val="none"/>
          <w:lang w:val="en-US" w:eastAsia="zh-CN"/>
        </w:rPr>
        <w:t>（2</w:t>
      </w:r>
      <w:r>
        <w:rPr>
          <w:rFonts w:hint="default" w:ascii="Times New Roman" w:hAnsi="Times New Roman" w:cs="Times New Roman"/>
          <w:b/>
          <w:bCs/>
          <w:color w:val="auto"/>
          <w:highlight w:val="none"/>
          <w:lang w:val="en-US" w:eastAsia="zh-CN"/>
        </w:rPr>
        <w:t>）提水管道</w:t>
      </w:r>
    </w:p>
    <w:p>
      <w:pPr>
        <w:keepNext w:val="0"/>
        <w:keepLines w:val="0"/>
        <w:pageBreakBefore w:val="0"/>
        <w:widowControl w:val="0"/>
        <w:kinsoku/>
        <w:overflowPunct/>
        <w:topLinePunct w:val="0"/>
        <w:autoSpaceDE/>
        <w:autoSpaceDN/>
        <w:bidi w:val="0"/>
        <w:adjustRightInd/>
        <w:snapToGrid w:val="0"/>
        <w:ind w:firstLine="480" w:firstLineChars="200"/>
        <w:textAlignment w:val="auto"/>
        <w:rPr>
          <w:rFonts w:hint="default" w:ascii="Times New Roman" w:hAnsi="Times New Roman" w:cs="Times New Roman"/>
          <w:color w:val="0000FF"/>
          <w:highlight w:val="none"/>
          <w:lang w:val="en-US" w:eastAsia="zh-CN"/>
        </w:rPr>
      </w:pPr>
      <w:r>
        <w:rPr>
          <w:rFonts w:hint="default" w:ascii="Times New Roman" w:hAnsi="Times New Roman" w:cs="Times New Roman"/>
          <w:color w:val="auto"/>
          <w:highlight w:val="none"/>
          <w:lang w:val="en-US" w:eastAsia="zh-CN"/>
        </w:rPr>
        <w:t>平坦泵站提水管道</w:t>
      </w:r>
      <w:r>
        <w:rPr>
          <w:rFonts w:hint="eastAsia" w:ascii="Times New Roman" w:hAnsi="Times New Roman" w:cs="Times New Roman"/>
          <w:color w:val="auto"/>
          <w:highlight w:val="none"/>
          <w:lang w:val="en-US" w:eastAsia="zh-CN"/>
        </w:rPr>
        <w:t>起点</w:t>
      </w:r>
      <w:r>
        <w:rPr>
          <w:rFonts w:hint="default" w:ascii="Times New Roman" w:hAnsi="Times New Roman" w:cs="Times New Roman"/>
          <w:color w:val="auto"/>
          <w:highlight w:val="none"/>
          <w:lang w:val="en-US" w:eastAsia="zh-CN"/>
        </w:rPr>
        <w:t>坐标东经101°54′32.572″，北纬26°3′40.665″，终点坐标东经101°52′48.437″，北纬26°4′31.557″。平面长4.519km，</w:t>
      </w:r>
      <w:r>
        <w:rPr>
          <w:rFonts w:hint="eastAsia"/>
          <w:color w:val="auto"/>
          <w:highlight w:val="none"/>
          <w:lang w:val="en-US" w:eastAsia="zh-CN"/>
        </w:rPr>
        <w:t>均采用埋管。</w:t>
      </w:r>
      <w:r>
        <w:rPr>
          <w:rFonts w:hint="default" w:ascii="Times New Roman" w:hAnsi="Times New Roman" w:cs="Times New Roman"/>
          <w:color w:val="auto"/>
          <w:highlight w:val="none"/>
          <w:lang w:val="en-US" w:eastAsia="zh-CN"/>
        </w:rPr>
        <w:t>管首流量0.1897m³/s，管材采用Q235B螺旋钢管，管径DN400。</w:t>
      </w:r>
      <w:r>
        <w:rPr>
          <w:rFonts w:hint="eastAsia" w:cs="Times New Roman"/>
          <w:color w:val="0000FF"/>
          <w:highlight w:val="none"/>
          <w:lang w:val="en-US" w:eastAsia="zh-CN"/>
        </w:rPr>
        <w:t>通过闸阀预留分水口，后期进入姜中水库、李官坟水库。</w:t>
      </w:r>
    </w:p>
    <w:p>
      <w:pPr>
        <w:keepNext w:val="0"/>
        <w:keepLines w:val="0"/>
        <w:pageBreakBefore w:val="0"/>
        <w:widowControl w:val="0"/>
        <w:kinsoku/>
        <w:overflowPunct/>
        <w:topLinePunct w:val="0"/>
        <w:autoSpaceDE/>
        <w:autoSpaceDN/>
        <w:bidi w:val="0"/>
        <w:adjustRightInd/>
        <w:snapToGrid w:val="0"/>
        <w:ind w:firstLine="480" w:firstLineChars="200"/>
        <w:textAlignment w:val="auto"/>
        <w:rPr>
          <w:rFonts w:hint="default"/>
          <w:color w:val="0000FF"/>
          <w:highlight w:val="none"/>
          <w:lang w:val="en-US" w:eastAsia="zh-CN"/>
        </w:rPr>
      </w:pPr>
      <w:r>
        <w:rPr>
          <w:rFonts w:hint="default" w:ascii="Times New Roman" w:hAnsi="Times New Roman" w:cs="Times New Roman"/>
          <w:color w:val="auto"/>
          <w:highlight w:val="none"/>
          <w:lang w:val="en-US" w:eastAsia="zh-CN"/>
        </w:rPr>
        <w:t>白秧树泵站1#提水管道起点为东经101°56′4.130″，北纬26°5′26.581″，终点坐标东经101°55′12.017″，北纬26°6′27.491″</w:t>
      </w:r>
      <w:r>
        <w:rPr>
          <w:rFonts w:hint="eastAsia" w:ascii="Times New Roman" w:hAnsi="Times New Roman" w:cs="Times New Roman"/>
          <w:color w:val="auto"/>
          <w:highlight w:val="none"/>
          <w:lang w:val="en-US" w:eastAsia="zh-CN"/>
        </w:rPr>
        <w:t>。</w:t>
      </w:r>
      <w:r>
        <w:rPr>
          <w:rFonts w:hint="default"/>
          <w:color w:val="auto"/>
          <w:highlight w:val="none"/>
          <w:lang w:val="en-US" w:eastAsia="zh-CN"/>
        </w:rPr>
        <w:t>平面长</w:t>
      </w:r>
      <w:r>
        <w:rPr>
          <w:rFonts w:hint="eastAsia"/>
          <w:color w:val="auto"/>
          <w:highlight w:val="none"/>
          <w:lang w:val="en-US" w:eastAsia="zh-CN"/>
        </w:rPr>
        <w:t>2.166</w:t>
      </w:r>
      <w:r>
        <w:rPr>
          <w:rFonts w:hint="default"/>
          <w:color w:val="auto"/>
          <w:highlight w:val="none"/>
          <w:lang w:val="en-US" w:eastAsia="zh-CN"/>
        </w:rPr>
        <w:t>km，</w:t>
      </w:r>
      <w:r>
        <w:rPr>
          <w:rFonts w:hint="eastAsia"/>
          <w:color w:val="auto"/>
          <w:highlight w:val="none"/>
          <w:lang w:val="en-US" w:eastAsia="zh-CN"/>
        </w:rPr>
        <w:t>均采用埋管。</w:t>
      </w:r>
      <w:r>
        <w:rPr>
          <w:rFonts w:hint="default"/>
          <w:color w:val="auto"/>
          <w:highlight w:val="none"/>
          <w:lang w:val="en-US" w:eastAsia="zh-CN"/>
        </w:rPr>
        <w:t>管首流量0.0617m³/s，管材采用Q235B螺旋钢管，管径DN300。</w:t>
      </w:r>
      <w:r>
        <w:rPr>
          <w:rFonts w:hint="eastAsia"/>
          <w:color w:val="0000FF"/>
          <w:highlight w:val="none"/>
          <w:lang w:val="en-US" w:eastAsia="zh-CN"/>
        </w:rPr>
        <w:t>在库旁通过渠道缓冲进入水平石水库，渠道不包含在本次建设内容中。</w:t>
      </w:r>
    </w:p>
    <w:p>
      <w:pPr>
        <w:keepNext w:val="0"/>
        <w:keepLines w:val="0"/>
        <w:pageBreakBefore w:val="0"/>
        <w:widowControl w:val="0"/>
        <w:kinsoku/>
        <w:overflowPunct/>
        <w:topLinePunct w:val="0"/>
        <w:autoSpaceDE/>
        <w:autoSpaceDN/>
        <w:bidi w:val="0"/>
        <w:adjustRightInd/>
        <w:snapToGrid w:val="0"/>
        <w:ind w:firstLine="480" w:firstLineChars="200"/>
        <w:textAlignment w:val="auto"/>
        <w:rPr>
          <w:rFonts w:hint="default"/>
          <w:color w:val="0000FF"/>
          <w:highlight w:val="none"/>
          <w:lang w:val="en-US" w:eastAsia="zh-CN"/>
        </w:rPr>
      </w:pPr>
      <w:r>
        <w:rPr>
          <w:rFonts w:hint="default"/>
          <w:color w:val="auto"/>
          <w:highlight w:val="none"/>
          <w:lang w:val="en-US" w:eastAsia="zh-CN"/>
        </w:rPr>
        <w:t>白秧树泵站2#提水管道</w:t>
      </w:r>
      <w:r>
        <w:rPr>
          <w:rFonts w:hint="default" w:ascii="Times New Roman" w:hAnsi="Times New Roman" w:cs="Times New Roman"/>
          <w:color w:val="auto"/>
          <w:highlight w:val="none"/>
          <w:lang w:val="en-US" w:eastAsia="zh-CN"/>
        </w:rPr>
        <w:t>起点为东经101°56′4.130″，北纬26°5′26.581″，</w:t>
      </w:r>
      <w:r>
        <w:rPr>
          <w:rFonts w:hint="eastAsia" w:ascii="Times New Roman" w:hAnsi="Times New Roman" w:cs="Times New Roman"/>
          <w:color w:val="auto"/>
          <w:highlight w:val="none"/>
          <w:lang w:val="en-US" w:eastAsia="zh-CN"/>
        </w:rPr>
        <w:t>终点坐标为东经</w:t>
      </w:r>
      <w:r>
        <w:rPr>
          <w:rFonts w:hint="default" w:ascii="Times New Roman" w:hAnsi="Times New Roman" w:cs="Times New Roman"/>
          <w:color w:val="auto"/>
          <w:highlight w:val="none"/>
          <w:lang w:val="en-US" w:eastAsia="zh-CN"/>
        </w:rPr>
        <w:t>101°55′2.71</w:t>
      </w:r>
      <w:r>
        <w:rPr>
          <w:rFonts w:hint="eastAsia" w:ascii="Times New Roman" w:hAnsi="Times New Roman" w:cs="Times New Roman"/>
          <w:color w:val="auto"/>
          <w:highlight w:val="none"/>
          <w:lang w:val="en-US" w:eastAsia="zh-CN"/>
        </w:rPr>
        <w:t>8</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，北纬</w:t>
      </w:r>
      <w:r>
        <w:rPr>
          <w:rFonts w:hint="default" w:ascii="Times New Roman" w:hAnsi="Times New Roman" w:cs="Times New Roman"/>
          <w:color w:val="auto"/>
          <w:highlight w:val="none"/>
          <w:lang w:val="en-US" w:eastAsia="zh-CN"/>
        </w:rPr>
        <w:t>26°5′40.95</w:t>
      </w:r>
      <w:r>
        <w:rPr>
          <w:rFonts w:hint="eastAsia" w:ascii="Times New Roman" w:hAnsi="Times New Roman" w:cs="Times New Roman"/>
          <w:color w:val="auto"/>
          <w:highlight w:val="none"/>
          <w:lang w:val="en-US" w:eastAsia="zh-CN"/>
        </w:rPr>
        <w:t>9</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w:t>
      </w:r>
      <w:r>
        <w:rPr>
          <w:rFonts w:hint="default"/>
          <w:color w:val="auto"/>
          <w:highlight w:val="none"/>
          <w:lang w:val="en-US" w:eastAsia="zh-CN"/>
        </w:rPr>
        <w:t>平面长</w:t>
      </w:r>
      <w:r>
        <w:rPr>
          <w:rFonts w:hint="eastAsia"/>
          <w:color w:val="auto"/>
          <w:highlight w:val="none"/>
          <w:lang w:val="en-US" w:eastAsia="zh-CN"/>
        </w:rPr>
        <w:t>2.653</w:t>
      </w:r>
      <w:r>
        <w:rPr>
          <w:rFonts w:hint="default"/>
          <w:color w:val="auto"/>
          <w:highlight w:val="none"/>
          <w:lang w:val="en-US" w:eastAsia="zh-CN"/>
        </w:rPr>
        <w:t>km，管首流量0.0819m³/s，管材采用Q235B螺旋钢管，管径DN300。</w:t>
      </w:r>
      <w:r>
        <w:rPr>
          <w:rFonts w:hint="eastAsia"/>
          <w:color w:val="0000FF"/>
          <w:highlight w:val="none"/>
          <w:lang w:val="en-US" w:eastAsia="zh-CN"/>
        </w:rPr>
        <w:t>在库旁通过渠道缓冲进入界牌箐水库，渠道不包含在本次建设内容中。</w:t>
      </w:r>
    </w:p>
    <w:p>
      <w:pPr>
        <w:pStyle w:val="5"/>
        <w:numPr>
          <w:ilvl w:val="3"/>
          <w:numId w:val="1"/>
        </w:numPr>
        <w:bidi w:val="0"/>
        <w:ind w:left="480" w:leftChars="0" w:firstLineChars="0"/>
        <w:rPr>
          <w:rFonts w:hint="default"/>
          <w:color w:val="auto"/>
          <w:lang w:val="en-US" w:eastAsia="zh-CN"/>
        </w:rPr>
      </w:pPr>
      <w:r>
        <w:rPr>
          <w:rFonts w:hint="default"/>
          <w:color w:val="auto"/>
          <w:lang w:val="en-US" w:eastAsia="zh-CN"/>
        </w:rPr>
        <w:t>管理房及灌区信息化系统</w:t>
      </w:r>
    </w:p>
    <w:p>
      <w:pPr>
        <w:ind w:firstLine="480" w:firstLineChars="200"/>
        <w:rPr>
          <w:rFonts w:hint="default"/>
          <w:color w:val="auto"/>
          <w:highlight w:val="none"/>
          <w:lang w:val="en-US" w:eastAsia="zh-CN"/>
        </w:rPr>
      </w:pPr>
      <w:r>
        <w:rPr>
          <w:rFonts w:hint="default"/>
          <w:color w:val="auto"/>
          <w:highlight w:val="none"/>
          <w:lang w:val="en-US" w:eastAsia="zh-CN"/>
        </w:rPr>
        <w:t>（1）</w:t>
      </w:r>
      <w:r>
        <w:rPr>
          <w:rFonts w:hint="eastAsia"/>
          <w:color w:val="auto"/>
          <w:highlight w:val="none"/>
          <w:lang w:val="en-US" w:eastAsia="zh-CN"/>
        </w:rPr>
        <w:t>管理房</w:t>
      </w:r>
      <w:r>
        <w:rPr>
          <w:rFonts w:hint="default"/>
          <w:color w:val="auto"/>
          <w:highlight w:val="none"/>
          <w:lang w:val="en-US" w:eastAsia="zh-CN"/>
        </w:rPr>
        <w:t>：在平坦泵站附近，新建1座建筑面积464.58m²管理房（框架结构）</w:t>
      </w:r>
      <w:r>
        <w:rPr>
          <w:rFonts w:hint="eastAsia"/>
          <w:color w:val="auto"/>
          <w:highlight w:val="none"/>
          <w:lang w:val="en-US" w:eastAsia="zh-CN"/>
        </w:rPr>
        <w:t>，共3层，建筑物总高度11.75m，1层布置2间办事大厅，2层布置4间会客室和4间休息室，3层布置4间会客室和4间休息室</w:t>
      </w:r>
      <w:r>
        <w:rPr>
          <w:rFonts w:hint="default"/>
          <w:color w:val="auto"/>
          <w:highlight w:val="none"/>
          <w:lang w:val="en-US" w:eastAsia="zh-CN"/>
        </w:rPr>
        <w:t>。</w:t>
      </w:r>
    </w:p>
    <w:p>
      <w:pPr>
        <w:ind w:firstLine="480" w:firstLineChars="200"/>
        <w:rPr>
          <w:rFonts w:hint="default"/>
          <w:color w:val="auto"/>
          <w:highlight w:val="none"/>
          <w:lang w:val="en-US" w:eastAsia="zh-CN"/>
        </w:rPr>
      </w:pPr>
      <w:r>
        <w:rPr>
          <w:rFonts w:hint="default"/>
          <w:color w:val="auto"/>
          <w:highlight w:val="none"/>
          <w:lang w:val="en-US" w:eastAsia="zh-CN"/>
        </w:rPr>
        <w:t>（2）用水量测及信息化：就近分片控制灌溉。为做好水源点取水量、分水口供水量的计量量测和辅助管道系统运行监测，本工程在管道沿线共设置14个用水量测点，每个量测点各配1套流量计。建设灌区管理一张图，可视化展示平台和可持续可扩展的应用信息服务平台。</w:t>
      </w:r>
    </w:p>
    <w:p>
      <w:pPr>
        <w:pStyle w:val="4"/>
        <w:numPr>
          <w:ilvl w:val="2"/>
          <w:numId w:val="1"/>
        </w:numPr>
        <w:bidi w:val="0"/>
        <w:rPr>
          <w:rFonts w:hint="default"/>
          <w:color w:val="auto"/>
          <w:lang w:val="en-US" w:eastAsia="zh-CN"/>
        </w:rPr>
      </w:pPr>
      <w:bookmarkStart w:id="356" w:name="_Toc1778"/>
      <w:bookmarkStart w:id="357" w:name="_Toc5080"/>
      <w:bookmarkStart w:id="358" w:name="_Toc18747"/>
      <w:r>
        <w:rPr>
          <w:rFonts w:hint="eastAsia"/>
          <w:color w:val="auto"/>
          <w:lang w:val="en-US" w:eastAsia="zh-CN"/>
        </w:rPr>
        <w:t>工程运行调度方式</w:t>
      </w:r>
      <w:bookmarkEnd w:id="356"/>
      <w:bookmarkEnd w:id="357"/>
      <w:bookmarkEnd w:id="358"/>
    </w:p>
    <w:p>
      <w:pPr>
        <w:pStyle w:val="5"/>
        <w:numPr>
          <w:ilvl w:val="3"/>
          <w:numId w:val="10"/>
        </w:numPr>
        <w:bidi w:val="0"/>
        <w:ind w:left="480" w:leftChars="0" w:firstLineChars="0"/>
        <w:rPr>
          <w:rFonts w:hint="default"/>
          <w:color w:val="auto"/>
          <w:lang w:val="en-US" w:eastAsia="zh-CN"/>
        </w:rPr>
      </w:pPr>
      <w:r>
        <w:rPr>
          <w:rFonts w:hint="eastAsia"/>
          <w:color w:val="auto"/>
          <w:lang w:val="en-US" w:eastAsia="zh-CN"/>
        </w:rPr>
        <w:t>工程运行方式</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eastAsia" w:ascii="宋体" w:hAnsi="宋体" w:cs="宋体"/>
          <w:color w:val="auto"/>
          <w:kern w:val="0"/>
          <w:sz w:val="24"/>
          <w:szCs w:val="24"/>
          <w:lang w:val="en-US" w:eastAsia="zh-CN" w:bidi="ar"/>
        </w:rPr>
      </w:pPr>
      <w:r>
        <w:rPr>
          <w:rFonts w:hint="default" w:ascii="Times New Roman" w:hAnsi="Times New Roman" w:cs="Times New Roman"/>
          <w:color w:val="auto"/>
          <w:lang w:val="en-US" w:eastAsia="zh-CN"/>
        </w:rPr>
        <w:t>本工程从在建的《金沙江乌东德水电站水资源综合利用—元谋县姜驿乡提水工程》2040m³高位水池取水至本次新建的3.9万m³高位调节水池作为水源。由</w:t>
      </w:r>
      <w:r>
        <w:rPr>
          <w:rFonts w:hint="default" w:ascii="Times New Roman" w:hAnsi="Times New Roman" w:cs="Times New Roman"/>
          <w:color w:val="auto"/>
          <w:kern w:val="0"/>
          <w:sz w:val="24"/>
          <w:szCs w:val="24"/>
          <w:lang w:val="en-US" w:eastAsia="zh-CN" w:bidi="ar"/>
        </w:rPr>
        <w:t>北干管向北输水至平坦提水泵站、白秧树泵站，北干管向西南分为金马干管、金马1#、2#、3#、4#支管输水。</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b w:val="0"/>
          <w:bCs w:val="0"/>
          <w:color w:val="0000FF"/>
          <w:lang w:val="en-US" w:eastAsia="zh-CN"/>
        </w:rPr>
      </w:pPr>
      <w:r>
        <w:rPr>
          <w:rFonts w:hint="default" w:ascii="Times New Roman" w:hAnsi="Times New Roman" w:cs="Times New Roman"/>
          <w:color w:val="0000FF"/>
          <w:kern w:val="0"/>
          <w:sz w:val="24"/>
          <w:szCs w:val="24"/>
          <w:lang w:val="en-US" w:eastAsia="zh-CN" w:bidi="ar"/>
        </w:rPr>
        <w:t>白秧树泵站所在地高程为1883m，</w:t>
      </w:r>
      <w:r>
        <w:rPr>
          <w:rFonts w:hint="eastAsia" w:ascii="Times New Roman" w:hAnsi="Times New Roman" w:cs="Times New Roman"/>
          <w:color w:val="0000FF"/>
          <w:kern w:val="0"/>
          <w:sz w:val="24"/>
          <w:szCs w:val="24"/>
          <w:lang w:val="en-US" w:eastAsia="zh-CN" w:bidi="ar"/>
        </w:rPr>
        <w:t>通过白秧树泵站1#提水管线提水至平均高程1990.23m处的界牌箐水库；通过白秧树泵站2#提水管线提水至平均高程1951.7m处的水平石水库。</w:t>
      </w:r>
      <w:r>
        <w:rPr>
          <w:rFonts w:hint="eastAsia" w:ascii="宋体" w:hAnsi="宋体" w:cs="宋体"/>
          <w:color w:val="0000FF"/>
          <w:kern w:val="0"/>
          <w:sz w:val="24"/>
          <w:szCs w:val="24"/>
          <w:lang w:val="en-US" w:eastAsia="zh-CN" w:bidi="ar"/>
        </w:rPr>
        <w:t>平坦泵站通过闸阀预留姜中水库、李官坟水库分水口，</w:t>
      </w:r>
      <w:r>
        <w:rPr>
          <w:rFonts w:hint="eastAsia"/>
          <w:color w:val="0000FF"/>
          <w:sz w:val="24"/>
          <w:szCs w:val="24"/>
          <w:lang w:val="en-US" w:eastAsia="zh-CN"/>
        </w:rPr>
        <w:t>工程通过</w:t>
      </w:r>
      <w:r>
        <w:rPr>
          <w:rFonts w:hint="eastAsia" w:ascii="宋体" w:hAnsi="宋体" w:eastAsia="宋体" w:cs="宋体"/>
          <w:color w:val="0000FF"/>
          <w:kern w:val="0"/>
          <w:sz w:val="24"/>
          <w:szCs w:val="24"/>
          <w:lang w:val="en-US" w:eastAsia="zh-CN" w:bidi="ar"/>
        </w:rPr>
        <w:t>灌区信息化系统</w:t>
      </w:r>
      <w:r>
        <w:rPr>
          <w:rFonts w:hint="eastAsia" w:ascii="宋体" w:hAnsi="宋体" w:cs="宋体"/>
          <w:color w:val="0000FF"/>
          <w:kern w:val="0"/>
          <w:sz w:val="24"/>
          <w:szCs w:val="24"/>
          <w:lang w:val="en-US" w:eastAsia="zh-CN" w:bidi="ar"/>
        </w:rPr>
        <w:t>远程控制灌溉。</w:t>
      </w:r>
      <w:r>
        <w:rPr>
          <w:rFonts w:hint="default" w:ascii="Times New Roman" w:hAnsi="Times New Roman" w:cs="Times New Roman"/>
          <w:b w:val="0"/>
          <w:bCs w:val="0"/>
          <w:color w:val="0000FF"/>
          <w:spacing w:val="-6"/>
          <w:sz w:val="24"/>
          <w:szCs w:val="24"/>
          <w:lang w:val="en-US" w:eastAsia="zh-CN"/>
        </w:rPr>
        <w:t>运行示意</w:t>
      </w:r>
      <w:r>
        <w:rPr>
          <w:rFonts w:hint="eastAsia" w:cs="Times New Roman"/>
          <w:b w:val="0"/>
          <w:bCs w:val="0"/>
          <w:color w:val="0000FF"/>
          <w:spacing w:val="-6"/>
          <w:sz w:val="24"/>
          <w:szCs w:val="24"/>
          <w:lang w:val="en-US" w:eastAsia="zh-CN"/>
        </w:rPr>
        <w:t>如下图所示：</w:t>
      </w:r>
    </w:p>
    <w:p>
      <w:pPr>
        <w:keepNext w:val="0"/>
        <w:keepLines w:val="0"/>
        <w:pageBreakBefore w:val="0"/>
        <w:widowControl w:val="0"/>
        <w:kinsoku/>
        <w:wordWrap/>
        <w:overflowPunct/>
        <w:topLinePunct w:val="0"/>
        <w:autoSpaceDE/>
        <w:autoSpaceDN/>
        <w:bidi w:val="0"/>
        <w:adjustRightInd/>
        <w:snapToGrid w:val="0"/>
        <w:ind w:firstLine="480" w:firstLineChars="200"/>
        <w:jc w:val="center"/>
        <w:textAlignment w:val="auto"/>
        <w:rPr>
          <w:rFonts w:hint="default" w:eastAsia="宋体"/>
          <w:color w:val="auto"/>
          <w:lang w:val="en-US" w:eastAsia="zh-CN"/>
        </w:rPr>
      </w:pPr>
      <w:r>
        <w:rPr>
          <w:rFonts w:hint="default" w:eastAsia="宋体"/>
          <w:color w:val="auto"/>
          <w:lang w:val="en-US" w:eastAsia="zh-CN"/>
        </w:rPr>
        <w:drawing>
          <wp:inline distT="0" distB="0" distL="114300" distR="114300">
            <wp:extent cx="5170805" cy="2598420"/>
            <wp:effectExtent l="0" t="0" r="10795" b="7620"/>
            <wp:docPr id="90" name="图片 90" descr="7f50aee23883767fe26dc7d8bc3ea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7f50aee23883767fe26dc7d8bc3eac9"/>
                    <pic:cNvPicPr>
                      <a:picLocks noChangeAspect="1"/>
                    </pic:cNvPicPr>
                  </pic:nvPicPr>
                  <pic:blipFill>
                    <a:blip r:embed="rId44"/>
                    <a:srcRect t="1321" b="2758"/>
                    <a:stretch>
                      <a:fillRect/>
                    </a:stretch>
                  </pic:blipFill>
                  <pic:spPr>
                    <a:xfrm>
                      <a:off x="0" y="0"/>
                      <a:ext cx="5170805" cy="25984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val="0"/>
        <w:ind w:firstLine="398" w:firstLineChars="200"/>
        <w:jc w:val="center"/>
        <w:textAlignment w:val="auto"/>
        <w:rPr>
          <w:rFonts w:hint="default" w:ascii="Times New Roman" w:hAnsi="Times New Roman" w:cs="Times New Roman"/>
          <w:b/>
          <w:bCs/>
          <w:color w:val="auto"/>
          <w:spacing w:val="-6"/>
          <w:sz w:val="21"/>
          <w:szCs w:val="21"/>
          <w:lang w:val="en-US" w:eastAsia="zh-CN"/>
        </w:rPr>
      </w:pPr>
      <w:r>
        <w:rPr>
          <w:rFonts w:hint="default" w:ascii="Times New Roman" w:hAnsi="Times New Roman" w:cs="Times New Roman"/>
          <w:b/>
          <w:bCs/>
          <w:color w:val="auto"/>
          <w:spacing w:val="-6"/>
          <w:sz w:val="21"/>
          <w:szCs w:val="21"/>
          <w:lang w:val="en-US" w:eastAsia="zh-CN"/>
        </w:rPr>
        <w:t>图2.3</w:t>
      </w:r>
      <w:r>
        <w:rPr>
          <w:rFonts w:hint="eastAsia" w:cs="Times New Roman"/>
          <w:b/>
          <w:bCs/>
          <w:color w:val="auto"/>
          <w:spacing w:val="-6"/>
          <w:sz w:val="21"/>
          <w:szCs w:val="21"/>
          <w:lang w:val="en-US" w:eastAsia="zh-CN"/>
        </w:rPr>
        <w:t>.4-1</w:t>
      </w:r>
      <w:r>
        <w:rPr>
          <w:rFonts w:hint="default" w:ascii="Times New Roman" w:hAnsi="Times New Roman" w:cs="Times New Roman"/>
          <w:b/>
          <w:bCs/>
          <w:color w:val="auto"/>
          <w:spacing w:val="-6"/>
          <w:sz w:val="21"/>
          <w:szCs w:val="21"/>
          <w:lang w:val="en-US" w:eastAsia="zh-CN"/>
        </w:rPr>
        <w:t xml:space="preserve">   工程运行示意图</w:t>
      </w:r>
    </w:p>
    <w:p>
      <w:pPr>
        <w:pStyle w:val="5"/>
        <w:tabs>
          <w:tab w:val="clear" w:pos="420"/>
        </w:tabs>
        <w:bidi w:val="0"/>
        <w:ind w:left="480" w:leftChars="0" w:firstLineChars="0"/>
        <w:rPr>
          <w:rFonts w:hint="eastAsia"/>
          <w:color w:val="auto"/>
          <w:lang w:val="en-US" w:eastAsia="zh-CN"/>
        </w:rPr>
      </w:pPr>
      <w:r>
        <w:rPr>
          <w:rFonts w:hint="eastAsia"/>
          <w:color w:val="auto"/>
          <w:lang w:val="en-US" w:eastAsia="zh-CN"/>
        </w:rPr>
        <w:t>工程调度方式</w:t>
      </w:r>
    </w:p>
    <w:p>
      <w:pPr>
        <w:bidi w:val="0"/>
        <w:rPr>
          <w:rFonts w:hint="eastAsia"/>
          <w:color w:val="0000FF"/>
          <w:lang w:val="en-US" w:eastAsia="zh-CN"/>
        </w:rPr>
      </w:pPr>
      <w:r>
        <w:rPr>
          <w:rFonts w:hint="eastAsia"/>
          <w:color w:val="0000FF"/>
          <w:lang w:val="en-US" w:eastAsia="zh-CN"/>
        </w:rPr>
        <w:t>本项目运行方式与金沙江乌东德水电站水资源综合利用—元谋县姜驿乡提水工程一致，均为全年取水（供水）。项目建成后，一部分通过管道向灌区直接供水，另一部分向灌区已建水库进行补水。</w:t>
      </w:r>
      <w:r>
        <w:rPr>
          <w:rFonts w:hint="default"/>
          <w:color w:val="auto"/>
          <w:lang w:val="en-US" w:eastAsia="zh-CN"/>
        </w:rPr>
        <w:t>本次工程的受水区为4座已建水库，分别为界牌箐水库、水平石水库、姜中水库、李官坟水库</w:t>
      </w:r>
      <w:r>
        <w:rPr>
          <w:rFonts w:hint="eastAsia"/>
          <w:color w:val="auto"/>
          <w:lang w:val="en-US" w:eastAsia="zh-CN"/>
        </w:rPr>
        <w:t>，</w:t>
      </w:r>
      <w:r>
        <w:rPr>
          <w:rFonts w:hint="eastAsia"/>
          <w:color w:val="0000FF"/>
          <w:lang w:val="en-US" w:eastAsia="zh-CN"/>
        </w:rPr>
        <w:t>以上水库未进行过环境影响评价</w:t>
      </w:r>
      <w:r>
        <w:rPr>
          <w:rFonts w:hint="default"/>
          <w:color w:val="0000FF"/>
          <w:lang w:val="en-US" w:eastAsia="zh-CN"/>
        </w:rPr>
        <w:t>。</w:t>
      </w:r>
      <w:r>
        <w:rPr>
          <w:rFonts w:hint="default"/>
          <w:color w:val="auto"/>
          <w:lang w:val="en-US" w:eastAsia="zh-CN"/>
        </w:rPr>
        <w:t>其中姜中水库和李官坟水库为预留分水口</w:t>
      </w:r>
      <w:r>
        <w:rPr>
          <w:rFonts w:hint="eastAsia"/>
          <w:color w:val="auto"/>
          <w:lang w:val="en-US" w:eastAsia="zh-CN"/>
        </w:rPr>
        <w:t>。项目灌溉供水运行方式主要为：在丰水期向界牌箐水库、水平石水库补水以备枯水期使用，</w:t>
      </w:r>
      <w:r>
        <w:rPr>
          <w:rFonts w:hint="default"/>
          <w:color w:val="auto"/>
          <w:lang w:val="en-US" w:eastAsia="zh-CN"/>
        </w:rPr>
        <w:t>11月、12月、1月、2月、3月、4月</w:t>
      </w:r>
      <w:r>
        <w:rPr>
          <w:rFonts w:hint="eastAsia"/>
          <w:color w:val="auto"/>
          <w:lang w:val="en-US" w:eastAsia="zh-CN"/>
        </w:rPr>
        <w:t>不补水；考虑姜中水库、</w:t>
      </w:r>
      <w:r>
        <w:rPr>
          <w:rFonts w:hint="eastAsia"/>
          <w:color w:val="0000FF"/>
          <w:lang w:val="en-US" w:eastAsia="zh-CN"/>
        </w:rPr>
        <w:t>李官坟水库后期补水量，预留分水口；全年通过管道向灌区供水。</w:t>
      </w:r>
    </w:p>
    <w:p>
      <w:pPr>
        <w:rPr>
          <w:rFonts w:hint="eastAsia"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本项目项目运行调度水量分配见表2.3.4-1。</w:t>
      </w:r>
    </w:p>
    <w:p>
      <w:pPr>
        <w:rPr>
          <w:rFonts w:hint="default"/>
          <w:color w:val="0000FF"/>
          <w:lang w:val="en-US" w:eastAsia="zh-CN"/>
        </w:rPr>
      </w:pPr>
      <w:r>
        <w:rPr>
          <w:rFonts w:hint="eastAsia"/>
          <w:color w:val="0000FF"/>
          <w:lang w:val="en-US" w:eastAsia="zh-CN"/>
        </w:rPr>
        <w:t>受水区水库与本项目关系图如图2.3.4-1所示：</w:t>
      </w:r>
    </w:p>
    <w:p>
      <w:pPr>
        <w:keepNext w:val="0"/>
        <w:keepLines w:val="0"/>
        <w:pageBreakBefore w:val="0"/>
        <w:widowControl w:val="0"/>
        <w:kinsoku/>
        <w:wordWrap/>
        <w:overflowPunct/>
        <w:topLinePunct w:val="0"/>
        <w:autoSpaceDE/>
        <w:autoSpaceDN/>
        <w:bidi w:val="0"/>
        <w:adjustRightInd/>
        <w:snapToGrid w:val="0"/>
        <w:ind w:firstLine="422" w:firstLineChars="200"/>
        <w:jc w:val="center"/>
        <w:textAlignment w:val="auto"/>
        <w:rPr>
          <w:rFonts w:hint="default" w:ascii="Times New Roman" w:hAnsi="Times New Roman" w:cs="Times New Roman"/>
          <w:b/>
          <w:bCs/>
          <w:color w:val="0000FF"/>
          <w:spacing w:val="-6"/>
          <w:sz w:val="21"/>
          <w:szCs w:val="21"/>
          <w:lang w:val="en-US" w:eastAsia="zh-CN"/>
        </w:rPr>
      </w:pPr>
      <w:r>
        <w:rPr>
          <w:rFonts w:hint="eastAsia" w:hAnsi="宋体"/>
          <w:b/>
          <w:color w:val="0000FF"/>
          <w:sz w:val="21"/>
          <w:szCs w:val="21"/>
        </w:rPr>
        <w:object>
          <v:shape id="_x0000_i1025" o:spt="75" type="#_x0000_t75" style="height:246pt;width:388.2pt;" o:ole="t" filled="f" o:preferrelative="t" stroked="f" coordsize="21600,21600">
            <v:path/>
            <v:fill on="f" focussize="0,0"/>
            <v:stroke on="f"/>
            <v:imagedata r:id="rId46" croptop="16631f" cropright="571f" cropbottom="16012f" o:title=""/>
            <o:lock v:ext="edit" aspectratio="f"/>
            <w10:wrap type="none"/>
            <w10:anchorlock/>
          </v:shape>
          <o:OLEObject Type="Embed" ProgID="Visio.Drawing.11" ShapeID="_x0000_i1025" DrawAspect="Content" ObjectID="_1468075725" r:id="rId45">
            <o:LockedField>false</o:LockedField>
          </o:OLEObject>
        </w:object>
      </w:r>
    </w:p>
    <w:p>
      <w:pPr>
        <w:keepNext w:val="0"/>
        <w:keepLines w:val="0"/>
        <w:pageBreakBefore w:val="0"/>
        <w:widowControl w:val="0"/>
        <w:kinsoku/>
        <w:wordWrap/>
        <w:overflowPunct/>
        <w:topLinePunct w:val="0"/>
        <w:autoSpaceDE/>
        <w:autoSpaceDN/>
        <w:bidi w:val="0"/>
        <w:adjustRightInd/>
        <w:snapToGrid w:val="0"/>
        <w:ind w:firstLine="398" w:firstLineChars="200"/>
        <w:jc w:val="center"/>
        <w:textAlignment w:val="auto"/>
        <w:rPr>
          <w:rFonts w:hint="eastAsia" w:cs="Times New Roman"/>
          <w:b/>
          <w:bCs/>
          <w:color w:val="0000FF"/>
          <w:spacing w:val="-6"/>
          <w:sz w:val="21"/>
          <w:szCs w:val="21"/>
          <w:lang w:val="en-US" w:eastAsia="zh-CN"/>
        </w:rPr>
      </w:pPr>
      <w:r>
        <w:rPr>
          <w:rFonts w:hint="eastAsia" w:cs="Times New Roman"/>
          <w:b/>
          <w:bCs/>
          <w:color w:val="0000FF"/>
          <w:spacing w:val="-6"/>
          <w:sz w:val="21"/>
          <w:szCs w:val="21"/>
          <w:lang w:val="en-US" w:eastAsia="zh-CN"/>
        </w:rPr>
        <w:t>图2.3.4-1   受水区水库与本项目的供水关系图</w:t>
      </w:r>
    </w:p>
    <w:p>
      <w:pPr>
        <w:rPr>
          <w:rFonts w:hint="default" w:ascii="Times New Roman" w:hAnsi="Times New Roman" w:eastAsia="宋体" w:cs="Times New Roman"/>
          <w:color w:val="0000FF"/>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p>
    <w:p>
      <w:pPr>
        <w:spacing w:line="240" w:lineRule="auto"/>
        <w:jc w:val="center"/>
        <w:rPr>
          <w:rFonts w:hint="default" w:ascii="Times New Roman" w:hAnsi="Times New Roman" w:eastAsia="宋体" w:cs="Times New Roman"/>
          <w:b/>
          <w:bCs/>
          <w:color w:val="0000FF"/>
          <w:highlight w:val="none"/>
          <w:lang w:val="en-US" w:eastAsia="zh-CN"/>
        </w:rPr>
      </w:pPr>
      <w:r>
        <w:rPr>
          <w:rFonts w:hint="eastAsia" w:ascii="Times New Roman" w:hAnsi="Times New Roman" w:eastAsia="宋体" w:cs="Times New Roman"/>
          <w:b/>
          <w:bCs/>
          <w:color w:val="auto"/>
          <w:highlight w:val="none"/>
          <w:lang w:val="en-US" w:eastAsia="zh-CN"/>
        </w:rPr>
        <w:t>表2.3.4-1   项目调度方式一览表</w:t>
      </w:r>
      <w:r>
        <w:rPr>
          <w:rFonts w:hint="eastAsia" w:cs="Times New Roman"/>
          <w:b/>
          <w:bCs/>
          <w:color w:val="auto"/>
          <w:highlight w:val="none"/>
          <w:lang w:val="en-US" w:eastAsia="zh-CN"/>
        </w:rPr>
        <w:t xml:space="preserve">     </w:t>
      </w:r>
      <w:r>
        <w:rPr>
          <w:rFonts w:hint="eastAsia" w:cs="Times New Roman"/>
          <w:b/>
          <w:bCs/>
          <w:color w:val="0000FF"/>
          <w:highlight w:val="none"/>
          <w:lang w:val="en-US" w:eastAsia="zh-CN"/>
        </w:rPr>
        <w:t xml:space="preserve">  单位:万m³</w:t>
      </w:r>
    </w:p>
    <w:tbl>
      <w:tblPr>
        <w:tblStyle w:val="29"/>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316"/>
        <w:gridCol w:w="891"/>
        <w:gridCol w:w="891"/>
        <w:gridCol w:w="891"/>
        <w:gridCol w:w="891"/>
        <w:gridCol w:w="892"/>
        <w:gridCol w:w="892"/>
        <w:gridCol w:w="892"/>
        <w:gridCol w:w="977"/>
        <w:gridCol w:w="892"/>
        <w:gridCol w:w="892"/>
        <w:gridCol w:w="892"/>
        <w:gridCol w:w="977"/>
        <w:gridCol w:w="97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内容</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6月</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7月</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8月</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9月</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10月</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11月</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12月</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1月</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2月</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3月</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4月</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5月</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合计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界牌箐水库补水过程</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0.33</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0.34</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0.34</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0.33</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0.34</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0.33</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2.0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水平石水库补水过程</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1.67</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1.73</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1.73</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1.67</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1.73</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1.67</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10.2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姜中水库补水过程</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0.67</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0.69</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0.69</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0.67</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0.69</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0.67</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4.1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李官坟水库补水过程</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0.49</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0.51</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0.51</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0.49</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0.51</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0.49</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3.0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管道直供灌溉供水过程</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51.6</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20.1</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20.1</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20.1</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20.1</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63.8</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63.8</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110.2</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93</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74.9</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90.6</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113.1</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741.4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总供水</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54.8 </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23.4 </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23.4 </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23.3 </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23.4 </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67.0 </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63.8 </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110.2 </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93.0 </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74.9 </w:t>
            </w:r>
          </w:p>
        </w:tc>
        <w:tc>
          <w:tcPr>
            <w:tcW w:w="3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90.6 </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113.1 </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760.7 </w:t>
            </w:r>
          </w:p>
        </w:tc>
      </w:tr>
    </w:tbl>
    <w:p>
      <w:pPr>
        <w:tabs>
          <w:tab w:val="left" w:pos="0"/>
          <w:tab w:val="left" w:pos="283"/>
        </w:tabs>
        <w:spacing w:line="240" w:lineRule="auto"/>
        <w:jc w:val="center"/>
        <w:outlineLvl w:val="9"/>
        <w:rPr>
          <w:rFonts w:hint="eastAsia" w:hAnsi="宋体"/>
          <w:b/>
          <w:color w:val="auto"/>
          <w:sz w:val="21"/>
          <w:szCs w:val="21"/>
        </w:rPr>
      </w:pPr>
    </w:p>
    <w:p>
      <w:pPr>
        <w:tabs>
          <w:tab w:val="left" w:pos="0"/>
          <w:tab w:val="left" w:pos="283"/>
        </w:tabs>
        <w:spacing w:line="240" w:lineRule="auto"/>
        <w:jc w:val="center"/>
        <w:outlineLvl w:val="9"/>
        <w:rPr>
          <w:rFonts w:hint="default" w:eastAsia="宋体"/>
          <w:color w:val="auto"/>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p>
    <w:p>
      <w:pPr>
        <w:pStyle w:val="3"/>
        <w:bidi w:val="0"/>
        <w:rPr>
          <w:rFonts w:hint="default"/>
          <w:color w:val="auto"/>
          <w:lang w:val="en-US" w:eastAsia="zh-CN"/>
        </w:rPr>
      </w:pPr>
      <w:bookmarkStart w:id="359" w:name="_Toc17155"/>
      <w:bookmarkStart w:id="360" w:name="_Toc13979"/>
      <w:bookmarkStart w:id="361" w:name="_Toc17268"/>
      <w:bookmarkStart w:id="362" w:name="_Toc32319"/>
      <w:bookmarkStart w:id="363" w:name="_Toc32507"/>
      <w:r>
        <w:rPr>
          <w:rFonts w:hint="eastAsia"/>
          <w:color w:val="auto"/>
          <w:lang w:val="en-US" w:eastAsia="zh-CN"/>
        </w:rPr>
        <w:t>总平面</w:t>
      </w:r>
      <w:bookmarkEnd w:id="359"/>
      <w:r>
        <w:rPr>
          <w:rFonts w:hint="eastAsia"/>
          <w:color w:val="auto"/>
          <w:lang w:val="en-US" w:eastAsia="zh-CN"/>
        </w:rPr>
        <w:t>布置</w:t>
      </w:r>
      <w:bookmarkEnd w:id="360"/>
      <w:bookmarkEnd w:id="361"/>
      <w:bookmarkEnd w:id="362"/>
      <w:bookmarkEnd w:id="363"/>
    </w:p>
    <w:p>
      <w:pPr>
        <w:ind w:firstLine="480" w:firstLineChars="200"/>
        <w:rPr>
          <w:rFonts w:hint="eastAsia"/>
          <w:color w:val="0000FF"/>
          <w:highlight w:val="none"/>
          <w:lang w:val="en-US" w:eastAsia="zh-CN"/>
        </w:rPr>
      </w:pPr>
      <w:r>
        <w:rPr>
          <w:rFonts w:hint="default"/>
          <w:color w:val="auto"/>
          <w:highlight w:val="none"/>
          <w:lang w:val="en-US" w:eastAsia="zh-CN"/>
        </w:rPr>
        <w:t>本工程采用管道输水方式，由输水管道工程、提水泵站、提水管道工程和灌区信息化建设组成。北干管从3.9万m³高位调节水池取水，</w:t>
      </w:r>
      <w:r>
        <w:rPr>
          <w:rFonts w:hint="eastAsia"/>
          <w:color w:val="auto"/>
          <w:highlight w:val="none"/>
          <w:lang w:val="en-US" w:eastAsia="zh-CN"/>
        </w:rPr>
        <w:t>北干管</w:t>
      </w:r>
      <w:r>
        <w:rPr>
          <w:rFonts w:hint="default"/>
          <w:color w:val="auto"/>
          <w:highlight w:val="none"/>
          <w:lang w:val="en-US" w:eastAsia="zh-CN"/>
        </w:rPr>
        <w:t>沿华峰村顺乡村道路布置，途径</w:t>
      </w:r>
      <w:r>
        <w:rPr>
          <w:rFonts w:hint="eastAsia"/>
          <w:color w:val="auto"/>
          <w:highlight w:val="none"/>
          <w:lang w:val="en-US" w:eastAsia="zh-CN"/>
        </w:rPr>
        <w:t>羊腊席</w:t>
      </w:r>
      <w:r>
        <w:rPr>
          <w:rFonts w:hint="default"/>
          <w:color w:val="auto"/>
          <w:highlight w:val="none"/>
          <w:lang w:val="en-US" w:eastAsia="zh-CN"/>
        </w:rPr>
        <w:t>村、姜驿大村、拉黑沟至白杨树村。金马分干管从北干管里程</w:t>
      </w:r>
      <w:r>
        <w:rPr>
          <w:rFonts w:hint="eastAsia"/>
          <w:color w:val="auto"/>
          <w:highlight w:val="none"/>
          <w:lang w:val="en-US" w:eastAsia="zh-CN"/>
        </w:rPr>
        <w:t>K</w:t>
      </w:r>
      <w:r>
        <w:rPr>
          <w:rFonts w:hint="default"/>
          <w:color w:val="auto"/>
          <w:highlight w:val="none"/>
          <w:lang w:val="en-US" w:eastAsia="zh-CN"/>
        </w:rPr>
        <w:t>3+160处搭接，并顺火焰山山脊跨布置跨过沙沟箐到阿洒姑，在途径干海子、他马嘎达到棋盘山</w:t>
      </w:r>
      <w:r>
        <w:rPr>
          <w:rFonts w:hint="eastAsia"/>
          <w:color w:val="auto"/>
          <w:highlight w:val="none"/>
          <w:lang w:val="en-US" w:eastAsia="zh-CN"/>
        </w:rPr>
        <w:t>。平坦提水泵站提水输送至姜驿乡、红坡村、平坦村；</w:t>
      </w:r>
      <w:r>
        <w:rPr>
          <w:rFonts w:hint="eastAsia"/>
          <w:color w:val="0000FF"/>
          <w:highlight w:val="none"/>
          <w:lang w:val="en-US" w:eastAsia="zh-CN"/>
        </w:rPr>
        <w:t>平坦泵站位于管理用房内；</w:t>
      </w:r>
      <w:r>
        <w:rPr>
          <w:rFonts w:hint="eastAsia"/>
          <w:color w:val="auto"/>
          <w:highlight w:val="none"/>
          <w:lang w:val="en-US" w:eastAsia="zh-CN"/>
        </w:rPr>
        <w:t>白秧树村泵站1#提水管道输送至</w:t>
      </w:r>
      <w:r>
        <w:rPr>
          <w:rFonts w:hint="eastAsia"/>
          <w:color w:val="0000FF"/>
          <w:highlight w:val="none"/>
          <w:lang w:val="en-US" w:eastAsia="zh-CN"/>
        </w:rPr>
        <w:t>界牌箐水库</w:t>
      </w:r>
      <w:r>
        <w:rPr>
          <w:rFonts w:hint="eastAsia"/>
          <w:color w:val="auto"/>
          <w:highlight w:val="none"/>
          <w:lang w:val="en-US" w:eastAsia="zh-CN"/>
        </w:rPr>
        <w:t>，白秧树村泵站2#提水管道输送至</w:t>
      </w:r>
      <w:r>
        <w:rPr>
          <w:rFonts w:hint="eastAsia"/>
          <w:color w:val="0000FF"/>
          <w:highlight w:val="none"/>
          <w:lang w:val="en-US" w:eastAsia="zh-CN"/>
        </w:rPr>
        <w:t>水平石水库。</w:t>
      </w:r>
    </w:p>
    <w:p>
      <w:pPr>
        <w:keepNext w:val="0"/>
        <w:keepLines w:val="0"/>
        <w:pageBreakBefore w:val="0"/>
        <w:widowControl w:val="0"/>
        <w:kinsoku/>
        <w:wordWrap/>
        <w:overflowPunct/>
        <w:topLinePunct w:val="0"/>
        <w:autoSpaceDE/>
        <w:autoSpaceDN/>
        <w:bidi w:val="0"/>
        <w:adjustRightInd/>
        <w:snapToGrid w:val="0"/>
        <w:ind w:left="0" w:leftChars="0" w:firstLine="480" w:firstLineChars="200"/>
        <w:textAlignment w:val="auto"/>
        <w:rPr>
          <w:rFonts w:hint="default"/>
          <w:color w:val="0000FF"/>
          <w:highlight w:val="yellow"/>
          <w:lang w:val="en-US" w:eastAsia="zh-CN"/>
        </w:rPr>
      </w:pPr>
      <w:r>
        <w:rPr>
          <w:rFonts w:hint="eastAsia"/>
          <w:color w:val="0000FF"/>
          <w:highlight w:val="none"/>
          <w:lang w:val="en-US" w:eastAsia="zh-CN"/>
        </w:rPr>
        <w:t>项目总平面布置图见附图3。</w:t>
      </w:r>
    </w:p>
    <w:p>
      <w:pPr>
        <w:pStyle w:val="3"/>
        <w:bidi w:val="0"/>
        <w:rPr>
          <w:rFonts w:hint="eastAsia"/>
          <w:color w:val="auto"/>
          <w:lang w:val="en-US" w:eastAsia="zh-CN"/>
        </w:rPr>
      </w:pPr>
      <w:bookmarkStart w:id="364" w:name="_Toc30192"/>
      <w:r>
        <w:rPr>
          <w:rFonts w:hint="eastAsia"/>
          <w:color w:val="auto"/>
          <w:lang w:val="en-US" w:eastAsia="zh-CN"/>
        </w:rPr>
        <w:t>工程占地及拆迁安置</w:t>
      </w:r>
      <w:bookmarkEnd w:id="364"/>
    </w:p>
    <w:p>
      <w:pPr>
        <w:pStyle w:val="4"/>
        <w:numPr>
          <w:ilvl w:val="2"/>
          <w:numId w:val="10"/>
        </w:numPr>
        <w:tabs>
          <w:tab w:val="left" w:pos="420"/>
        </w:tabs>
        <w:bidi w:val="0"/>
        <w:rPr>
          <w:rFonts w:hint="eastAsia"/>
          <w:color w:val="auto"/>
          <w:highlight w:val="none"/>
          <w:lang w:val="en-US" w:eastAsia="zh-CN"/>
        </w:rPr>
      </w:pPr>
      <w:bookmarkStart w:id="365" w:name="_Toc10099"/>
      <w:bookmarkStart w:id="366" w:name="_Toc11068"/>
      <w:bookmarkStart w:id="367" w:name="_Toc460"/>
      <w:r>
        <w:rPr>
          <w:rFonts w:hint="eastAsia"/>
          <w:color w:val="auto"/>
          <w:highlight w:val="none"/>
          <w:lang w:val="en-US" w:eastAsia="zh-CN"/>
        </w:rPr>
        <w:t>工程占地</w:t>
      </w:r>
      <w:bookmarkEnd w:id="365"/>
      <w:bookmarkEnd w:id="366"/>
      <w:bookmarkEnd w:id="367"/>
    </w:p>
    <w:p>
      <w:pPr>
        <w:ind w:firstLine="480" w:firstLineChars="200"/>
        <w:rPr>
          <w:rFonts w:hint="default"/>
          <w:color w:val="auto"/>
          <w:highlight w:val="none"/>
          <w:lang w:val="en-US" w:eastAsia="zh-CN"/>
        </w:rPr>
      </w:pPr>
      <w:r>
        <w:rPr>
          <w:rFonts w:hint="default"/>
          <w:color w:val="auto"/>
          <w:highlight w:val="none"/>
          <w:lang w:val="en-US" w:eastAsia="zh-CN"/>
        </w:rPr>
        <w:t>根据本次实物调查成果，永久征地总面积为</w:t>
      </w:r>
      <w:r>
        <w:rPr>
          <w:rFonts w:hint="eastAsia"/>
          <w:color w:val="auto"/>
          <w:highlight w:val="none"/>
          <w:lang w:val="en-US" w:eastAsia="zh-CN"/>
        </w:rPr>
        <w:t>36.93</w:t>
      </w:r>
      <w:r>
        <w:rPr>
          <w:rFonts w:hint="default"/>
          <w:color w:val="auto"/>
          <w:highlight w:val="none"/>
          <w:lang w:val="en-US" w:eastAsia="zh-CN"/>
        </w:rPr>
        <w:t>亩，其中，耕地</w:t>
      </w:r>
      <w:r>
        <w:rPr>
          <w:rFonts w:hint="eastAsia"/>
          <w:color w:val="auto"/>
          <w:highlight w:val="none"/>
          <w:lang w:val="en-US" w:eastAsia="zh-CN"/>
        </w:rPr>
        <w:t>7.76</w:t>
      </w:r>
      <w:r>
        <w:rPr>
          <w:rFonts w:hint="default"/>
          <w:color w:val="auto"/>
          <w:highlight w:val="none"/>
          <w:lang w:val="en-US" w:eastAsia="zh-CN"/>
        </w:rPr>
        <w:t>亩（旱地</w:t>
      </w:r>
      <w:r>
        <w:rPr>
          <w:rFonts w:hint="eastAsia"/>
          <w:color w:val="auto"/>
          <w:highlight w:val="none"/>
          <w:lang w:val="en-US" w:eastAsia="zh-CN"/>
        </w:rPr>
        <w:t>1.17亩，</w:t>
      </w:r>
      <w:r>
        <w:rPr>
          <w:rFonts w:hint="default"/>
          <w:color w:val="auto"/>
          <w:highlight w:val="none"/>
          <w:lang w:val="en-US" w:eastAsia="zh-CN"/>
        </w:rPr>
        <w:t>园地</w:t>
      </w:r>
      <w:r>
        <w:rPr>
          <w:rFonts w:hint="eastAsia"/>
          <w:color w:val="auto"/>
          <w:highlight w:val="none"/>
          <w:lang w:val="en-US" w:eastAsia="zh-CN"/>
        </w:rPr>
        <w:t>6.59</w:t>
      </w:r>
      <w:r>
        <w:rPr>
          <w:rFonts w:hint="default"/>
          <w:color w:val="auto"/>
          <w:highlight w:val="none"/>
          <w:lang w:val="en-US" w:eastAsia="zh-CN"/>
        </w:rPr>
        <w:t>亩），林地</w:t>
      </w:r>
      <w:r>
        <w:rPr>
          <w:rFonts w:hint="eastAsia"/>
          <w:color w:val="auto"/>
          <w:highlight w:val="none"/>
          <w:lang w:val="en-US" w:eastAsia="zh-CN"/>
        </w:rPr>
        <w:t>28.14</w:t>
      </w:r>
      <w:r>
        <w:rPr>
          <w:rFonts w:hint="default"/>
          <w:color w:val="auto"/>
          <w:highlight w:val="none"/>
          <w:lang w:val="en-US" w:eastAsia="zh-CN"/>
        </w:rPr>
        <w:t>亩（乔木林地0.5亩，灌木林地</w:t>
      </w:r>
      <w:r>
        <w:rPr>
          <w:rFonts w:hint="eastAsia"/>
          <w:color w:val="auto"/>
          <w:highlight w:val="none"/>
          <w:lang w:val="en-US" w:eastAsia="zh-CN"/>
        </w:rPr>
        <w:t>27.14</w:t>
      </w:r>
      <w:r>
        <w:rPr>
          <w:rFonts w:hint="default"/>
          <w:color w:val="auto"/>
          <w:highlight w:val="none"/>
          <w:lang w:val="en-US" w:eastAsia="zh-CN"/>
        </w:rPr>
        <w:t>亩），交通运输用地0.86亩（公路用地0.16亩，农村道路0.7亩），水域及水利设施用地0.17亩（坑塘水面）。</w:t>
      </w:r>
    </w:p>
    <w:p>
      <w:pPr>
        <w:rPr>
          <w:rFonts w:hint="default"/>
          <w:color w:val="auto"/>
          <w:highlight w:val="none"/>
          <w:lang w:val="en-US" w:eastAsia="zh-CN"/>
        </w:rPr>
      </w:pPr>
      <w:r>
        <w:rPr>
          <w:rFonts w:hint="default"/>
          <w:color w:val="auto"/>
          <w:highlight w:val="none"/>
          <w:lang w:val="en-US" w:eastAsia="zh-CN"/>
        </w:rPr>
        <w:t>临时占地总面积为</w:t>
      </w:r>
      <w:r>
        <w:rPr>
          <w:rFonts w:hint="eastAsia"/>
          <w:color w:val="auto"/>
          <w:highlight w:val="none"/>
          <w:lang w:val="en-US" w:eastAsia="zh-CN"/>
        </w:rPr>
        <w:t>709.47</w:t>
      </w:r>
      <w:r>
        <w:rPr>
          <w:rFonts w:hint="default"/>
          <w:color w:val="auto"/>
          <w:highlight w:val="none"/>
          <w:lang w:val="en-US" w:eastAsia="zh-CN"/>
        </w:rPr>
        <w:t>亩，耕地</w:t>
      </w:r>
      <w:r>
        <w:rPr>
          <w:rFonts w:hint="eastAsia"/>
          <w:color w:val="auto"/>
          <w:highlight w:val="none"/>
          <w:lang w:val="en-US" w:eastAsia="zh-CN"/>
        </w:rPr>
        <w:t>352.89</w:t>
      </w:r>
      <w:r>
        <w:rPr>
          <w:rFonts w:hint="default"/>
          <w:color w:val="auto"/>
          <w:highlight w:val="none"/>
          <w:lang w:val="en-US" w:eastAsia="zh-CN"/>
        </w:rPr>
        <w:t>亩（水田25.9亩，旱地246.31亩），园地80.68亩（果园），林地</w:t>
      </w:r>
      <w:r>
        <w:rPr>
          <w:rFonts w:hint="eastAsia"/>
          <w:color w:val="auto"/>
          <w:highlight w:val="none"/>
          <w:lang w:val="en-US" w:eastAsia="zh-CN"/>
        </w:rPr>
        <w:t>320.54</w:t>
      </w:r>
      <w:r>
        <w:rPr>
          <w:rFonts w:hint="default"/>
          <w:color w:val="auto"/>
          <w:highlight w:val="none"/>
          <w:lang w:val="en-US" w:eastAsia="zh-CN"/>
        </w:rPr>
        <w:t>亩（乔木林地40.63亩，灌木林地206.37亩，公益林</w:t>
      </w:r>
      <w:r>
        <w:rPr>
          <w:rFonts w:hint="eastAsia"/>
          <w:color w:val="auto"/>
          <w:highlight w:val="none"/>
          <w:lang w:val="en-US" w:eastAsia="zh-CN"/>
        </w:rPr>
        <w:t>73.54</w:t>
      </w:r>
      <w:r>
        <w:rPr>
          <w:rFonts w:hint="default"/>
          <w:color w:val="auto"/>
          <w:highlight w:val="none"/>
          <w:lang w:val="en-US" w:eastAsia="zh-CN"/>
        </w:rPr>
        <w:t>亩），交通运输用地31.31亩（公路用地5.54亩，农村道路25.77亩），水域及水利设施用地4.73亩（河流水面1.89亩，坑塘水面2.68亩，沟渠0.16亩）。</w:t>
      </w:r>
    </w:p>
    <w:p>
      <w:pPr>
        <w:rPr>
          <w:rFonts w:hint="eastAsia"/>
          <w:color w:val="0000FF"/>
          <w:highlight w:val="none"/>
          <w:lang w:eastAsia="zh-CN"/>
        </w:rPr>
      </w:pPr>
      <w:r>
        <w:rPr>
          <w:rFonts w:hint="default" w:ascii="Times New Roman" w:hAnsi="Times New Roman" w:cs="Times New Roman"/>
          <w:b w:val="0"/>
          <w:bCs w:val="0"/>
          <w:color w:val="0000FF"/>
          <w:sz w:val="24"/>
          <w:szCs w:val="24"/>
          <w:highlight w:val="none"/>
          <w:lang w:val="en-US" w:eastAsia="zh-CN"/>
        </w:rPr>
        <w:t>综合考虑地形、地质、高程、</w:t>
      </w:r>
      <w:r>
        <w:rPr>
          <w:rFonts w:hint="eastAsia" w:ascii="Times New Roman" w:hAnsi="Times New Roman" w:cs="Times New Roman"/>
          <w:b w:val="0"/>
          <w:bCs w:val="0"/>
          <w:color w:val="0000FF"/>
          <w:sz w:val="24"/>
          <w:szCs w:val="24"/>
          <w:highlight w:val="none"/>
          <w:lang w:val="en-US" w:eastAsia="zh-CN"/>
        </w:rPr>
        <w:t>提水负担、工程占地、</w:t>
      </w:r>
      <w:r>
        <w:rPr>
          <w:rFonts w:hint="default" w:ascii="Times New Roman" w:hAnsi="Times New Roman" w:cs="Times New Roman"/>
          <w:b w:val="0"/>
          <w:bCs w:val="0"/>
          <w:color w:val="0000FF"/>
          <w:sz w:val="24"/>
          <w:szCs w:val="24"/>
          <w:highlight w:val="none"/>
          <w:lang w:val="en-US" w:eastAsia="zh-CN"/>
        </w:rPr>
        <w:t>三区三线</w:t>
      </w:r>
      <w:r>
        <w:rPr>
          <w:rFonts w:hint="eastAsia" w:ascii="Times New Roman" w:hAnsi="Times New Roman" w:cs="Times New Roman"/>
          <w:b w:val="0"/>
          <w:bCs w:val="0"/>
          <w:color w:val="0000FF"/>
          <w:sz w:val="24"/>
          <w:szCs w:val="24"/>
          <w:highlight w:val="none"/>
          <w:lang w:val="en-US" w:eastAsia="zh-CN"/>
        </w:rPr>
        <w:t>以及农田分布</w:t>
      </w:r>
      <w:r>
        <w:rPr>
          <w:rFonts w:hint="default" w:ascii="Times New Roman" w:hAnsi="Times New Roman" w:cs="Times New Roman"/>
          <w:b w:val="0"/>
          <w:bCs w:val="0"/>
          <w:color w:val="0000FF"/>
          <w:sz w:val="24"/>
          <w:szCs w:val="24"/>
          <w:highlight w:val="none"/>
          <w:lang w:val="en-US" w:eastAsia="zh-CN"/>
        </w:rPr>
        <w:t>等条件</w:t>
      </w:r>
      <w:r>
        <w:rPr>
          <w:rFonts w:hint="eastAsia" w:ascii="Times New Roman" w:hAnsi="Times New Roman" w:cs="Times New Roman"/>
          <w:b w:val="0"/>
          <w:bCs w:val="0"/>
          <w:color w:val="0000FF"/>
          <w:sz w:val="24"/>
          <w:szCs w:val="24"/>
          <w:highlight w:val="none"/>
          <w:lang w:val="en-US" w:eastAsia="zh-CN"/>
        </w:rPr>
        <w:t>，工程选址不可避免的占用元谋风景名胜区、生态红线、公益林及基本农田。</w:t>
      </w:r>
      <w:r>
        <w:rPr>
          <w:rFonts w:hint="eastAsia"/>
          <w:color w:val="0000FF"/>
          <w:highlight w:val="none"/>
          <w:lang w:val="en-US" w:eastAsia="zh-CN"/>
        </w:rPr>
        <w:t>根据查询及叠图：</w:t>
      </w:r>
      <w:r>
        <w:rPr>
          <w:rFonts w:hint="eastAsia" w:ascii="Times New Roman" w:hAnsi="Times New Roman" w:cs="Times New Roman"/>
          <w:color w:val="0000FF"/>
          <w:sz w:val="24"/>
          <w:szCs w:val="24"/>
          <w:highlight w:val="none"/>
          <w:lang w:val="en-US" w:eastAsia="zh-CN"/>
        </w:rPr>
        <w:t>元谋县姜驿中型灌区续建配套与节水改造项目涉及元谋风景名胜区金沙江景区，涉及工程内容有</w:t>
      </w:r>
      <w:r>
        <w:rPr>
          <w:rFonts w:hint="default" w:ascii="Times New Roman" w:hAnsi="Times New Roman" w:cs="Times New Roman"/>
          <w:color w:val="0000FF"/>
          <w:sz w:val="24"/>
          <w:szCs w:val="24"/>
          <w:highlight w:val="none"/>
          <w:lang w:val="en-US" w:eastAsia="zh-CN"/>
        </w:rPr>
        <w:t>高位调节水池</w:t>
      </w:r>
      <w:r>
        <w:rPr>
          <w:rFonts w:hint="eastAsia" w:ascii="Times New Roman" w:hAnsi="Times New Roman" w:cs="Times New Roman"/>
          <w:color w:val="0000FF"/>
          <w:sz w:val="24"/>
          <w:szCs w:val="24"/>
          <w:highlight w:val="none"/>
          <w:lang w:val="en-US" w:eastAsia="zh-CN"/>
        </w:rPr>
        <w:t>（永久占地1.762hm</w:t>
      </w:r>
      <w:r>
        <w:rPr>
          <w:rFonts w:hint="eastAsia" w:ascii="Times New Roman" w:hAnsi="Times New Roman" w:cs="Times New Roman"/>
          <w:color w:val="0000FF"/>
          <w:sz w:val="24"/>
          <w:szCs w:val="24"/>
          <w:highlight w:val="none"/>
          <w:vertAlign w:val="superscript"/>
          <w:lang w:val="en-US" w:eastAsia="zh-CN"/>
        </w:rPr>
        <w:t>2</w:t>
      </w:r>
      <w:r>
        <w:rPr>
          <w:rFonts w:hint="eastAsia" w:ascii="Times New Roman" w:hAnsi="Times New Roman" w:cs="Times New Roman"/>
          <w:color w:val="0000FF"/>
          <w:sz w:val="24"/>
          <w:szCs w:val="24"/>
          <w:highlight w:val="none"/>
          <w:lang w:val="en-US" w:eastAsia="zh-CN"/>
        </w:rPr>
        <w:t>）、北干管（</w:t>
      </w:r>
      <w:r>
        <w:rPr>
          <w:rFonts w:hint="eastAsia" w:ascii="Times New Roman" w:hAnsi="Times New Roman" w:cs="Times New Roman"/>
          <w:color w:val="0000FF"/>
          <w:sz w:val="24"/>
          <w:szCs w:val="24"/>
          <w:highlight w:val="none"/>
          <w:vertAlign w:val="baseline"/>
          <w:lang w:val="en-US" w:eastAsia="zh-CN"/>
        </w:rPr>
        <w:t>临时占地0.91</w:t>
      </w:r>
      <w:r>
        <w:rPr>
          <w:rFonts w:hint="eastAsia" w:ascii="Times New Roman" w:hAnsi="Times New Roman" w:cs="Times New Roman"/>
          <w:color w:val="0000FF"/>
          <w:sz w:val="24"/>
          <w:szCs w:val="24"/>
          <w:highlight w:val="none"/>
          <w:lang w:val="en-US" w:eastAsia="zh-CN"/>
        </w:rPr>
        <w:t>hm</w:t>
      </w:r>
      <w:r>
        <w:rPr>
          <w:rFonts w:hint="eastAsia" w:ascii="Times New Roman" w:hAnsi="Times New Roman" w:cs="Times New Roman"/>
          <w:color w:val="0000FF"/>
          <w:sz w:val="24"/>
          <w:szCs w:val="24"/>
          <w:highlight w:val="none"/>
          <w:vertAlign w:val="superscript"/>
          <w:lang w:val="en-US" w:eastAsia="zh-CN"/>
        </w:rPr>
        <w:t>2</w:t>
      </w:r>
      <w:r>
        <w:rPr>
          <w:rFonts w:hint="eastAsia" w:ascii="Times New Roman" w:hAnsi="Times New Roman" w:cs="Times New Roman"/>
          <w:color w:val="0000FF"/>
          <w:sz w:val="24"/>
          <w:szCs w:val="24"/>
          <w:highlight w:val="none"/>
          <w:lang w:val="en-US" w:eastAsia="zh-CN"/>
        </w:rPr>
        <w:t>）；</w:t>
      </w:r>
      <w:r>
        <w:rPr>
          <w:rFonts w:hint="eastAsia"/>
          <w:color w:val="0000FF"/>
          <w:highlight w:val="none"/>
          <w:shd w:val="clear"/>
          <w:lang w:val="en-US" w:eastAsia="zh-CN"/>
        </w:rPr>
        <w:t>输水管道涉及占用元谋县“三区三线”划定的生态保护红线</w:t>
      </w:r>
      <w:r>
        <w:rPr>
          <w:rFonts w:hint="default"/>
          <w:color w:val="0000FF"/>
          <w:highlight w:val="none"/>
          <w:shd w:val="clear"/>
          <w:lang w:val="en-US" w:eastAsia="zh-CN"/>
        </w:rPr>
        <w:t>28522.94m</w:t>
      </w:r>
      <w:r>
        <w:rPr>
          <w:rFonts w:hint="default"/>
          <w:color w:val="0000FF"/>
          <w:highlight w:val="none"/>
          <w:shd w:val="clear"/>
          <w:vertAlign w:val="superscript"/>
          <w:lang w:val="en-US" w:eastAsia="zh-CN"/>
        </w:rPr>
        <w:t>2</w:t>
      </w:r>
      <w:r>
        <w:rPr>
          <w:rFonts w:hint="eastAsia"/>
          <w:color w:val="0000FF"/>
          <w:highlight w:val="none"/>
          <w:shd w:val="clear"/>
          <w:vertAlign w:val="baseline"/>
          <w:lang w:val="en-US" w:eastAsia="zh-CN"/>
        </w:rPr>
        <w:t>；</w:t>
      </w:r>
      <w:r>
        <w:rPr>
          <w:rFonts w:hint="eastAsia"/>
          <w:color w:val="0000FF"/>
          <w:highlight w:val="none"/>
          <w:lang w:val="en-US" w:eastAsia="zh-CN"/>
        </w:rPr>
        <w:t>北干管羊腊席至火焰山段、金马分干管接近沙沟箐段占用省二级公益林5.7437hm</w:t>
      </w:r>
      <w:r>
        <w:rPr>
          <w:rFonts w:hint="eastAsia"/>
          <w:color w:val="0000FF"/>
          <w:highlight w:val="none"/>
          <w:vertAlign w:val="superscript"/>
          <w:lang w:val="en-US" w:eastAsia="zh-CN"/>
        </w:rPr>
        <w:t>2</w:t>
      </w:r>
      <w:r>
        <w:rPr>
          <w:rFonts w:hint="eastAsia"/>
          <w:color w:val="0000FF"/>
          <w:highlight w:val="none"/>
          <w:lang w:val="en-US" w:eastAsia="zh-CN"/>
        </w:rPr>
        <w:t>；金马分干管干海梁子~金马村沿路部分管段占用国家二级公益林0.8939hm</w:t>
      </w:r>
      <w:r>
        <w:rPr>
          <w:rFonts w:hint="eastAsia"/>
          <w:color w:val="0000FF"/>
          <w:highlight w:val="none"/>
          <w:vertAlign w:val="superscript"/>
          <w:lang w:val="en-US" w:eastAsia="zh-CN"/>
        </w:rPr>
        <w:t>2</w:t>
      </w:r>
      <w:r>
        <w:rPr>
          <w:rFonts w:hint="eastAsia"/>
          <w:color w:val="0000FF"/>
          <w:highlight w:val="none"/>
          <w:vertAlign w:val="baseline"/>
          <w:lang w:val="en-US" w:eastAsia="zh-CN"/>
        </w:rPr>
        <w:t>。</w:t>
      </w:r>
      <w:r>
        <w:rPr>
          <w:rFonts w:hint="eastAsia"/>
          <w:color w:val="0000FF"/>
          <w:highlight w:val="none"/>
          <w:lang w:eastAsia="zh-CN"/>
        </w:rPr>
        <w:t>临时施工便道</w:t>
      </w:r>
      <w:r>
        <w:rPr>
          <w:rFonts w:hint="eastAsia"/>
          <w:color w:val="0000FF"/>
          <w:highlight w:val="none"/>
          <w:lang w:val="en-US" w:eastAsia="zh-CN"/>
        </w:rPr>
        <w:t>占用基本农田面积为3967.30m</w:t>
      </w:r>
      <w:r>
        <w:rPr>
          <w:rFonts w:hint="eastAsia"/>
          <w:color w:val="0000FF"/>
          <w:highlight w:val="none"/>
          <w:vertAlign w:val="superscript"/>
          <w:lang w:val="en-US" w:eastAsia="zh-CN"/>
        </w:rPr>
        <w:t>2</w:t>
      </w:r>
      <w:r>
        <w:rPr>
          <w:rFonts w:hint="eastAsia"/>
          <w:color w:val="0000FF"/>
          <w:highlight w:val="none"/>
          <w:lang w:val="en-US" w:eastAsia="zh-CN"/>
        </w:rPr>
        <w:t>，管道临时占用基本农田面积为25500m</w:t>
      </w:r>
      <w:r>
        <w:rPr>
          <w:rFonts w:hint="eastAsia"/>
          <w:color w:val="0000FF"/>
          <w:highlight w:val="none"/>
          <w:vertAlign w:val="superscript"/>
          <w:lang w:val="en-US" w:eastAsia="zh-CN"/>
        </w:rPr>
        <w:t>2</w:t>
      </w:r>
      <w:r>
        <w:rPr>
          <w:rFonts w:hint="eastAsia"/>
          <w:color w:val="0000FF"/>
          <w:highlight w:val="none"/>
          <w:lang w:eastAsia="zh-CN"/>
        </w:rPr>
        <w:t>。</w:t>
      </w:r>
    </w:p>
    <w:p>
      <w:pPr>
        <w:shd w:val="clear"/>
        <w:rPr>
          <w:rFonts w:hint="default"/>
          <w:color w:val="FF0000"/>
          <w:highlight w:val="yellow"/>
          <w:lang w:val="en-US" w:eastAsia="zh-CN"/>
        </w:rPr>
      </w:pPr>
      <w:r>
        <w:rPr>
          <w:rFonts w:hint="eastAsia"/>
          <w:color w:val="0000FF"/>
          <w:highlight w:val="none"/>
          <w:lang w:val="en-US" w:eastAsia="zh-CN"/>
        </w:rPr>
        <w:t>本项目与环境敏感区的位置关系图见附图22。</w:t>
      </w:r>
    </w:p>
    <w:p>
      <w:pPr>
        <w:ind w:firstLine="480" w:firstLineChars="200"/>
        <w:rPr>
          <w:rFonts w:hint="default"/>
          <w:color w:val="auto"/>
          <w:highlight w:val="none"/>
          <w:lang w:val="en-US" w:eastAsia="zh-CN"/>
        </w:rPr>
      </w:pPr>
      <w:r>
        <w:rPr>
          <w:rFonts w:hint="default"/>
          <w:color w:val="auto"/>
          <w:highlight w:val="none"/>
          <w:lang w:val="en-US" w:eastAsia="zh-CN"/>
        </w:rPr>
        <w:t>元谋县姜驿中型灌区项目占地汇总表及实物指标详见表</w:t>
      </w:r>
      <w:r>
        <w:rPr>
          <w:rFonts w:hint="eastAsia"/>
          <w:color w:val="auto"/>
          <w:highlight w:val="none"/>
          <w:lang w:val="en-US" w:eastAsia="zh-CN"/>
        </w:rPr>
        <w:t>2.5.2</w:t>
      </w:r>
      <w:r>
        <w:rPr>
          <w:rFonts w:hint="default"/>
          <w:color w:val="auto"/>
          <w:highlight w:val="none"/>
          <w:lang w:val="en-US" w:eastAsia="zh-CN"/>
        </w:rPr>
        <w:t>-1。</w:t>
      </w:r>
    </w:p>
    <w:p>
      <w:pPr>
        <w:rPr>
          <w:rFonts w:hint="default"/>
          <w:color w:val="auto"/>
          <w:highlight w:val="none"/>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p>
    <w:p>
      <w:pPr>
        <w:pStyle w:val="40"/>
        <w:bidi w:val="0"/>
        <w:rPr>
          <w:color w:val="auto"/>
          <w:highlight w:val="none"/>
        </w:rPr>
      </w:pPr>
      <w:r>
        <w:rPr>
          <w:color w:val="auto"/>
          <w:highlight w:val="none"/>
        </w:rPr>
        <w:t>表</w:t>
      </w:r>
      <w:r>
        <w:rPr>
          <w:rFonts w:hint="eastAsia"/>
          <w:color w:val="auto"/>
          <w:highlight w:val="none"/>
          <w:lang w:val="en-US" w:eastAsia="zh-CN"/>
        </w:rPr>
        <w:t>2.5.1</w:t>
      </w:r>
      <w:r>
        <w:rPr>
          <w:color w:val="auto"/>
          <w:highlight w:val="none"/>
        </w:rPr>
        <w:t>-1    元谋县姜驿中型灌区建设征地占地汇总表   单位：亩</w:t>
      </w:r>
    </w:p>
    <w:tbl>
      <w:tblPr>
        <w:tblStyle w:val="29"/>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09"/>
        <w:gridCol w:w="1154"/>
        <w:gridCol w:w="867"/>
        <w:gridCol w:w="1012"/>
        <w:gridCol w:w="1012"/>
        <w:gridCol w:w="1012"/>
        <w:gridCol w:w="1012"/>
        <w:gridCol w:w="1012"/>
        <w:gridCol w:w="1012"/>
        <w:gridCol w:w="1012"/>
        <w:gridCol w:w="1012"/>
        <w:gridCol w:w="1012"/>
        <w:gridCol w:w="1012"/>
        <w:gridCol w:w="101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356" w:type="pct"/>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用地性质</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建筑物</w:t>
            </w:r>
          </w:p>
        </w:tc>
        <w:tc>
          <w:tcPr>
            <w:tcW w:w="306" w:type="pct"/>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水田</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旱地</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果园</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乔木林地</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灌木林地</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公益林</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农村道路</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公路用地</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河流水面</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坑塘水面</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沟渠</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eastAsia" w:ascii="宋体" w:hAnsi="宋体" w:eastAsia="宋体" w:cs="宋体"/>
                <w:b/>
                <w:bCs/>
                <w:i w:val="0"/>
                <w:iCs w:val="0"/>
                <w:color w:val="auto"/>
                <w:sz w:val="21"/>
                <w:szCs w:val="21"/>
                <w:u w:val="none"/>
              </w:rPr>
            </w:pPr>
            <w:r>
              <w:rPr>
                <w:rFonts w:hint="eastAsia" w:ascii="宋体" w:hAnsi="宋体" w:eastAsia="宋体" w:cs="宋体"/>
                <w:b/>
                <w:bCs/>
                <w:i w:val="0"/>
                <w:iCs w:val="0"/>
                <w:color w:val="auto"/>
                <w:kern w:val="0"/>
                <w:sz w:val="21"/>
                <w:szCs w:val="21"/>
                <w:u w:val="none"/>
                <w:lang w:val="en-US" w:eastAsia="zh-CN" w:bidi="ar"/>
              </w:rPr>
              <w:t>总计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56"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宋" w:hAnsi="宋" w:eastAsia="宋" w:cs="宋"/>
                <w:i w:val="0"/>
                <w:iCs w:val="0"/>
                <w:color w:val="auto"/>
                <w:sz w:val="21"/>
                <w:szCs w:val="21"/>
                <w:u w:val="none"/>
              </w:rPr>
            </w:pPr>
            <w:r>
              <w:rPr>
                <w:rFonts w:hint="default" w:ascii="宋" w:hAnsi="宋" w:eastAsia="宋" w:cs="宋"/>
                <w:i w:val="0"/>
                <w:iCs w:val="0"/>
                <w:color w:val="auto"/>
                <w:kern w:val="0"/>
                <w:sz w:val="21"/>
                <w:szCs w:val="21"/>
                <w:u w:val="none"/>
                <w:lang w:val="en-US" w:eastAsia="zh-CN" w:bidi="ar"/>
              </w:rPr>
              <w:t>永久征地</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ascii="宋" w:hAnsi="宋" w:eastAsia="宋" w:cs="宋"/>
                <w:i w:val="0"/>
                <w:iCs w:val="0"/>
                <w:color w:val="auto"/>
                <w:sz w:val="21"/>
                <w:szCs w:val="21"/>
                <w:u w:val="none"/>
              </w:rPr>
            </w:pPr>
            <w:r>
              <w:rPr>
                <w:rFonts w:hint="default" w:ascii="宋" w:hAnsi="宋" w:eastAsia="宋" w:cs="宋"/>
                <w:i w:val="0"/>
                <w:iCs w:val="0"/>
                <w:color w:val="auto"/>
                <w:kern w:val="0"/>
                <w:sz w:val="21"/>
                <w:szCs w:val="21"/>
                <w:u w:val="none"/>
                <w:lang w:val="en-US" w:eastAsia="zh-CN" w:bidi="ar"/>
              </w:rPr>
              <w:t>泵站</w:t>
            </w:r>
          </w:p>
        </w:tc>
        <w:tc>
          <w:tcPr>
            <w:tcW w:w="3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6.41</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0.41</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0.16</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0.17</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56" w:type="pct"/>
            <w:vMerge w:val="continue"/>
            <w:tcBorders>
              <w:left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宋" w:hAnsi="宋" w:eastAsia="宋" w:cs="宋"/>
                <w:i w:val="0"/>
                <w:iCs w:val="0"/>
                <w:color w:val="auto"/>
                <w:sz w:val="21"/>
                <w:szCs w:val="21"/>
                <w:u w:val="none"/>
              </w:rPr>
            </w:pPr>
            <w:r>
              <w:rPr>
                <w:rFonts w:hint="default" w:ascii="宋" w:hAnsi="宋" w:eastAsia="宋" w:cs="宋"/>
                <w:i w:val="0"/>
                <w:iCs w:val="0"/>
                <w:color w:val="auto"/>
                <w:kern w:val="0"/>
                <w:sz w:val="21"/>
                <w:szCs w:val="21"/>
                <w:u w:val="none"/>
                <w:lang w:val="en-US" w:eastAsia="zh-CN" w:bidi="ar"/>
              </w:rPr>
              <w:t>阀室</w:t>
            </w:r>
          </w:p>
        </w:tc>
        <w:tc>
          <w:tcPr>
            <w:tcW w:w="3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0.65</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0.18</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0.09</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0.12</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56" w:type="pct"/>
            <w:vMerge w:val="continue"/>
            <w:tcBorders>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宋" w:hAnsi="宋" w:eastAsia="宋" w:cs="宋"/>
                <w:i w:val="0"/>
                <w:iCs w:val="0"/>
                <w:color w:val="auto"/>
                <w:sz w:val="21"/>
                <w:szCs w:val="21"/>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宋" w:hAnsi="宋" w:eastAsia="宋" w:cs="宋"/>
                <w:i w:val="0"/>
                <w:iCs w:val="0"/>
                <w:color w:val="auto"/>
                <w:sz w:val="21"/>
                <w:szCs w:val="21"/>
                <w:u w:val="none"/>
              </w:rPr>
            </w:pPr>
            <w:r>
              <w:rPr>
                <w:rFonts w:hint="default" w:ascii="宋" w:hAnsi="宋" w:eastAsia="宋" w:cs="宋"/>
                <w:i w:val="0"/>
                <w:iCs w:val="0"/>
                <w:color w:val="auto"/>
                <w:kern w:val="0"/>
                <w:sz w:val="21"/>
                <w:szCs w:val="21"/>
                <w:u w:val="none"/>
                <w:lang w:val="en-US" w:eastAsia="zh-CN" w:bidi="ar"/>
              </w:rPr>
              <w:t>管首高位水池</w:t>
            </w:r>
          </w:p>
        </w:tc>
        <w:tc>
          <w:tcPr>
            <w:tcW w:w="3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0.52</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27.14</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0.58</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28.24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trPr>
        <w:tc>
          <w:tcPr>
            <w:tcW w:w="76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宋" w:hAnsi="宋" w:eastAsia="宋" w:cs="宋"/>
                <w:b/>
                <w:bCs/>
                <w:i w:val="0"/>
                <w:iCs w:val="0"/>
                <w:color w:val="auto"/>
                <w:sz w:val="21"/>
                <w:szCs w:val="21"/>
                <w:u w:val="none"/>
              </w:rPr>
            </w:pPr>
            <w:r>
              <w:rPr>
                <w:rFonts w:hint="default" w:ascii="宋" w:hAnsi="宋" w:eastAsia="宋" w:cs="宋"/>
                <w:b/>
                <w:bCs/>
                <w:i w:val="0"/>
                <w:iCs w:val="0"/>
                <w:color w:val="auto"/>
                <w:kern w:val="0"/>
                <w:sz w:val="21"/>
                <w:szCs w:val="21"/>
                <w:u w:val="none"/>
                <w:lang w:val="en-US" w:eastAsia="zh-CN" w:bidi="ar"/>
              </w:rPr>
              <w:t>永久征地</w:t>
            </w:r>
            <w:r>
              <w:rPr>
                <w:rFonts w:hint="default" w:ascii="Times New Roman" w:hAnsi="Times New Roman" w:eastAsia="宋" w:cs="Times New Roman"/>
                <w:b/>
                <w:bCs/>
                <w:i w:val="0"/>
                <w:iCs w:val="0"/>
                <w:color w:val="auto"/>
                <w:kern w:val="0"/>
                <w:sz w:val="21"/>
                <w:szCs w:val="21"/>
                <w:u w:val="none"/>
                <w:lang w:val="en-US" w:eastAsia="zh-CN" w:bidi="ar"/>
              </w:rPr>
              <w:t xml:space="preserve"> </w:t>
            </w:r>
            <w:r>
              <w:rPr>
                <w:rFonts w:hint="default" w:ascii="宋" w:hAnsi="宋" w:eastAsia="宋" w:cs="宋"/>
                <w:b/>
                <w:bCs/>
                <w:i w:val="0"/>
                <w:iCs w:val="0"/>
                <w:color w:val="auto"/>
                <w:kern w:val="0"/>
                <w:sz w:val="21"/>
                <w:szCs w:val="21"/>
                <w:u w:val="none"/>
                <w:lang w:val="en-US" w:eastAsia="zh-CN" w:bidi="ar"/>
              </w:rPr>
              <w:t>汇总</w:t>
            </w:r>
          </w:p>
        </w:tc>
        <w:tc>
          <w:tcPr>
            <w:tcW w:w="3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b/>
                <w:bCs/>
                <w:i w:val="0"/>
                <w:iCs w:val="0"/>
                <w:color w:val="auto"/>
                <w:sz w:val="21"/>
                <w:szCs w:val="21"/>
                <w:u w:val="none"/>
                <w:lang w:val="en-US" w:eastAsia="zh-CN"/>
              </w:rPr>
            </w:pPr>
            <w:r>
              <w:rPr>
                <w:rFonts w:hint="eastAsia" w:ascii="Times New Roman" w:hAnsi="Times New Roman" w:eastAsia="宋体" w:cs="Times New Roman"/>
                <w:b/>
                <w:bCs/>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1.17</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6.59</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0.5</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27.64</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b/>
                <w:bCs/>
                <w:i w:val="0"/>
                <w:iCs w:val="0"/>
                <w:color w:val="auto"/>
                <w:sz w:val="21"/>
                <w:szCs w:val="21"/>
                <w:u w:val="none"/>
                <w:lang w:val="en-US" w:eastAsia="zh-CN"/>
              </w:rPr>
            </w:pPr>
            <w:r>
              <w:rPr>
                <w:rFonts w:hint="eastAsia" w:ascii="Times New Roman" w:hAnsi="Times New Roman" w:eastAsia="宋体" w:cs="Times New Roman"/>
                <w:b/>
                <w:bCs/>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0.7</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0.16</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0.17</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0</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36.93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5" w:hRule="atLeast"/>
        </w:trPr>
        <w:tc>
          <w:tcPr>
            <w:tcW w:w="356"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宋" w:hAnsi="宋" w:eastAsia="宋" w:cs="宋"/>
                <w:i w:val="0"/>
                <w:iCs w:val="0"/>
                <w:color w:val="auto"/>
                <w:sz w:val="21"/>
                <w:szCs w:val="21"/>
                <w:u w:val="none"/>
              </w:rPr>
            </w:pPr>
            <w:r>
              <w:rPr>
                <w:rFonts w:hint="default" w:ascii="宋" w:hAnsi="宋" w:eastAsia="宋" w:cs="宋"/>
                <w:i w:val="0"/>
                <w:iCs w:val="0"/>
                <w:color w:val="auto"/>
                <w:kern w:val="0"/>
                <w:sz w:val="21"/>
                <w:szCs w:val="21"/>
                <w:u w:val="none"/>
                <w:lang w:val="en-US" w:eastAsia="zh-CN" w:bidi="ar"/>
              </w:rPr>
              <w:t>临时用地</w:t>
            </w: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宋" w:hAnsi="宋" w:eastAsia="宋" w:cs="宋"/>
                <w:i w:val="0"/>
                <w:iCs w:val="0"/>
                <w:color w:val="auto"/>
                <w:sz w:val="21"/>
                <w:szCs w:val="21"/>
                <w:u w:val="none"/>
              </w:rPr>
            </w:pPr>
            <w:r>
              <w:rPr>
                <w:rFonts w:hint="default" w:ascii="宋" w:hAnsi="宋" w:eastAsia="宋" w:cs="宋"/>
                <w:i w:val="0"/>
                <w:iCs w:val="0"/>
                <w:color w:val="auto"/>
                <w:kern w:val="0"/>
                <w:sz w:val="21"/>
                <w:szCs w:val="21"/>
                <w:u w:val="none"/>
                <w:lang w:val="en-US" w:eastAsia="zh-CN" w:bidi="ar"/>
              </w:rPr>
              <w:t>管道</w:t>
            </w:r>
          </w:p>
        </w:tc>
        <w:tc>
          <w:tcPr>
            <w:tcW w:w="3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25.9</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225.41</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68.59</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32.53</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98.19</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73.54</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25.36</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5.32</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0.89</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2.68</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0.16</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558.57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356" w:type="pct"/>
            <w:vMerge w:val="continue"/>
            <w:tcBorders>
              <w:left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宋" w:hAnsi="宋" w:eastAsia="宋" w:cs="宋"/>
                <w:i w:val="0"/>
                <w:iCs w:val="0"/>
                <w:color w:val="auto"/>
                <w:sz w:val="21"/>
                <w:szCs w:val="21"/>
                <w:u w:val="none"/>
              </w:rPr>
            </w:pPr>
            <w:r>
              <w:rPr>
                <w:rFonts w:hint="default" w:ascii="宋" w:hAnsi="宋" w:eastAsia="宋" w:cs="宋"/>
                <w:i w:val="0"/>
                <w:iCs w:val="0"/>
                <w:color w:val="auto"/>
                <w:kern w:val="0"/>
                <w:sz w:val="21"/>
                <w:szCs w:val="21"/>
                <w:u w:val="none"/>
                <w:lang w:val="en-US" w:eastAsia="zh-CN" w:bidi="ar"/>
              </w:rPr>
              <w:t>弃渣场</w:t>
            </w:r>
          </w:p>
        </w:tc>
        <w:tc>
          <w:tcPr>
            <w:tcW w:w="3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4.18</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18.69</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22.87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356" w:type="pct"/>
            <w:vMerge w:val="continue"/>
            <w:tcBorders>
              <w:left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宋" w:hAnsi="宋" w:eastAsia="宋" w:cs="宋"/>
                <w:i w:val="0"/>
                <w:iCs w:val="0"/>
                <w:color w:val="auto"/>
                <w:sz w:val="21"/>
                <w:szCs w:val="21"/>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宋" w:hAnsi="宋" w:eastAsia="宋" w:cs="宋"/>
                <w:i w:val="0"/>
                <w:iCs w:val="0"/>
                <w:color w:val="auto"/>
                <w:sz w:val="21"/>
                <w:szCs w:val="21"/>
                <w:u w:val="none"/>
              </w:rPr>
            </w:pPr>
            <w:r>
              <w:rPr>
                <w:rFonts w:hint="default" w:ascii="宋" w:hAnsi="宋" w:eastAsia="宋" w:cs="宋"/>
                <w:i w:val="0"/>
                <w:iCs w:val="0"/>
                <w:color w:val="auto"/>
                <w:kern w:val="0"/>
                <w:sz w:val="21"/>
                <w:szCs w:val="21"/>
                <w:u w:val="none"/>
                <w:lang w:val="en-US" w:eastAsia="zh-CN" w:bidi="ar"/>
              </w:rPr>
              <w:t>管材堆放场</w:t>
            </w:r>
          </w:p>
        </w:tc>
        <w:tc>
          <w:tcPr>
            <w:tcW w:w="3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2.07</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11.74</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1.54</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0.14</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56" w:type="pct"/>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宋体" w:hAnsi="宋体" w:eastAsia="宋体" w:cs="宋体"/>
                <w:i w:val="0"/>
                <w:iCs w:val="0"/>
                <w:color w:val="auto"/>
                <w:sz w:val="21"/>
                <w:szCs w:val="21"/>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宋" w:hAnsi="宋" w:eastAsia="宋" w:cs="宋"/>
                <w:i w:val="0"/>
                <w:iCs w:val="0"/>
                <w:color w:val="auto"/>
                <w:sz w:val="21"/>
                <w:szCs w:val="21"/>
                <w:u w:val="none"/>
                <w:lang w:val="en-US"/>
              </w:rPr>
            </w:pPr>
            <w:r>
              <w:rPr>
                <w:rFonts w:hint="default" w:ascii="宋" w:hAnsi="宋" w:eastAsia="宋" w:cs="宋"/>
                <w:i w:val="0"/>
                <w:iCs w:val="0"/>
                <w:color w:val="auto"/>
                <w:kern w:val="0"/>
                <w:sz w:val="21"/>
                <w:szCs w:val="21"/>
                <w:u w:val="none"/>
                <w:lang w:val="en-US" w:eastAsia="zh-CN" w:bidi="ar"/>
              </w:rPr>
              <w:t>施工临时道路</w:t>
            </w:r>
            <w:r>
              <w:rPr>
                <w:rFonts w:hint="eastAsia" w:ascii="宋" w:hAnsi="宋" w:eastAsia="宋" w:cs="宋"/>
                <w:i w:val="0"/>
                <w:iCs w:val="0"/>
                <w:color w:val="auto"/>
                <w:kern w:val="0"/>
                <w:sz w:val="21"/>
                <w:szCs w:val="21"/>
                <w:u w:val="none"/>
                <w:lang w:val="en-US" w:eastAsia="zh-CN" w:bidi="ar"/>
              </w:rPr>
              <w:t>及生产生活区</w:t>
            </w:r>
          </w:p>
        </w:tc>
        <w:tc>
          <w:tcPr>
            <w:tcW w:w="3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14.65</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0.35</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8.1</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87.95</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0.37</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0.08</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153.36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76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宋" w:hAnsi="宋" w:eastAsia="宋" w:cs="宋"/>
                <w:b/>
                <w:bCs/>
                <w:i w:val="0"/>
                <w:iCs w:val="0"/>
                <w:color w:val="auto"/>
                <w:sz w:val="21"/>
                <w:szCs w:val="21"/>
                <w:u w:val="none"/>
              </w:rPr>
            </w:pPr>
            <w:r>
              <w:rPr>
                <w:rFonts w:hint="default" w:ascii="宋" w:hAnsi="宋" w:eastAsia="宋" w:cs="宋"/>
                <w:b/>
                <w:bCs/>
                <w:i w:val="0"/>
                <w:iCs w:val="0"/>
                <w:color w:val="auto"/>
                <w:kern w:val="0"/>
                <w:sz w:val="21"/>
                <w:szCs w:val="21"/>
                <w:u w:val="none"/>
                <w:lang w:val="en-US" w:eastAsia="zh-CN" w:bidi="ar"/>
              </w:rPr>
              <w:t>临时用地</w:t>
            </w:r>
            <w:r>
              <w:rPr>
                <w:rFonts w:hint="default" w:ascii="Times New Roman" w:hAnsi="Times New Roman" w:eastAsia="宋" w:cs="Times New Roman"/>
                <w:b/>
                <w:bCs/>
                <w:i w:val="0"/>
                <w:iCs w:val="0"/>
                <w:color w:val="auto"/>
                <w:kern w:val="0"/>
                <w:sz w:val="21"/>
                <w:szCs w:val="21"/>
                <w:u w:val="none"/>
                <w:lang w:val="en-US" w:eastAsia="zh-CN" w:bidi="ar"/>
              </w:rPr>
              <w:t xml:space="preserve"> </w:t>
            </w:r>
            <w:r>
              <w:rPr>
                <w:rFonts w:hint="default" w:ascii="宋" w:hAnsi="宋" w:eastAsia="宋" w:cs="宋"/>
                <w:b/>
                <w:bCs/>
                <w:i w:val="0"/>
                <w:iCs w:val="0"/>
                <w:color w:val="auto"/>
                <w:kern w:val="0"/>
                <w:sz w:val="21"/>
                <w:szCs w:val="21"/>
                <w:u w:val="none"/>
                <w:lang w:val="en-US" w:eastAsia="zh-CN" w:bidi="ar"/>
              </w:rPr>
              <w:t>汇总</w:t>
            </w:r>
          </w:p>
        </w:tc>
        <w:tc>
          <w:tcPr>
            <w:tcW w:w="3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25.9</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246.31</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80.68</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40.63</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206.37</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lang w:val="en-US"/>
              </w:rPr>
            </w:pPr>
            <w:r>
              <w:rPr>
                <w:rFonts w:hint="eastAsia" w:ascii="Times New Roman" w:hAnsi="Times New Roman" w:eastAsia="宋体" w:cs="Times New Roman"/>
                <w:b/>
                <w:bCs/>
                <w:i w:val="0"/>
                <w:iCs w:val="0"/>
                <w:color w:val="auto"/>
                <w:kern w:val="0"/>
                <w:sz w:val="21"/>
                <w:szCs w:val="21"/>
                <w:u w:val="none"/>
                <w:lang w:val="en-US" w:eastAsia="zh-CN" w:bidi="ar"/>
              </w:rPr>
              <w:t>73.54</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25.77</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5.54</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default" w:ascii="Times New Roman" w:hAnsi="Times New Roman" w:eastAsia="宋体" w:cs="Times New Roman"/>
                <w:b/>
                <w:bCs/>
                <w:i w:val="0"/>
                <w:iCs w:val="0"/>
                <w:color w:val="auto"/>
                <w:kern w:val="0"/>
                <w:sz w:val="21"/>
                <w:szCs w:val="21"/>
                <w:u w:val="none"/>
                <w:lang w:val="en-US" w:eastAsia="zh-CN" w:bidi="ar"/>
              </w:rPr>
              <w:t>1.89</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default" w:ascii="Times New Roman" w:hAnsi="Times New Roman" w:eastAsia="宋体" w:cs="Times New Roman"/>
                <w:b/>
                <w:bCs/>
                <w:i w:val="0"/>
                <w:iCs w:val="0"/>
                <w:color w:val="auto"/>
                <w:kern w:val="0"/>
                <w:sz w:val="21"/>
                <w:szCs w:val="21"/>
                <w:u w:val="none"/>
                <w:lang w:val="en-US" w:eastAsia="zh-CN" w:bidi="ar"/>
              </w:rPr>
              <w:t>2.68</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default" w:ascii="Times New Roman" w:hAnsi="Times New Roman" w:eastAsia="宋体" w:cs="Times New Roman"/>
                <w:b/>
                <w:bCs/>
                <w:i w:val="0"/>
                <w:iCs w:val="0"/>
                <w:color w:val="auto"/>
                <w:kern w:val="0"/>
                <w:sz w:val="21"/>
                <w:szCs w:val="21"/>
                <w:u w:val="none"/>
                <w:lang w:val="en-US" w:eastAsia="zh-CN" w:bidi="ar"/>
              </w:rPr>
              <w:t>0.16</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default" w:ascii="Times New Roman" w:hAnsi="Times New Roman" w:eastAsia="宋体" w:cs="Times New Roman"/>
                <w:b/>
                <w:bCs/>
                <w:i w:val="0"/>
                <w:iCs w:val="0"/>
                <w:color w:val="auto"/>
                <w:kern w:val="0"/>
                <w:sz w:val="21"/>
                <w:szCs w:val="21"/>
                <w:u w:val="none"/>
                <w:lang w:val="en-US" w:eastAsia="zh-CN" w:bidi="ar"/>
              </w:rPr>
              <w:t>709.47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0" w:hRule="atLeast"/>
        </w:trPr>
        <w:tc>
          <w:tcPr>
            <w:tcW w:w="76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宋" w:hAnsi="宋" w:eastAsia="宋" w:cs="宋"/>
                <w:i w:val="0"/>
                <w:iCs w:val="0"/>
                <w:color w:val="auto"/>
                <w:sz w:val="21"/>
                <w:szCs w:val="21"/>
                <w:u w:val="none"/>
              </w:rPr>
            </w:pPr>
            <w:r>
              <w:rPr>
                <w:rFonts w:hint="default" w:ascii="宋" w:hAnsi="宋" w:eastAsia="宋" w:cs="宋"/>
                <w:b/>
                <w:bCs/>
                <w:i w:val="0"/>
                <w:iCs w:val="0"/>
                <w:color w:val="auto"/>
                <w:kern w:val="0"/>
                <w:sz w:val="21"/>
                <w:szCs w:val="21"/>
                <w:u w:val="none"/>
                <w:lang w:val="en-US" w:eastAsia="zh-CN" w:bidi="ar"/>
              </w:rPr>
              <w:t>总计</w:t>
            </w:r>
          </w:p>
        </w:tc>
        <w:tc>
          <w:tcPr>
            <w:tcW w:w="30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25.9</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247.48</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87.27</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41.13</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234.01</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114.4</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26.47</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5.7</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default" w:ascii="Times New Roman" w:hAnsi="Times New Roman" w:eastAsia="宋体" w:cs="Times New Roman"/>
                <w:b/>
                <w:bCs/>
                <w:i w:val="0"/>
                <w:iCs w:val="0"/>
                <w:color w:val="auto"/>
                <w:kern w:val="0"/>
                <w:sz w:val="21"/>
                <w:szCs w:val="21"/>
                <w:u w:val="none"/>
                <w:lang w:val="en-US" w:eastAsia="zh-CN" w:bidi="ar"/>
              </w:rPr>
              <w:t>1.89</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default" w:ascii="Times New Roman" w:hAnsi="Times New Roman" w:eastAsia="宋体" w:cs="Times New Roman"/>
                <w:b/>
                <w:bCs/>
                <w:i w:val="0"/>
                <w:iCs w:val="0"/>
                <w:color w:val="auto"/>
                <w:kern w:val="0"/>
                <w:sz w:val="21"/>
                <w:szCs w:val="21"/>
                <w:u w:val="none"/>
                <w:lang w:val="en-US" w:eastAsia="zh-CN" w:bidi="ar"/>
              </w:rPr>
              <w:t>2.85</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default" w:ascii="Times New Roman" w:hAnsi="Times New Roman" w:eastAsia="宋体" w:cs="Times New Roman"/>
                <w:b/>
                <w:bCs/>
                <w:i w:val="0"/>
                <w:iCs w:val="0"/>
                <w:color w:val="auto"/>
                <w:kern w:val="0"/>
                <w:sz w:val="21"/>
                <w:szCs w:val="21"/>
                <w:u w:val="none"/>
                <w:lang w:val="en-US" w:eastAsia="zh-CN" w:bidi="ar"/>
              </w:rPr>
              <w:t>0.16</w:t>
            </w:r>
          </w:p>
        </w:tc>
        <w:tc>
          <w:tcPr>
            <w:tcW w:w="35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u w:val="none"/>
                <w:lang w:val="en-US" w:eastAsia="zh-CN" w:bidi="ar"/>
              </w:rPr>
            </w:pPr>
            <w:r>
              <w:rPr>
                <w:rFonts w:hint="default" w:ascii="Times New Roman" w:hAnsi="Times New Roman" w:eastAsia="宋体" w:cs="Times New Roman"/>
                <w:b/>
                <w:bCs/>
                <w:i w:val="0"/>
                <w:iCs w:val="0"/>
                <w:color w:val="auto"/>
                <w:kern w:val="0"/>
                <w:sz w:val="21"/>
                <w:szCs w:val="21"/>
                <w:u w:val="none"/>
                <w:lang w:val="en-US" w:eastAsia="zh-CN" w:bidi="ar"/>
              </w:rPr>
              <w:t>746.4</w:t>
            </w:r>
          </w:p>
        </w:tc>
      </w:tr>
    </w:tbl>
    <w:p>
      <w:pPr>
        <w:rPr>
          <w:rFonts w:hint="default"/>
          <w:color w:val="auto"/>
          <w:highlight w:val="none"/>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p>
    <w:p>
      <w:pPr>
        <w:pStyle w:val="4"/>
        <w:bidi w:val="0"/>
        <w:rPr>
          <w:rFonts w:hint="default"/>
          <w:color w:val="auto"/>
        </w:rPr>
      </w:pPr>
      <w:bookmarkStart w:id="368" w:name="_Toc25860"/>
      <w:bookmarkStart w:id="369" w:name="_Toc20308"/>
      <w:bookmarkStart w:id="370" w:name="_Toc23806"/>
      <w:bookmarkStart w:id="371" w:name="_Toc30643"/>
      <w:bookmarkStart w:id="372" w:name="_Toc21439"/>
      <w:bookmarkStart w:id="373" w:name="_Toc18182"/>
      <w:bookmarkStart w:id="374" w:name="_Toc32186"/>
      <w:bookmarkStart w:id="375" w:name="_Toc12272"/>
      <w:bookmarkStart w:id="376" w:name="_Toc27287"/>
      <w:bookmarkStart w:id="377" w:name="_Toc5214"/>
      <w:bookmarkStart w:id="378" w:name="_Toc16065"/>
      <w:bookmarkStart w:id="379" w:name="_Toc6041"/>
      <w:r>
        <w:rPr>
          <w:rFonts w:hint="eastAsia"/>
          <w:color w:val="auto"/>
          <w:lang w:val="en-US" w:eastAsia="zh-CN"/>
        </w:rPr>
        <w:t>拆迁安置</w:t>
      </w:r>
      <w:bookmarkEnd w:id="368"/>
      <w:bookmarkEnd w:id="369"/>
      <w:bookmarkEnd w:id="370"/>
      <w:bookmarkEnd w:id="371"/>
    </w:p>
    <w:p>
      <w:pPr>
        <w:ind w:firstLine="480" w:firstLineChars="200"/>
        <w:rPr>
          <w:rFonts w:hint="default"/>
          <w:color w:val="auto"/>
          <w:highlight w:val="none"/>
        </w:rPr>
      </w:pPr>
      <w:r>
        <w:rPr>
          <w:rFonts w:hint="default"/>
          <w:color w:val="auto"/>
          <w:highlight w:val="none"/>
        </w:rPr>
        <w:t>本项目不涉及占用民宅及其他专用设施，不存在移民及生产安置。本工程建设区征地范围涉及</w:t>
      </w:r>
      <w:r>
        <w:rPr>
          <w:rFonts w:hint="eastAsia"/>
          <w:color w:val="auto"/>
          <w:highlight w:val="none"/>
          <w:lang w:eastAsia="zh-CN"/>
        </w:rPr>
        <w:t>旱地、</w:t>
      </w:r>
      <w:r>
        <w:rPr>
          <w:rFonts w:hint="default"/>
          <w:color w:val="auto"/>
          <w:highlight w:val="none"/>
        </w:rPr>
        <w:t>农民种植果木、经济林及用材林等经济林地，采用同等金额方式进行补偿。不存在移民安置等情况。</w:t>
      </w:r>
    </w:p>
    <w:p>
      <w:pPr>
        <w:pStyle w:val="3"/>
        <w:bidi w:val="0"/>
        <w:rPr>
          <w:rFonts w:hint="default"/>
          <w:color w:val="auto"/>
          <w:lang w:val="en-US" w:eastAsia="zh-CN"/>
        </w:rPr>
      </w:pPr>
      <w:bookmarkStart w:id="380" w:name="_Toc12213"/>
      <w:r>
        <w:rPr>
          <w:rFonts w:hint="eastAsia"/>
          <w:color w:val="auto"/>
          <w:lang w:val="en-US" w:eastAsia="zh-CN"/>
        </w:rPr>
        <w:t>土石方平衡</w:t>
      </w:r>
      <w:bookmarkEnd w:id="380"/>
    </w:p>
    <w:p>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经分析计算，在整个施工期间共开挖土石方35.56万m³</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回填土石方31.07万m³</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产生弃渣4.49万m³</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以上均为自然方。弃渣运输至弃渣场堆存。</w:t>
      </w:r>
    </w:p>
    <w:p>
      <w:pPr>
        <w:bidi w:val="0"/>
        <w:spacing w:line="240" w:lineRule="auto"/>
        <w:jc w:val="center"/>
        <w:rPr>
          <w:b/>
          <w:bCs/>
          <w:color w:val="auto"/>
        </w:rPr>
      </w:pPr>
      <w:r>
        <w:rPr>
          <w:rFonts w:hint="eastAsia"/>
          <w:b/>
          <w:bCs/>
          <w:color w:val="auto"/>
          <w:lang w:val="en-US" w:eastAsia="zh-CN"/>
        </w:rPr>
        <w:t xml:space="preserve">表2.6-1   </w:t>
      </w:r>
      <w:r>
        <w:rPr>
          <w:b/>
          <w:bCs/>
          <w:color w:val="auto"/>
        </w:rPr>
        <w:t>工程土石方平衡表</w:t>
      </w:r>
    </w:p>
    <w:tbl>
      <w:tblPr>
        <w:tblStyle w:val="57"/>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608"/>
        <w:gridCol w:w="2026"/>
        <w:gridCol w:w="1296"/>
        <w:gridCol w:w="1714"/>
        <w:gridCol w:w="165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trPr>
        <w:tc>
          <w:tcPr>
            <w:tcW w:w="2188" w:type="pct"/>
            <w:gridSpan w:val="2"/>
            <w:vMerge w:val="restart"/>
            <w:tcBorders>
              <w:bottom w:val="nil"/>
            </w:tcBorders>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分区/项目区</w:t>
            </w:r>
          </w:p>
        </w:tc>
        <w:tc>
          <w:tcPr>
            <w:tcW w:w="780" w:type="pct"/>
            <w:vMerge w:val="restart"/>
            <w:tcBorders>
              <w:bottom w:val="nil"/>
            </w:tcBorders>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开挖</w:t>
            </w:r>
          </w:p>
        </w:tc>
        <w:tc>
          <w:tcPr>
            <w:tcW w:w="1032" w:type="pct"/>
            <w:vMerge w:val="restart"/>
            <w:tcBorders>
              <w:bottom w:val="nil"/>
            </w:tcBorders>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回填（m³)</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剩余</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2188" w:type="pct"/>
            <w:gridSpan w:val="2"/>
            <w:vMerge w:val="continue"/>
            <w:tcBorders>
              <w:top w:val="nil"/>
              <w:bottom w:val="nil"/>
            </w:tcBorders>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80" w:type="pct"/>
            <w:vMerge w:val="continue"/>
            <w:tcBorders>
              <w:top w:val="nil"/>
            </w:tcBorders>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1032" w:type="pct"/>
            <w:vMerge w:val="continue"/>
            <w:tcBorders>
              <w:top w:val="nil"/>
            </w:tcBorders>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弃渣</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4" w:hRule="atLeast"/>
        </w:trPr>
        <w:tc>
          <w:tcPr>
            <w:tcW w:w="2188" w:type="pct"/>
            <w:gridSpan w:val="2"/>
            <w:vMerge w:val="continue"/>
            <w:tcBorders>
              <w:top w:val="nil"/>
              <w:bottom w:val="nil"/>
            </w:tcBorders>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8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开挖土石方</w:t>
            </w:r>
          </w:p>
        </w:tc>
        <w:tc>
          <w:tcPr>
            <w:tcW w:w="1032"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数量</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数量（自然方）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2188" w:type="pct"/>
            <w:gridSpan w:val="2"/>
            <w:vMerge w:val="continue"/>
            <w:tcBorders>
              <w:top w:val="nil"/>
            </w:tcBorders>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8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（m³)</w:t>
            </w:r>
          </w:p>
        </w:tc>
        <w:tc>
          <w:tcPr>
            <w:tcW w:w="1032"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（m³)</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（m³)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968" w:type="pct"/>
            <w:vMerge w:val="restart"/>
            <w:tcBorders>
              <w:bottom w:val="nil"/>
            </w:tcBorders>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输水工程区</w:t>
            </w:r>
          </w:p>
        </w:tc>
        <w:tc>
          <w:tcPr>
            <w:tcW w:w="122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输水管道</w:t>
            </w:r>
          </w:p>
        </w:tc>
        <w:tc>
          <w:tcPr>
            <w:tcW w:w="78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162832.59</w:t>
            </w:r>
          </w:p>
        </w:tc>
        <w:tc>
          <w:tcPr>
            <w:tcW w:w="1032"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140220.51</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22612.08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968" w:type="pct"/>
            <w:vMerge w:val="continue"/>
            <w:tcBorders>
              <w:top w:val="nil"/>
              <w:bottom w:val="nil"/>
            </w:tcBorders>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122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泵站</w:t>
            </w:r>
          </w:p>
        </w:tc>
        <w:tc>
          <w:tcPr>
            <w:tcW w:w="78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3148.03</w:t>
            </w:r>
          </w:p>
        </w:tc>
        <w:tc>
          <w:tcPr>
            <w:tcW w:w="1032"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953.10</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2194.92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968" w:type="pct"/>
            <w:vMerge w:val="continue"/>
            <w:tcBorders>
              <w:top w:val="nil"/>
              <w:bottom w:val="nil"/>
            </w:tcBorders>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122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阀室</w:t>
            </w:r>
          </w:p>
        </w:tc>
        <w:tc>
          <w:tcPr>
            <w:tcW w:w="78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3774.55</w:t>
            </w:r>
          </w:p>
        </w:tc>
        <w:tc>
          <w:tcPr>
            <w:tcW w:w="1032"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1536.63</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2237.92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968" w:type="pct"/>
            <w:vMerge w:val="continue"/>
            <w:tcBorders>
              <w:top w:val="nil"/>
            </w:tcBorders>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122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水池</w:t>
            </w:r>
          </w:p>
        </w:tc>
        <w:tc>
          <w:tcPr>
            <w:tcW w:w="78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84645.09</w:t>
            </w:r>
          </w:p>
        </w:tc>
        <w:tc>
          <w:tcPr>
            <w:tcW w:w="1032"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79701.44</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4943.65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trPr>
        <w:tc>
          <w:tcPr>
            <w:tcW w:w="968" w:type="pct"/>
            <w:vMerge w:val="restart"/>
            <w:tcBorders>
              <w:bottom w:val="nil"/>
            </w:tcBorders>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交通道路区</w:t>
            </w:r>
          </w:p>
        </w:tc>
        <w:tc>
          <w:tcPr>
            <w:tcW w:w="122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新修临时施工道路</w:t>
            </w:r>
          </w:p>
        </w:tc>
        <w:tc>
          <w:tcPr>
            <w:tcW w:w="78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64650</w:t>
            </w:r>
          </w:p>
        </w:tc>
        <w:tc>
          <w:tcPr>
            <w:tcW w:w="1032"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51720</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12930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4" w:hRule="atLeast"/>
        </w:trPr>
        <w:tc>
          <w:tcPr>
            <w:tcW w:w="968" w:type="pct"/>
            <w:vMerge w:val="continue"/>
            <w:tcBorders>
              <w:top w:val="nil"/>
            </w:tcBorders>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122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扩建临时施工道路</w:t>
            </w:r>
          </w:p>
        </w:tc>
        <w:tc>
          <w:tcPr>
            <w:tcW w:w="78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36560</w:t>
            </w:r>
          </w:p>
        </w:tc>
        <w:tc>
          <w:tcPr>
            <w:tcW w:w="1032"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36560</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96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弃渣场区</w:t>
            </w:r>
          </w:p>
        </w:tc>
        <w:tc>
          <w:tcPr>
            <w:tcW w:w="122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弃渣场</w:t>
            </w:r>
          </w:p>
        </w:tc>
        <w:tc>
          <w:tcPr>
            <w:tcW w:w="78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1032"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trPr>
        <w:tc>
          <w:tcPr>
            <w:tcW w:w="2188" w:type="pct"/>
            <w:gridSpan w:val="2"/>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合计</w:t>
            </w:r>
          </w:p>
        </w:tc>
        <w:tc>
          <w:tcPr>
            <w:tcW w:w="78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355610.26</w:t>
            </w:r>
          </w:p>
        </w:tc>
        <w:tc>
          <w:tcPr>
            <w:tcW w:w="1032"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310691.68</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44918.58</w:t>
            </w:r>
          </w:p>
        </w:tc>
      </w:tr>
    </w:tbl>
    <w:p>
      <w:pPr>
        <w:pStyle w:val="5"/>
        <w:tabs>
          <w:tab w:val="clear" w:pos="420"/>
        </w:tabs>
        <w:rPr>
          <w:rFonts w:hint="default"/>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p>
    <w:p>
      <w:pPr>
        <w:pStyle w:val="3"/>
        <w:numPr>
          <w:ilvl w:val="1"/>
          <w:numId w:val="1"/>
        </w:numPr>
        <w:bidi w:val="0"/>
        <w:rPr>
          <w:rFonts w:hint="default"/>
          <w:color w:val="auto"/>
          <w:highlight w:val="none"/>
        </w:rPr>
      </w:pPr>
      <w:bookmarkStart w:id="381" w:name="_Toc30731"/>
      <w:r>
        <w:rPr>
          <w:rFonts w:hint="eastAsia"/>
          <w:color w:val="auto"/>
          <w:highlight w:val="none"/>
          <w:lang w:eastAsia="zh-CN"/>
        </w:rPr>
        <w:t>工程特性表</w:t>
      </w:r>
      <w:bookmarkEnd w:id="372"/>
      <w:bookmarkEnd w:id="373"/>
      <w:bookmarkEnd w:id="374"/>
      <w:bookmarkEnd w:id="381"/>
    </w:p>
    <w:p>
      <w:pPr>
        <w:bidi w:val="0"/>
        <w:ind w:firstLine="480" w:firstLineChars="200"/>
        <w:rPr>
          <w:rFonts w:hint="eastAsia" w:cs="Times New Roman"/>
          <w:color w:val="auto"/>
          <w:highlight w:val="none"/>
          <w:lang w:eastAsia="zh-CN"/>
        </w:rPr>
      </w:pPr>
      <w:r>
        <w:rPr>
          <w:rFonts w:hint="default" w:ascii="Times New Roman" w:hAnsi="Times New Roman" w:cs="Times New Roman"/>
          <w:color w:val="auto"/>
          <w:highlight w:val="none"/>
        </w:rPr>
        <w:t>元谋县姜驿中型灌区续建配套与节水改造项目</w:t>
      </w:r>
      <w:r>
        <w:rPr>
          <w:rFonts w:hint="eastAsia" w:cs="Times New Roman"/>
          <w:color w:val="auto"/>
          <w:highlight w:val="none"/>
          <w:lang w:eastAsia="zh-CN"/>
        </w:rPr>
        <w:t>工程特性表见下表。</w:t>
      </w:r>
    </w:p>
    <w:p>
      <w:pPr>
        <w:pStyle w:val="40"/>
        <w:bidi w:val="0"/>
        <w:rPr>
          <w:rFonts w:hint="eastAsia"/>
          <w:color w:val="auto"/>
          <w:highlight w:val="none"/>
          <w:lang w:eastAsia="zh-CN"/>
        </w:rPr>
      </w:pPr>
      <w:r>
        <w:rPr>
          <w:rFonts w:hint="eastAsia"/>
          <w:color w:val="auto"/>
          <w:highlight w:val="none"/>
          <w:lang w:eastAsia="zh-CN"/>
        </w:rPr>
        <w:t>表</w:t>
      </w:r>
      <w:r>
        <w:rPr>
          <w:rFonts w:hint="eastAsia"/>
          <w:color w:val="auto"/>
          <w:highlight w:val="none"/>
          <w:lang w:val="en-US" w:eastAsia="zh-CN"/>
        </w:rPr>
        <w:t xml:space="preserve">2.7-1 </w:t>
      </w:r>
      <w:r>
        <w:rPr>
          <w:rFonts w:hint="default"/>
          <w:color w:val="auto"/>
          <w:highlight w:val="none"/>
        </w:rPr>
        <w:t>元谋县姜驿中型灌区续建配套与节水改造项目</w:t>
      </w:r>
      <w:r>
        <w:rPr>
          <w:rFonts w:hint="eastAsia"/>
          <w:color w:val="auto"/>
          <w:highlight w:val="none"/>
          <w:lang w:eastAsia="zh-CN"/>
        </w:rPr>
        <w:t>工程特性表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2"/>
        <w:gridCol w:w="3304"/>
        <w:gridCol w:w="1050"/>
        <w:gridCol w:w="1966"/>
        <w:gridCol w:w="1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r>
              <w:rPr>
                <w:rFonts w:hint="eastAsia"/>
                <w:color w:val="auto"/>
                <w:highlight w:val="none"/>
                <w:lang w:val="en-US" w:eastAsia="zh-CN"/>
              </w:rPr>
              <w:t>序号</w:t>
            </w:r>
          </w:p>
        </w:tc>
        <w:tc>
          <w:tcPr>
            <w:tcW w:w="3304"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r>
              <w:rPr>
                <w:rFonts w:hint="eastAsia"/>
                <w:color w:val="auto"/>
                <w:highlight w:val="none"/>
                <w:lang w:val="en-US" w:eastAsia="zh-CN"/>
              </w:rPr>
              <w:t>名称</w:t>
            </w:r>
          </w:p>
        </w:tc>
        <w:tc>
          <w:tcPr>
            <w:tcW w:w="1050"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r>
              <w:rPr>
                <w:rFonts w:hint="eastAsia"/>
                <w:color w:val="auto"/>
                <w:highlight w:val="none"/>
                <w:lang w:val="en-US" w:eastAsia="zh-CN"/>
              </w:rPr>
              <w:t>单位</w:t>
            </w:r>
          </w:p>
        </w:tc>
        <w:tc>
          <w:tcPr>
            <w:tcW w:w="1966"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r>
              <w:rPr>
                <w:rFonts w:hint="eastAsia"/>
                <w:color w:val="auto"/>
                <w:highlight w:val="none"/>
                <w:lang w:val="en-US" w:eastAsia="zh-CN"/>
              </w:rPr>
              <w:t>数量</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r>
              <w:rPr>
                <w:rFonts w:hint="eastAsia"/>
                <w:color w:val="auto"/>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b/>
                <w:bCs/>
                <w:color w:val="auto"/>
                <w:highlight w:val="none"/>
                <w:lang w:val="en-US" w:eastAsia="zh-CN"/>
              </w:rPr>
            </w:pPr>
            <w:r>
              <w:rPr>
                <w:rFonts w:hint="eastAsia"/>
                <w:b/>
                <w:bCs/>
                <w:color w:val="auto"/>
                <w:highlight w:val="none"/>
                <w:lang w:val="en-US" w:eastAsia="zh-CN"/>
              </w:rPr>
              <w:t>一、</w:t>
            </w:r>
          </w:p>
        </w:tc>
        <w:tc>
          <w:tcPr>
            <w:tcW w:w="330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b/>
                <w:bCs/>
                <w:color w:val="auto"/>
                <w:highlight w:val="none"/>
                <w:lang w:val="en-US" w:eastAsia="zh-CN"/>
              </w:rPr>
            </w:pPr>
            <w:r>
              <w:rPr>
                <w:rFonts w:hint="eastAsia"/>
                <w:b/>
                <w:bCs/>
                <w:color w:val="auto"/>
                <w:highlight w:val="none"/>
                <w:lang w:val="en-US" w:eastAsia="zh-CN"/>
              </w:rPr>
              <w:t>工程规模</w:t>
            </w:r>
          </w:p>
        </w:tc>
        <w:tc>
          <w:tcPr>
            <w:tcW w:w="1050"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c>
          <w:tcPr>
            <w:tcW w:w="1966"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1、</w:t>
            </w:r>
          </w:p>
        </w:tc>
        <w:tc>
          <w:tcPr>
            <w:tcW w:w="330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设计灌溉面积</w:t>
            </w:r>
          </w:p>
        </w:tc>
        <w:tc>
          <w:tcPr>
            <w:tcW w:w="1050"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万亩</w:t>
            </w:r>
          </w:p>
        </w:tc>
        <w:tc>
          <w:tcPr>
            <w:tcW w:w="1966"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3.9</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2、</w:t>
            </w:r>
          </w:p>
        </w:tc>
        <w:tc>
          <w:tcPr>
            <w:tcW w:w="330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北干管管首流量</w:t>
            </w:r>
          </w:p>
        </w:tc>
        <w:tc>
          <w:tcPr>
            <w:tcW w:w="1050"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default"/>
                <w:color w:val="auto"/>
                <w:highlight w:val="none"/>
                <w:lang w:val="en-US" w:eastAsia="zh-CN"/>
              </w:rPr>
              <w:t>m</w:t>
            </w:r>
            <w:r>
              <w:rPr>
                <w:rFonts w:hint="default"/>
                <w:color w:val="auto"/>
                <w:highlight w:val="none"/>
                <w:vertAlign w:val="superscript"/>
                <w:lang w:val="en-US" w:eastAsia="zh-CN"/>
              </w:rPr>
              <w:t>3</w:t>
            </w:r>
            <w:r>
              <w:rPr>
                <w:rFonts w:hint="default"/>
                <w:color w:val="auto"/>
                <w:highlight w:val="none"/>
                <w:lang w:val="en-US" w:eastAsia="zh-CN"/>
              </w:rPr>
              <w:t>/s</w:t>
            </w:r>
          </w:p>
        </w:tc>
        <w:tc>
          <w:tcPr>
            <w:tcW w:w="1966"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0.8638</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3、</w:t>
            </w:r>
          </w:p>
        </w:tc>
        <w:tc>
          <w:tcPr>
            <w:tcW w:w="330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金马分干管管首流量</w:t>
            </w:r>
          </w:p>
        </w:tc>
        <w:tc>
          <w:tcPr>
            <w:tcW w:w="1050"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default"/>
                <w:color w:val="auto"/>
                <w:highlight w:val="none"/>
                <w:lang w:val="en-US" w:eastAsia="zh-CN"/>
              </w:rPr>
              <w:t>m</w:t>
            </w:r>
            <w:r>
              <w:rPr>
                <w:rFonts w:hint="default"/>
                <w:color w:val="auto"/>
                <w:highlight w:val="none"/>
                <w:vertAlign w:val="superscript"/>
                <w:lang w:val="en-US" w:eastAsia="zh-CN"/>
              </w:rPr>
              <w:t>3</w:t>
            </w:r>
            <w:r>
              <w:rPr>
                <w:rFonts w:hint="default"/>
                <w:color w:val="auto"/>
                <w:highlight w:val="none"/>
                <w:lang w:val="en-US" w:eastAsia="zh-CN"/>
              </w:rPr>
              <w:t>/s</w:t>
            </w:r>
          </w:p>
        </w:tc>
        <w:tc>
          <w:tcPr>
            <w:tcW w:w="1966"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0.2887</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4、</w:t>
            </w:r>
          </w:p>
        </w:tc>
        <w:tc>
          <w:tcPr>
            <w:tcW w:w="330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金马1#支管管首流量</w:t>
            </w:r>
          </w:p>
        </w:tc>
        <w:tc>
          <w:tcPr>
            <w:tcW w:w="1050"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default"/>
                <w:color w:val="auto"/>
                <w:highlight w:val="none"/>
                <w:lang w:val="en-US" w:eastAsia="zh-CN"/>
              </w:rPr>
              <w:t>m</w:t>
            </w:r>
            <w:r>
              <w:rPr>
                <w:rFonts w:hint="default"/>
                <w:color w:val="auto"/>
                <w:highlight w:val="none"/>
                <w:vertAlign w:val="superscript"/>
                <w:lang w:val="en-US" w:eastAsia="zh-CN"/>
              </w:rPr>
              <w:t>3</w:t>
            </w:r>
            <w:r>
              <w:rPr>
                <w:rFonts w:hint="default"/>
                <w:color w:val="auto"/>
                <w:highlight w:val="none"/>
                <w:lang w:val="en-US" w:eastAsia="zh-CN"/>
              </w:rPr>
              <w:t>/s</w:t>
            </w:r>
          </w:p>
        </w:tc>
        <w:tc>
          <w:tcPr>
            <w:tcW w:w="1966"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0.0233</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5、</w:t>
            </w:r>
          </w:p>
        </w:tc>
        <w:tc>
          <w:tcPr>
            <w:tcW w:w="330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金马2#支管管首流量</w:t>
            </w:r>
          </w:p>
        </w:tc>
        <w:tc>
          <w:tcPr>
            <w:tcW w:w="1050"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default"/>
                <w:color w:val="auto"/>
                <w:highlight w:val="none"/>
                <w:lang w:val="en-US" w:eastAsia="zh-CN"/>
              </w:rPr>
              <w:t>m</w:t>
            </w:r>
            <w:r>
              <w:rPr>
                <w:rFonts w:hint="default"/>
                <w:color w:val="auto"/>
                <w:highlight w:val="none"/>
                <w:vertAlign w:val="superscript"/>
                <w:lang w:val="en-US" w:eastAsia="zh-CN"/>
              </w:rPr>
              <w:t>3</w:t>
            </w:r>
            <w:r>
              <w:rPr>
                <w:rFonts w:hint="default"/>
                <w:color w:val="auto"/>
                <w:highlight w:val="none"/>
                <w:lang w:val="en-US" w:eastAsia="zh-CN"/>
              </w:rPr>
              <w:t>/s</w:t>
            </w:r>
          </w:p>
        </w:tc>
        <w:tc>
          <w:tcPr>
            <w:tcW w:w="1966"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0.0251</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6、</w:t>
            </w:r>
          </w:p>
        </w:tc>
        <w:tc>
          <w:tcPr>
            <w:tcW w:w="330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金马3#支管管首流量</w:t>
            </w:r>
          </w:p>
        </w:tc>
        <w:tc>
          <w:tcPr>
            <w:tcW w:w="1050"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default"/>
                <w:color w:val="auto"/>
                <w:highlight w:val="none"/>
                <w:lang w:val="en-US" w:eastAsia="zh-CN"/>
              </w:rPr>
              <w:t>m</w:t>
            </w:r>
            <w:r>
              <w:rPr>
                <w:rFonts w:hint="default"/>
                <w:color w:val="auto"/>
                <w:highlight w:val="none"/>
                <w:vertAlign w:val="superscript"/>
                <w:lang w:val="en-US" w:eastAsia="zh-CN"/>
              </w:rPr>
              <w:t>3</w:t>
            </w:r>
            <w:r>
              <w:rPr>
                <w:rFonts w:hint="default"/>
                <w:color w:val="auto"/>
                <w:highlight w:val="none"/>
                <w:lang w:val="en-US" w:eastAsia="zh-CN"/>
              </w:rPr>
              <w:t>/s</w:t>
            </w:r>
          </w:p>
        </w:tc>
        <w:tc>
          <w:tcPr>
            <w:tcW w:w="1966"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0.0503</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7、</w:t>
            </w:r>
          </w:p>
        </w:tc>
        <w:tc>
          <w:tcPr>
            <w:tcW w:w="330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金马4#支管管首流量</w:t>
            </w:r>
          </w:p>
        </w:tc>
        <w:tc>
          <w:tcPr>
            <w:tcW w:w="1050"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default"/>
                <w:color w:val="auto"/>
                <w:highlight w:val="none"/>
                <w:lang w:val="en-US" w:eastAsia="zh-CN"/>
              </w:rPr>
              <w:t>m</w:t>
            </w:r>
            <w:r>
              <w:rPr>
                <w:rFonts w:hint="default"/>
                <w:color w:val="auto"/>
                <w:highlight w:val="none"/>
                <w:vertAlign w:val="superscript"/>
                <w:lang w:val="en-US" w:eastAsia="zh-CN"/>
              </w:rPr>
              <w:t>3</w:t>
            </w:r>
            <w:r>
              <w:rPr>
                <w:rFonts w:hint="default"/>
                <w:color w:val="auto"/>
                <w:highlight w:val="none"/>
                <w:lang w:val="en-US" w:eastAsia="zh-CN"/>
              </w:rPr>
              <w:t>/s</w:t>
            </w:r>
          </w:p>
        </w:tc>
        <w:tc>
          <w:tcPr>
            <w:tcW w:w="1966"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0.0257</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8、</w:t>
            </w:r>
          </w:p>
        </w:tc>
        <w:tc>
          <w:tcPr>
            <w:tcW w:w="3304" w:type="dxa"/>
            <w:vAlign w:val="top"/>
          </w:tcPr>
          <w:p>
            <w:pPr>
              <w:pStyle w:val="56"/>
              <w:keepNext w:val="0"/>
              <w:keepLines w:val="0"/>
              <w:pageBreakBefore w:val="0"/>
              <w:wordWrap/>
              <w:overflowPunct/>
              <w:topLinePunct w:val="0"/>
              <w:bidi w:val="0"/>
              <w:adjustRightInd/>
              <w:snapToGrid w:val="0"/>
              <w:spacing w:line="240" w:lineRule="auto"/>
              <w:ind w:left="0" w:leftChars="0" w:firstLine="0" w:firstLineChars="0"/>
              <w:jc w:val="center"/>
              <w:rPr>
                <w:rFonts w:hint="eastAsia" w:ascii="宋体" w:hAnsi="宋体" w:eastAsia="宋体" w:cs="宋体"/>
                <w:color w:val="auto"/>
                <w:kern w:val="2"/>
                <w:sz w:val="21"/>
                <w:szCs w:val="21"/>
                <w:highlight w:val="none"/>
                <w:lang w:val="en-US" w:eastAsia="zh-CN" w:bidi="ar-SA"/>
              </w:rPr>
            </w:pPr>
            <w:r>
              <w:rPr>
                <w:color w:val="auto"/>
                <w:spacing w:val="-1"/>
                <w:highlight w:val="none"/>
              </w:rPr>
              <w:t>平坦泵站提水管道</w:t>
            </w:r>
          </w:p>
        </w:tc>
        <w:tc>
          <w:tcPr>
            <w:tcW w:w="1050" w:type="dxa"/>
            <w:vAlign w:val="top"/>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ascii="Times New Roman" w:hAnsi="Times New Roman" w:eastAsia="宋" w:cs="Times New Roman"/>
                <w:color w:val="auto"/>
                <w:kern w:val="0"/>
                <w:sz w:val="21"/>
                <w:szCs w:val="21"/>
                <w:highlight w:val="none"/>
                <w:lang w:val="en-US" w:eastAsia="zh-CN" w:bidi="ar-SA"/>
              </w:rPr>
            </w:pPr>
            <w:r>
              <w:rPr>
                <w:rFonts w:hint="default"/>
                <w:color w:val="auto"/>
                <w:highlight w:val="none"/>
                <w:lang w:val="en-US" w:eastAsia="zh-CN"/>
              </w:rPr>
              <w:t>m</w:t>
            </w:r>
            <w:r>
              <w:rPr>
                <w:rFonts w:hint="default"/>
                <w:color w:val="auto"/>
                <w:highlight w:val="none"/>
                <w:vertAlign w:val="superscript"/>
                <w:lang w:val="en-US" w:eastAsia="zh-CN"/>
              </w:rPr>
              <w:t>3</w:t>
            </w:r>
            <w:r>
              <w:rPr>
                <w:rFonts w:hint="default"/>
                <w:color w:val="auto"/>
                <w:highlight w:val="none"/>
                <w:lang w:val="en-US" w:eastAsia="zh-CN"/>
              </w:rPr>
              <w:t>/s</w:t>
            </w:r>
          </w:p>
        </w:tc>
        <w:tc>
          <w:tcPr>
            <w:tcW w:w="1966" w:type="dxa"/>
            <w:vAlign w:val="top"/>
          </w:tcPr>
          <w:p>
            <w:pPr>
              <w:keepNext w:val="0"/>
              <w:keepLines w:val="0"/>
              <w:pageBreakBefore w:val="0"/>
              <w:wordWrap/>
              <w:overflowPunct/>
              <w:topLinePunct w:val="0"/>
              <w:bidi w:val="0"/>
              <w:adjustRightInd/>
              <w:snapToGrid w:val="0"/>
              <w:spacing w:line="240" w:lineRule="auto"/>
              <w:ind w:left="0" w:leftChars="0" w:firstLine="0" w:firstLineChars="0"/>
              <w:jc w:val="center"/>
              <w:rPr>
                <w:rFonts w:hint="eastAsia"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2"/>
                <w:sz w:val="21"/>
                <w:szCs w:val="21"/>
                <w:highlight w:val="none"/>
              </w:rPr>
              <w:t>0.1897</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9、</w:t>
            </w:r>
          </w:p>
        </w:tc>
        <w:tc>
          <w:tcPr>
            <w:tcW w:w="3304" w:type="dxa"/>
            <w:vAlign w:val="top"/>
          </w:tcPr>
          <w:p>
            <w:pPr>
              <w:pStyle w:val="56"/>
              <w:keepNext w:val="0"/>
              <w:keepLines w:val="0"/>
              <w:pageBreakBefore w:val="0"/>
              <w:wordWrap/>
              <w:overflowPunct/>
              <w:topLinePunct w:val="0"/>
              <w:bidi w:val="0"/>
              <w:adjustRightInd/>
              <w:snapToGrid w:val="0"/>
              <w:spacing w:line="240" w:lineRule="auto"/>
              <w:ind w:left="0" w:leftChars="0" w:firstLine="0" w:firstLineChars="0"/>
              <w:jc w:val="center"/>
              <w:rPr>
                <w:rFonts w:hint="eastAsia" w:ascii="宋体" w:hAnsi="宋体" w:eastAsia="宋体" w:cs="宋体"/>
                <w:color w:val="auto"/>
                <w:kern w:val="2"/>
                <w:sz w:val="21"/>
                <w:szCs w:val="21"/>
                <w:highlight w:val="none"/>
                <w:lang w:val="en-US" w:eastAsia="zh-CN" w:bidi="ar-SA"/>
              </w:rPr>
            </w:pPr>
            <w:r>
              <w:rPr>
                <w:color w:val="auto"/>
                <w:spacing w:val="-6"/>
                <w:highlight w:val="none"/>
              </w:rPr>
              <w:t>白秧树</w:t>
            </w:r>
            <w:r>
              <w:rPr>
                <w:color w:val="auto"/>
                <w:spacing w:val="-26"/>
                <w:highlight w:val="none"/>
              </w:rPr>
              <w:t xml:space="preserve"> </w:t>
            </w:r>
            <w:r>
              <w:rPr>
                <w:rFonts w:ascii="Times New Roman" w:hAnsi="Times New Roman" w:eastAsia="Times New Roman" w:cs="Times New Roman"/>
                <w:color w:val="auto"/>
                <w:spacing w:val="-6"/>
                <w:highlight w:val="none"/>
              </w:rPr>
              <w:t>1#</w:t>
            </w:r>
            <w:r>
              <w:rPr>
                <w:color w:val="auto"/>
                <w:spacing w:val="-6"/>
                <w:highlight w:val="none"/>
              </w:rPr>
              <w:t>泵站提水管道</w:t>
            </w:r>
          </w:p>
        </w:tc>
        <w:tc>
          <w:tcPr>
            <w:tcW w:w="1050" w:type="dxa"/>
            <w:vAlign w:val="top"/>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ascii="Times New Roman" w:hAnsi="Times New Roman" w:eastAsia="宋" w:cs="Times New Roman"/>
                <w:color w:val="auto"/>
                <w:kern w:val="0"/>
                <w:sz w:val="21"/>
                <w:szCs w:val="21"/>
                <w:highlight w:val="none"/>
                <w:lang w:val="en-US" w:eastAsia="zh-CN" w:bidi="ar-SA"/>
              </w:rPr>
            </w:pPr>
            <w:r>
              <w:rPr>
                <w:rFonts w:hint="default"/>
                <w:color w:val="auto"/>
                <w:highlight w:val="none"/>
                <w:lang w:val="en-US" w:eastAsia="zh-CN"/>
              </w:rPr>
              <w:t>m</w:t>
            </w:r>
            <w:r>
              <w:rPr>
                <w:rFonts w:hint="default"/>
                <w:color w:val="auto"/>
                <w:highlight w:val="none"/>
                <w:vertAlign w:val="superscript"/>
                <w:lang w:val="en-US" w:eastAsia="zh-CN"/>
              </w:rPr>
              <w:t>3</w:t>
            </w:r>
            <w:r>
              <w:rPr>
                <w:rFonts w:hint="default"/>
                <w:color w:val="auto"/>
                <w:highlight w:val="none"/>
                <w:lang w:val="en-US" w:eastAsia="zh-CN"/>
              </w:rPr>
              <w:t>/s</w:t>
            </w:r>
          </w:p>
        </w:tc>
        <w:tc>
          <w:tcPr>
            <w:tcW w:w="1966" w:type="dxa"/>
            <w:vAlign w:val="top"/>
          </w:tcPr>
          <w:p>
            <w:pPr>
              <w:keepNext w:val="0"/>
              <w:keepLines w:val="0"/>
              <w:pageBreakBefore w:val="0"/>
              <w:wordWrap/>
              <w:overflowPunct/>
              <w:topLinePunct w:val="0"/>
              <w:bidi w:val="0"/>
              <w:adjustRightInd/>
              <w:snapToGrid w:val="0"/>
              <w:spacing w:line="240" w:lineRule="auto"/>
              <w:ind w:left="0" w:leftChars="0" w:firstLine="0" w:firstLineChars="0"/>
              <w:jc w:val="center"/>
              <w:rPr>
                <w:rFonts w:hint="eastAsia"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2"/>
                <w:sz w:val="21"/>
                <w:szCs w:val="21"/>
                <w:highlight w:val="none"/>
              </w:rPr>
              <w:t>0.0617</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10、</w:t>
            </w:r>
          </w:p>
        </w:tc>
        <w:tc>
          <w:tcPr>
            <w:tcW w:w="3304" w:type="dxa"/>
            <w:vAlign w:val="top"/>
          </w:tcPr>
          <w:p>
            <w:pPr>
              <w:pStyle w:val="56"/>
              <w:keepNext w:val="0"/>
              <w:keepLines w:val="0"/>
              <w:pageBreakBefore w:val="0"/>
              <w:wordWrap/>
              <w:overflowPunct/>
              <w:topLinePunct w:val="0"/>
              <w:bidi w:val="0"/>
              <w:adjustRightInd/>
              <w:snapToGrid w:val="0"/>
              <w:spacing w:line="240" w:lineRule="auto"/>
              <w:ind w:left="0" w:leftChars="0" w:firstLine="0" w:firstLineChars="0"/>
              <w:jc w:val="center"/>
              <w:rPr>
                <w:rFonts w:hint="eastAsia" w:ascii="宋体" w:hAnsi="宋体" w:eastAsia="宋体" w:cs="宋体"/>
                <w:color w:val="auto"/>
                <w:kern w:val="2"/>
                <w:sz w:val="21"/>
                <w:szCs w:val="21"/>
                <w:highlight w:val="none"/>
                <w:lang w:val="en-US" w:eastAsia="zh-CN" w:bidi="ar-SA"/>
              </w:rPr>
            </w:pPr>
            <w:r>
              <w:rPr>
                <w:color w:val="auto"/>
                <w:spacing w:val="-4"/>
                <w:highlight w:val="none"/>
              </w:rPr>
              <w:t>白秧树</w:t>
            </w:r>
            <w:r>
              <w:rPr>
                <w:color w:val="auto"/>
                <w:spacing w:val="-48"/>
                <w:highlight w:val="none"/>
              </w:rPr>
              <w:t xml:space="preserve"> </w:t>
            </w:r>
            <w:r>
              <w:rPr>
                <w:rFonts w:ascii="Times New Roman" w:hAnsi="Times New Roman" w:eastAsia="Times New Roman" w:cs="Times New Roman"/>
                <w:color w:val="auto"/>
                <w:spacing w:val="-4"/>
                <w:highlight w:val="none"/>
              </w:rPr>
              <w:t>2#</w:t>
            </w:r>
            <w:r>
              <w:rPr>
                <w:color w:val="auto"/>
                <w:spacing w:val="-4"/>
                <w:highlight w:val="none"/>
              </w:rPr>
              <w:t>泵站提水管道</w:t>
            </w:r>
          </w:p>
        </w:tc>
        <w:tc>
          <w:tcPr>
            <w:tcW w:w="1050" w:type="dxa"/>
            <w:vAlign w:val="top"/>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ascii="Times New Roman" w:hAnsi="Times New Roman" w:eastAsia="宋" w:cs="Times New Roman"/>
                <w:color w:val="auto"/>
                <w:kern w:val="0"/>
                <w:sz w:val="21"/>
                <w:szCs w:val="21"/>
                <w:highlight w:val="none"/>
                <w:lang w:val="en-US" w:eastAsia="zh-CN" w:bidi="ar-SA"/>
              </w:rPr>
            </w:pPr>
            <w:r>
              <w:rPr>
                <w:rFonts w:hint="default"/>
                <w:color w:val="auto"/>
                <w:highlight w:val="none"/>
                <w:lang w:val="en-US" w:eastAsia="zh-CN"/>
              </w:rPr>
              <w:t>m</w:t>
            </w:r>
            <w:r>
              <w:rPr>
                <w:rFonts w:hint="default"/>
                <w:color w:val="auto"/>
                <w:highlight w:val="none"/>
                <w:vertAlign w:val="superscript"/>
                <w:lang w:val="en-US" w:eastAsia="zh-CN"/>
              </w:rPr>
              <w:t>3</w:t>
            </w:r>
            <w:r>
              <w:rPr>
                <w:rFonts w:hint="default"/>
                <w:color w:val="auto"/>
                <w:highlight w:val="none"/>
                <w:lang w:val="en-US" w:eastAsia="zh-CN"/>
              </w:rPr>
              <w:t>/s</w:t>
            </w:r>
          </w:p>
        </w:tc>
        <w:tc>
          <w:tcPr>
            <w:tcW w:w="1966" w:type="dxa"/>
            <w:vAlign w:val="top"/>
          </w:tcPr>
          <w:p>
            <w:pPr>
              <w:keepNext w:val="0"/>
              <w:keepLines w:val="0"/>
              <w:pageBreakBefore w:val="0"/>
              <w:wordWrap/>
              <w:overflowPunct/>
              <w:topLinePunct w:val="0"/>
              <w:bidi w:val="0"/>
              <w:adjustRightInd/>
              <w:snapToGrid w:val="0"/>
              <w:spacing w:line="240" w:lineRule="auto"/>
              <w:ind w:left="0" w:leftChars="0" w:firstLine="0" w:firstLineChars="0"/>
              <w:jc w:val="center"/>
              <w:rPr>
                <w:rFonts w:hint="eastAsia"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2"/>
                <w:sz w:val="21"/>
                <w:szCs w:val="21"/>
                <w:highlight w:val="none"/>
              </w:rPr>
              <w:t>0.0819</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eastAsia"/>
                <w:b/>
                <w:bCs/>
                <w:color w:val="auto"/>
                <w:highlight w:val="none"/>
                <w:lang w:val="en-US" w:eastAsia="zh-CN"/>
              </w:rPr>
            </w:pPr>
            <w:r>
              <w:rPr>
                <w:rFonts w:hint="eastAsia"/>
                <w:b/>
                <w:bCs/>
                <w:color w:val="auto"/>
                <w:highlight w:val="none"/>
                <w:lang w:val="en-US" w:eastAsia="zh-CN"/>
              </w:rPr>
              <w:t>二、</w:t>
            </w:r>
          </w:p>
        </w:tc>
        <w:tc>
          <w:tcPr>
            <w:tcW w:w="3304" w:type="dxa"/>
            <w:vAlign w:val="top"/>
          </w:tcPr>
          <w:p>
            <w:pPr>
              <w:pStyle w:val="56"/>
              <w:keepNext w:val="0"/>
              <w:keepLines w:val="0"/>
              <w:pageBreakBefore w:val="0"/>
              <w:wordWrap/>
              <w:overflowPunct/>
              <w:topLinePunct w:val="0"/>
              <w:bidi w:val="0"/>
              <w:adjustRightInd/>
              <w:snapToGrid w:val="0"/>
              <w:spacing w:line="240" w:lineRule="auto"/>
              <w:ind w:left="0" w:leftChars="0" w:firstLine="0" w:firstLineChars="0"/>
              <w:jc w:val="center"/>
              <w:rPr>
                <w:rFonts w:hint="eastAsia" w:eastAsia="宋体"/>
                <w:b/>
                <w:bCs/>
                <w:color w:val="auto"/>
                <w:spacing w:val="-4"/>
                <w:highlight w:val="none"/>
                <w:lang w:eastAsia="zh-CN"/>
              </w:rPr>
            </w:pPr>
            <w:r>
              <w:rPr>
                <w:rFonts w:hint="eastAsia"/>
                <w:b/>
                <w:bCs/>
                <w:color w:val="auto"/>
                <w:spacing w:val="-4"/>
                <w:highlight w:val="none"/>
                <w:lang w:eastAsia="zh-CN"/>
              </w:rPr>
              <w:t>工程征地</w:t>
            </w:r>
          </w:p>
        </w:tc>
        <w:tc>
          <w:tcPr>
            <w:tcW w:w="1050" w:type="dxa"/>
            <w:vAlign w:val="top"/>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c>
          <w:tcPr>
            <w:tcW w:w="1966" w:type="dxa"/>
            <w:vAlign w:val="top"/>
          </w:tcPr>
          <w:p>
            <w:pPr>
              <w:keepNext w:val="0"/>
              <w:keepLines w:val="0"/>
              <w:pageBreakBefore w:val="0"/>
              <w:wordWrap/>
              <w:overflowPunct/>
              <w:topLinePunct w:val="0"/>
              <w:bidi w:val="0"/>
              <w:adjustRightInd/>
              <w:snapToGrid w:val="0"/>
              <w:spacing w:line="240" w:lineRule="auto"/>
              <w:ind w:left="0" w:leftChars="0" w:firstLine="0" w:firstLineChars="0"/>
              <w:jc w:val="center"/>
              <w:rPr>
                <w:rFonts w:ascii="Times New Roman" w:hAnsi="Times New Roman" w:eastAsia="Times New Roman" w:cs="Times New Roman"/>
                <w:color w:val="auto"/>
                <w:spacing w:val="-2"/>
                <w:sz w:val="21"/>
                <w:szCs w:val="21"/>
                <w:highlight w:val="none"/>
              </w:rPr>
            </w:pP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1、</w:t>
            </w:r>
          </w:p>
        </w:tc>
        <w:tc>
          <w:tcPr>
            <w:tcW w:w="3304" w:type="dxa"/>
            <w:vAlign w:val="top"/>
          </w:tcPr>
          <w:p>
            <w:pPr>
              <w:pStyle w:val="56"/>
              <w:keepNext w:val="0"/>
              <w:keepLines w:val="0"/>
              <w:pageBreakBefore w:val="0"/>
              <w:wordWrap/>
              <w:overflowPunct/>
              <w:topLinePunct w:val="0"/>
              <w:bidi w:val="0"/>
              <w:adjustRightInd/>
              <w:snapToGrid w:val="0"/>
              <w:spacing w:line="240" w:lineRule="auto"/>
              <w:ind w:left="0" w:leftChars="0" w:firstLine="0" w:firstLineChars="0"/>
              <w:jc w:val="center"/>
              <w:rPr>
                <w:rFonts w:hint="eastAsia"/>
                <w:color w:val="auto"/>
                <w:spacing w:val="-4"/>
                <w:highlight w:val="none"/>
                <w:lang w:eastAsia="zh-CN"/>
              </w:rPr>
            </w:pPr>
            <w:r>
              <w:rPr>
                <w:rFonts w:hint="eastAsia"/>
                <w:color w:val="auto"/>
                <w:spacing w:val="-4"/>
                <w:highlight w:val="none"/>
                <w:lang w:eastAsia="zh-CN"/>
              </w:rPr>
              <w:t>永久征地</w:t>
            </w:r>
          </w:p>
        </w:tc>
        <w:tc>
          <w:tcPr>
            <w:tcW w:w="1050" w:type="dxa"/>
            <w:vAlign w:val="center"/>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亩</w:t>
            </w:r>
          </w:p>
        </w:tc>
        <w:tc>
          <w:tcPr>
            <w:tcW w:w="1966" w:type="dxa"/>
            <w:vAlign w:val="center"/>
          </w:tcPr>
          <w:p>
            <w:pPr>
              <w:keepNext w:val="0"/>
              <w:keepLines w:val="0"/>
              <w:pageBreakBefore w:val="0"/>
              <w:wordWrap/>
              <w:overflowPunct/>
              <w:topLinePunct w:val="0"/>
              <w:bidi w:val="0"/>
              <w:adjustRightInd/>
              <w:snapToGrid w:val="0"/>
              <w:spacing w:line="240" w:lineRule="auto"/>
              <w:ind w:left="0" w:leftChars="0" w:firstLine="0" w:firstLineChars="0"/>
              <w:jc w:val="center"/>
              <w:rPr>
                <w:rFonts w:ascii="Times New Roman" w:hAnsi="Times New Roman" w:eastAsia="Times New Roman" w:cs="Times New Roman"/>
                <w:color w:val="auto"/>
                <w:spacing w:val="-2"/>
                <w:sz w:val="21"/>
                <w:szCs w:val="21"/>
                <w:highlight w:val="none"/>
              </w:rPr>
            </w:pPr>
            <w:r>
              <w:rPr>
                <w:rFonts w:hint="eastAsia" w:ascii="Times New Roman" w:hAnsi="Times New Roman" w:eastAsia="Times New Roman" w:cs="Times New Roman"/>
                <w:color w:val="auto"/>
                <w:spacing w:val="-2"/>
                <w:sz w:val="21"/>
                <w:szCs w:val="21"/>
                <w:highlight w:val="none"/>
              </w:rPr>
              <w:t>36.93</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2、</w:t>
            </w:r>
          </w:p>
        </w:tc>
        <w:tc>
          <w:tcPr>
            <w:tcW w:w="3304" w:type="dxa"/>
            <w:vAlign w:val="top"/>
          </w:tcPr>
          <w:p>
            <w:pPr>
              <w:pStyle w:val="56"/>
              <w:keepNext w:val="0"/>
              <w:keepLines w:val="0"/>
              <w:pageBreakBefore w:val="0"/>
              <w:wordWrap/>
              <w:overflowPunct/>
              <w:topLinePunct w:val="0"/>
              <w:bidi w:val="0"/>
              <w:adjustRightInd/>
              <w:snapToGrid w:val="0"/>
              <w:spacing w:line="240" w:lineRule="auto"/>
              <w:ind w:left="0" w:leftChars="0" w:firstLine="0" w:firstLineChars="0"/>
              <w:jc w:val="center"/>
              <w:rPr>
                <w:rFonts w:hint="eastAsia"/>
                <w:color w:val="auto"/>
                <w:spacing w:val="-4"/>
                <w:highlight w:val="none"/>
                <w:lang w:eastAsia="zh-CN"/>
              </w:rPr>
            </w:pPr>
            <w:r>
              <w:rPr>
                <w:rFonts w:hint="eastAsia"/>
                <w:color w:val="auto"/>
                <w:spacing w:val="-4"/>
                <w:highlight w:val="none"/>
                <w:lang w:eastAsia="zh-CN"/>
              </w:rPr>
              <w:t>临时占地</w:t>
            </w:r>
          </w:p>
        </w:tc>
        <w:tc>
          <w:tcPr>
            <w:tcW w:w="1050" w:type="dxa"/>
            <w:vAlign w:val="center"/>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r>
              <w:rPr>
                <w:rFonts w:hint="eastAsia"/>
                <w:color w:val="auto"/>
                <w:highlight w:val="none"/>
                <w:lang w:val="en-US" w:eastAsia="zh-CN"/>
              </w:rPr>
              <w:t>亩</w:t>
            </w:r>
          </w:p>
        </w:tc>
        <w:tc>
          <w:tcPr>
            <w:tcW w:w="1966" w:type="dxa"/>
            <w:vAlign w:val="center"/>
          </w:tcPr>
          <w:p>
            <w:pPr>
              <w:keepNext w:val="0"/>
              <w:keepLines w:val="0"/>
              <w:pageBreakBefore w:val="0"/>
              <w:wordWrap/>
              <w:overflowPunct/>
              <w:topLinePunct w:val="0"/>
              <w:bidi w:val="0"/>
              <w:adjustRightInd/>
              <w:snapToGrid w:val="0"/>
              <w:spacing w:line="240" w:lineRule="auto"/>
              <w:ind w:left="0" w:leftChars="0" w:firstLine="0" w:firstLineChars="0"/>
              <w:jc w:val="center"/>
              <w:rPr>
                <w:rFonts w:ascii="Times New Roman" w:hAnsi="Times New Roman" w:eastAsia="Times New Roman" w:cs="Times New Roman"/>
                <w:color w:val="auto"/>
                <w:spacing w:val="-2"/>
                <w:sz w:val="21"/>
                <w:szCs w:val="21"/>
                <w:highlight w:val="none"/>
              </w:rPr>
            </w:pPr>
            <w:r>
              <w:rPr>
                <w:rFonts w:hint="eastAsia" w:ascii="Times New Roman" w:hAnsi="Times New Roman" w:eastAsia="Times New Roman" w:cs="Times New Roman"/>
                <w:color w:val="auto"/>
                <w:spacing w:val="-2"/>
                <w:sz w:val="21"/>
                <w:szCs w:val="21"/>
                <w:highlight w:val="none"/>
              </w:rPr>
              <w:t>709.47</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eastAsia"/>
                <w:b/>
                <w:bCs/>
                <w:color w:val="auto"/>
                <w:highlight w:val="none"/>
                <w:lang w:val="en-US" w:eastAsia="zh-CN"/>
              </w:rPr>
            </w:pPr>
            <w:r>
              <w:rPr>
                <w:rFonts w:hint="eastAsia"/>
                <w:b/>
                <w:bCs/>
                <w:color w:val="auto"/>
                <w:highlight w:val="none"/>
                <w:lang w:val="en-US" w:eastAsia="zh-CN"/>
              </w:rPr>
              <w:t>三、</w:t>
            </w:r>
          </w:p>
        </w:tc>
        <w:tc>
          <w:tcPr>
            <w:tcW w:w="3304" w:type="dxa"/>
            <w:vAlign w:val="top"/>
          </w:tcPr>
          <w:p>
            <w:pPr>
              <w:pStyle w:val="56"/>
              <w:keepNext w:val="0"/>
              <w:keepLines w:val="0"/>
              <w:pageBreakBefore w:val="0"/>
              <w:wordWrap/>
              <w:overflowPunct/>
              <w:topLinePunct w:val="0"/>
              <w:bidi w:val="0"/>
              <w:adjustRightInd/>
              <w:snapToGrid w:val="0"/>
              <w:spacing w:line="240" w:lineRule="auto"/>
              <w:ind w:left="0" w:leftChars="0" w:firstLine="0" w:firstLineChars="0"/>
              <w:jc w:val="center"/>
              <w:rPr>
                <w:rFonts w:hint="eastAsia"/>
                <w:b/>
                <w:bCs/>
                <w:color w:val="auto"/>
                <w:spacing w:val="-4"/>
                <w:highlight w:val="none"/>
                <w:lang w:eastAsia="zh-CN"/>
              </w:rPr>
            </w:pPr>
            <w:r>
              <w:rPr>
                <w:rFonts w:hint="eastAsia"/>
                <w:b/>
                <w:bCs/>
                <w:color w:val="auto"/>
                <w:spacing w:val="-4"/>
                <w:highlight w:val="none"/>
                <w:lang w:eastAsia="zh-CN"/>
              </w:rPr>
              <w:t>主要建筑物及设备</w:t>
            </w:r>
          </w:p>
        </w:tc>
        <w:tc>
          <w:tcPr>
            <w:tcW w:w="1050" w:type="dxa"/>
            <w:vAlign w:val="top"/>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c>
          <w:tcPr>
            <w:tcW w:w="1966" w:type="dxa"/>
            <w:vAlign w:val="top"/>
          </w:tcPr>
          <w:p>
            <w:pPr>
              <w:keepNext w:val="0"/>
              <w:keepLines w:val="0"/>
              <w:pageBreakBefore w:val="0"/>
              <w:wordWrap/>
              <w:overflowPunct/>
              <w:topLinePunct w:val="0"/>
              <w:bidi w:val="0"/>
              <w:adjustRightInd/>
              <w:snapToGrid w:val="0"/>
              <w:spacing w:line="240" w:lineRule="auto"/>
              <w:ind w:left="0" w:leftChars="0" w:firstLine="0" w:firstLineChars="0"/>
              <w:jc w:val="center"/>
              <w:rPr>
                <w:rFonts w:ascii="Times New Roman" w:hAnsi="Times New Roman" w:eastAsia="Times New Roman" w:cs="Times New Roman"/>
                <w:color w:val="auto"/>
                <w:spacing w:val="-2"/>
                <w:sz w:val="21"/>
                <w:szCs w:val="21"/>
                <w:highlight w:val="none"/>
              </w:rPr>
            </w:pP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r>
              <w:rPr>
                <w:rFonts w:hint="eastAsia"/>
                <w:color w:val="auto"/>
                <w:highlight w:val="none"/>
                <w:lang w:val="en-US" w:eastAsia="zh-CN"/>
              </w:rPr>
              <w:t>1、</w:t>
            </w:r>
          </w:p>
        </w:tc>
        <w:tc>
          <w:tcPr>
            <w:tcW w:w="3304" w:type="dxa"/>
            <w:vAlign w:val="top"/>
          </w:tcPr>
          <w:p>
            <w:pPr>
              <w:pStyle w:val="56"/>
              <w:keepNext w:val="0"/>
              <w:keepLines w:val="0"/>
              <w:pageBreakBefore w:val="0"/>
              <w:wordWrap/>
              <w:overflowPunct/>
              <w:topLinePunct w:val="0"/>
              <w:bidi w:val="0"/>
              <w:adjustRightInd/>
              <w:snapToGrid w:val="0"/>
              <w:spacing w:line="240" w:lineRule="auto"/>
              <w:ind w:left="0" w:leftChars="0" w:firstLine="0" w:firstLineChars="0"/>
              <w:jc w:val="center"/>
              <w:rPr>
                <w:rFonts w:hint="eastAsia"/>
                <w:color w:val="auto"/>
                <w:spacing w:val="-4"/>
                <w:highlight w:val="none"/>
                <w:lang w:eastAsia="zh-CN"/>
              </w:rPr>
            </w:pPr>
            <w:r>
              <w:rPr>
                <w:rFonts w:hint="eastAsia"/>
                <w:color w:val="auto"/>
                <w:spacing w:val="-4"/>
                <w:highlight w:val="none"/>
                <w:lang w:eastAsia="zh-CN"/>
              </w:rPr>
              <w:t>输水管道</w:t>
            </w:r>
          </w:p>
        </w:tc>
        <w:tc>
          <w:tcPr>
            <w:tcW w:w="1050" w:type="dxa"/>
            <w:vAlign w:val="top"/>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c>
          <w:tcPr>
            <w:tcW w:w="1966" w:type="dxa"/>
            <w:vAlign w:val="top"/>
          </w:tcPr>
          <w:p>
            <w:pPr>
              <w:keepNext w:val="0"/>
              <w:keepLines w:val="0"/>
              <w:pageBreakBefore w:val="0"/>
              <w:wordWrap/>
              <w:overflowPunct/>
              <w:topLinePunct w:val="0"/>
              <w:bidi w:val="0"/>
              <w:adjustRightInd/>
              <w:snapToGrid w:val="0"/>
              <w:spacing w:line="240" w:lineRule="auto"/>
              <w:ind w:left="0" w:leftChars="0" w:firstLine="0" w:firstLineChars="0"/>
              <w:jc w:val="center"/>
              <w:rPr>
                <w:rFonts w:ascii="Times New Roman" w:hAnsi="Times New Roman" w:eastAsia="Times New Roman" w:cs="Times New Roman"/>
                <w:color w:val="auto"/>
                <w:spacing w:val="-2"/>
                <w:sz w:val="21"/>
                <w:szCs w:val="21"/>
                <w:highlight w:val="none"/>
              </w:rPr>
            </w:pP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top"/>
          </w:tcPr>
          <w:p>
            <w:pPr>
              <w:pStyle w:val="56"/>
              <w:keepNext w:val="0"/>
              <w:keepLines w:val="0"/>
              <w:pageBreakBefore w:val="0"/>
              <w:wordWrap/>
              <w:overflowPunct/>
              <w:topLinePunct w:val="0"/>
              <w:bidi w:val="0"/>
              <w:adjustRightInd/>
              <w:snapToGrid w:val="0"/>
              <w:spacing w:line="240" w:lineRule="auto"/>
              <w:ind w:left="0" w:firstLine="0" w:firstLineChars="0"/>
              <w:jc w:val="center"/>
              <w:rPr>
                <w:rFonts w:hint="eastAsia"/>
                <w:color w:val="auto"/>
                <w:spacing w:val="-4"/>
                <w:highlight w:val="none"/>
                <w:lang w:eastAsia="zh-CN"/>
              </w:rPr>
            </w:pPr>
            <w:r>
              <w:rPr>
                <w:rFonts w:hint="eastAsia"/>
                <w:color w:val="auto"/>
                <w:spacing w:val="-4"/>
                <w:highlight w:val="none"/>
                <w:lang w:eastAsia="zh-CN"/>
              </w:rPr>
              <w:t>北干管长度</w:t>
            </w:r>
          </w:p>
        </w:tc>
        <w:tc>
          <w:tcPr>
            <w:tcW w:w="1050"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hint="default"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sz w:val="21"/>
                <w:szCs w:val="21"/>
                <w:highlight w:val="none"/>
              </w:rPr>
              <w:t>km</w:t>
            </w:r>
          </w:p>
        </w:tc>
        <w:tc>
          <w:tcPr>
            <w:tcW w:w="1966"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5"/>
                <w:sz w:val="21"/>
                <w:szCs w:val="21"/>
                <w:highlight w:val="none"/>
              </w:rPr>
              <w:t>10.158</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top"/>
          </w:tcPr>
          <w:p>
            <w:pPr>
              <w:pStyle w:val="56"/>
              <w:keepNext w:val="0"/>
              <w:keepLines w:val="0"/>
              <w:pageBreakBefore w:val="0"/>
              <w:wordWrap/>
              <w:overflowPunct/>
              <w:topLinePunct w:val="0"/>
              <w:bidi w:val="0"/>
              <w:adjustRightInd/>
              <w:snapToGrid w:val="0"/>
              <w:spacing w:line="240" w:lineRule="auto"/>
              <w:ind w:left="0" w:firstLine="0" w:firstLineChars="0"/>
              <w:jc w:val="center"/>
              <w:rPr>
                <w:rFonts w:hint="eastAsia"/>
                <w:color w:val="auto"/>
                <w:spacing w:val="-4"/>
                <w:highlight w:val="none"/>
                <w:lang w:eastAsia="zh-CN"/>
              </w:rPr>
            </w:pPr>
            <w:r>
              <w:rPr>
                <w:rFonts w:hint="eastAsia"/>
                <w:color w:val="auto"/>
                <w:spacing w:val="-4"/>
                <w:highlight w:val="none"/>
                <w:lang w:eastAsia="zh-CN"/>
              </w:rPr>
              <w:t>金马输水分干管长度</w:t>
            </w:r>
          </w:p>
        </w:tc>
        <w:tc>
          <w:tcPr>
            <w:tcW w:w="1050"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hint="default"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sz w:val="21"/>
                <w:szCs w:val="21"/>
                <w:highlight w:val="none"/>
              </w:rPr>
              <w:t>km</w:t>
            </w:r>
          </w:p>
        </w:tc>
        <w:tc>
          <w:tcPr>
            <w:tcW w:w="1966"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5"/>
                <w:sz w:val="21"/>
                <w:szCs w:val="21"/>
                <w:highlight w:val="none"/>
              </w:rPr>
              <w:t>13.24</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top"/>
          </w:tcPr>
          <w:p>
            <w:pPr>
              <w:pStyle w:val="56"/>
              <w:keepNext w:val="0"/>
              <w:keepLines w:val="0"/>
              <w:pageBreakBefore w:val="0"/>
              <w:wordWrap/>
              <w:overflowPunct/>
              <w:topLinePunct w:val="0"/>
              <w:bidi w:val="0"/>
              <w:adjustRightInd/>
              <w:snapToGrid w:val="0"/>
              <w:spacing w:line="240" w:lineRule="auto"/>
              <w:ind w:left="0" w:firstLine="0" w:firstLineChars="0"/>
              <w:jc w:val="center"/>
              <w:rPr>
                <w:rFonts w:hint="eastAsia" w:ascii="宋体" w:hAnsi="宋体" w:eastAsia="宋体" w:cs="宋体"/>
                <w:color w:val="auto"/>
                <w:kern w:val="2"/>
                <w:sz w:val="21"/>
                <w:szCs w:val="21"/>
                <w:highlight w:val="none"/>
                <w:lang w:val="en-US" w:eastAsia="zh-CN" w:bidi="ar-SA"/>
              </w:rPr>
            </w:pPr>
            <w:r>
              <w:rPr>
                <w:color w:val="auto"/>
                <w:spacing w:val="-5"/>
                <w:highlight w:val="none"/>
              </w:rPr>
              <w:t>金马输水</w:t>
            </w:r>
            <w:r>
              <w:rPr>
                <w:color w:val="auto"/>
                <w:spacing w:val="-23"/>
                <w:highlight w:val="none"/>
              </w:rPr>
              <w:t xml:space="preserve"> </w:t>
            </w:r>
            <w:r>
              <w:rPr>
                <w:rFonts w:ascii="Times New Roman" w:hAnsi="Times New Roman" w:eastAsia="Times New Roman" w:cs="Times New Roman"/>
                <w:color w:val="auto"/>
                <w:spacing w:val="-5"/>
                <w:highlight w:val="none"/>
              </w:rPr>
              <w:t>1#</w:t>
            </w:r>
            <w:r>
              <w:rPr>
                <w:color w:val="auto"/>
                <w:spacing w:val="-5"/>
                <w:highlight w:val="none"/>
              </w:rPr>
              <w:t>支管</w:t>
            </w:r>
            <w:r>
              <w:rPr>
                <w:rFonts w:hint="eastAsia"/>
                <w:color w:val="auto"/>
                <w:spacing w:val="-4"/>
                <w:highlight w:val="none"/>
                <w:lang w:eastAsia="zh-CN"/>
              </w:rPr>
              <w:t>长度</w:t>
            </w:r>
          </w:p>
        </w:tc>
        <w:tc>
          <w:tcPr>
            <w:tcW w:w="1050"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hint="default"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sz w:val="21"/>
                <w:szCs w:val="21"/>
                <w:highlight w:val="none"/>
              </w:rPr>
              <w:t>km</w:t>
            </w:r>
          </w:p>
        </w:tc>
        <w:tc>
          <w:tcPr>
            <w:tcW w:w="1966"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5"/>
                <w:sz w:val="21"/>
                <w:szCs w:val="21"/>
                <w:highlight w:val="none"/>
              </w:rPr>
              <w:t>1.186</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top"/>
          </w:tcPr>
          <w:p>
            <w:pPr>
              <w:pStyle w:val="56"/>
              <w:keepNext w:val="0"/>
              <w:keepLines w:val="0"/>
              <w:pageBreakBefore w:val="0"/>
              <w:wordWrap/>
              <w:overflowPunct/>
              <w:topLinePunct w:val="0"/>
              <w:bidi w:val="0"/>
              <w:adjustRightInd/>
              <w:snapToGrid w:val="0"/>
              <w:spacing w:line="240" w:lineRule="auto"/>
              <w:ind w:left="0" w:firstLine="0" w:firstLineChars="0"/>
              <w:jc w:val="center"/>
              <w:rPr>
                <w:rFonts w:hint="eastAsia" w:ascii="宋体" w:hAnsi="宋体" w:eastAsia="宋体" w:cs="宋体"/>
                <w:color w:val="auto"/>
                <w:kern w:val="2"/>
                <w:sz w:val="21"/>
                <w:szCs w:val="21"/>
                <w:highlight w:val="none"/>
                <w:lang w:val="en-US" w:eastAsia="zh-CN" w:bidi="ar-SA"/>
              </w:rPr>
            </w:pPr>
            <w:r>
              <w:rPr>
                <w:color w:val="auto"/>
                <w:spacing w:val="-2"/>
                <w:highlight w:val="none"/>
              </w:rPr>
              <w:t>金马输水</w:t>
            </w:r>
            <w:r>
              <w:rPr>
                <w:color w:val="auto"/>
                <w:spacing w:val="-47"/>
                <w:highlight w:val="none"/>
              </w:rPr>
              <w:t xml:space="preserve"> </w:t>
            </w:r>
            <w:r>
              <w:rPr>
                <w:rFonts w:ascii="Times New Roman" w:hAnsi="Times New Roman" w:eastAsia="Times New Roman" w:cs="Times New Roman"/>
                <w:color w:val="auto"/>
                <w:spacing w:val="-2"/>
                <w:highlight w:val="none"/>
              </w:rPr>
              <w:t>2#</w:t>
            </w:r>
            <w:r>
              <w:rPr>
                <w:color w:val="auto"/>
                <w:spacing w:val="-2"/>
                <w:highlight w:val="none"/>
              </w:rPr>
              <w:t>支管</w:t>
            </w:r>
            <w:r>
              <w:rPr>
                <w:rFonts w:hint="eastAsia"/>
                <w:color w:val="auto"/>
                <w:spacing w:val="-4"/>
                <w:highlight w:val="none"/>
                <w:lang w:eastAsia="zh-CN"/>
              </w:rPr>
              <w:t>长度</w:t>
            </w:r>
          </w:p>
        </w:tc>
        <w:tc>
          <w:tcPr>
            <w:tcW w:w="1050"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hint="default"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sz w:val="21"/>
                <w:szCs w:val="21"/>
                <w:highlight w:val="none"/>
              </w:rPr>
              <w:t>km</w:t>
            </w:r>
          </w:p>
        </w:tc>
        <w:tc>
          <w:tcPr>
            <w:tcW w:w="1966"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5"/>
                <w:sz w:val="21"/>
                <w:szCs w:val="21"/>
                <w:highlight w:val="none"/>
              </w:rPr>
              <w:t>1.968</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top"/>
          </w:tcPr>
          <w:p>
            <w:pPr>
              <w:pStyle w:val="56"/>
              <w:keepNext w:val="0"/>
              <w:keepLines w:val="0"/>
              <w:pageBreakBefore w:val="0"/>
              <w:wordWrap/>
              <w:overflowPunct/>
              <w:topLinePunct w:val="0"/>
              <w:bidi w:val="0"/>
              <w:adjustRightInd/>
              <w:snapToGrid w:val="0"/>
              <w:spacing w:line="240" w:lineRule="auto"/>
              <w:ind w:left="0" w:firstLine="0" w:firstLineChars="0"/>
              <w:jc w:val="center"/>
              <w:rPr>
                <w:rFonts w:hint="eastAsia" w:ascii="宋体" w:hAnsi="宋体" w:eastAsia="宋体" w:cs="宋体"/>
                <w:color w:val="auto"/>
                <w:kern w:val="2"/>
                <w:sz w:val="21"/>
                <w:szCs w:val="21"/>
                <w:highlight w:val="none"/>
                <w:lang w:val="en-US" w:eastAsia="zh-CN" w:bidi="ar-SA"/>
              </w:rPr>
            </w:pPr>
            <w:r>
              <w:rPr>
                <w:color w:val="auto"/>
                <w:spacing w:val="-3"/>
                <w:highlight w:val="none"/>
              </w:rPr>
              <w:t>金马输水</w:t>
            </w:r>
            <w:r>
              <w:rPr>
                <w:color w:val="auto"/>
                <w:spacing w:val="-39"/>
                <w:highlight w:val="none"/>
              </w:rPr>
              <w:t xml:space="preserve"> </w:t>
            </w:r>
            <w:r>
              <w:rPr>
                <w:rFonts w:ascii="Times New Roman" w:hAnsi="Times New Roman" w:eastAsia="Times New Roman" w:cs="Times New Roman"/>
                <w:color w:val="auto"/>
                <w:spacing w:val="-3"/>
                <w:highlight w:val="none"/>
              </w:rPr>
              <w:t>3#</w:t>
            </w:r>
            <w:r>
              <w:rPr>
                <w:color w:val="auto"/>
                <w:spacing w:val="-3"/>
                <w:highlight w:val="none"/>
              </w:rPr>
              <w:t>支管</w:t>
            </w:r>
            <w:r>
              <w:rPr>
                <w:rFonts w:hint="eastAsia"/>
                <w:color w:val="auto"/>
                <w:spacing w:val="-4"/>
                <w:highlight w:val="none"/>
                <w:lang w:eastAsia="zh-CN"/>
              </w:rPr>
              <w:t>长度</w:t>
            </w:r>
          </w:p>
        </w:tc>
        <w:tc>
          <w:tcPr>
            <w:tcW w:w="1050"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hint="default"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sz w:val="21"/>
                <w:szCs w:val="21"/>
                <w:highlight w:val="none"/>
              </w:rPr>
              <w:t>km</w:t>
            </w:r>
          </w:p>
        </w:tc>
        <w:tc>
          <w:tcPr>
            <w:tcW w:w="1966"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5"/>
                <w:sz w:val="21"/>
                <w:szCs w:val="21"/>
                <w:highlight w:val="none"/>
              </w:rPr>
              <w:t>1.457</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top"/>
          </w:tcPr>
          <w:p>
            <w:pPr>
              <w:pStyle w:val="56"/>
              <w:keepNext w:val="0"/>
              <w:keepLines w:val="0"/>
              <w:pageBreakBefore w:val="0"/>
              <w:wordWrap/>
              <w:overflowPunct/>
              <w:topLinePunct w:val="0"/>
              <w:bidi w:val="0"/>
              <w:adjustRightInd/>
              <w:snapToGrid w:val="0"/>
              <w:spacing w:line="240" w:lineRule="auto"/>
              <w:ind w:left="0" w:firstLine="0" w:firstLineChars="0"/>
              <w:jc w:val="center"/>
              <w:rPr>
                <w:rFonts w:hint="eastAsia" w:ascii="宋体" w:hAnsi="宋体" w:eastAsia="宋体" w:cs="宋体"/>
                <w:color w:val="auto"/>
                <w:kern w:val="2"/>
                <w:sz w:val="21"/>
                <w:szCs w:val="21"/>
                <w:highlight w:val="none"/>
                <w:lang w:val="en-US" w:eastAsia="zh-CN" w:bidi="ar-SA"/>
              </w:rPr>
            </w:pPr>
            <w:r>
              <w:rPr>
                <w:color w:val="auto"/>
                <w:spacing w:val="-2"/>
                <w:highlight w:val="none"/>
              </w:rPr>
              <w:t>金马输水</w:t>
            </w:r>
            <w:r>
              <w:rPr>
                <w:color w:val="auto"/>
                <w:spacing w:val="-47"/>
                <w:highlight w:val="none"/>
              </w:rPr>
              <w:t xml:space="preserve"> </w:t>
            </w:r>
            <w:r>
              <w:rPr>
                <w:rFonts w:ascii="Times New Roman" w:hAnsi="Times New Roman" w:eastAsia="Times New Roman" w:cs="Times New Roman"/>
                <w:color w:val="auto"/>
                <w:spacing w:val="-2"/>
                <w:highlight w:val="none"/>
              </w:rPr>
              <w:t>4#</w:t>
            </w:r>
            <w:r>
              <w:rPr>
                <w:color w:val="auto"/>
                <w:spacing w:val="-2"/>
                <w:highlight w:val="none"/>
              </w:rPr>
              <w:t>支管</w:t>
            </w:r>
            <w:r>
              <w:rPr>
                <w:rFonts w:hint="eastAsia"/>
                <w:color w:val="auto"/>
                <w:spacing w:val="-4"/>
                <w:highlight w:val="none"/>
                <w:lang w:eastAsia="zh-CN"/>
              </w:rPr>
              <w:t>长度</w:t>
            </w:r>
          </w:p>
        </w:tc>
        <w:tc>
          <w:tcPr>
            <w:tcW w:w="1050"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hint="default"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sz w:val="21"/>
                <w:szCs w:val="21"/>
                <w:highlight w:val="none"/>
              </w:rPr>
              <w:t>km</w:t>
            </w:r>
          </w:p>
        </w:tc>
        <w:tc>
          <w:tcPr>
            <w:tcW w:w="1966"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2"/>
                <w:sz w:val="21"/>
                <w:szCs w:val="21"/>
                <w:highlight w:val="none"/>
              </w:rPr>
              <w:t>0.567</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top"/>
          </w:tcPr>
          <w:p>
            <w:pPr>
              <w:pStyle w:val="56"/>
              <w:keepNext w:val="0"/>
              <w:keepLines w:val="0"/>
              <w:pageBreakBefore w:val="0"/>
              <w:wordWrap/>
              <w:overflowPunct/>
              <w:topLinePunct w:val="0"/>
              <w:bidi w:val="0"/>
              <w:adjustRightInd/>
              <w:snapToGrid w:val="0"/>
              <w:spacing w:line="240" w:lineRule="auto"/>
              <w:ind w:left="0" w:firstLine="0" w:firstLineChars="0"/>
              <w:jc w:val="center"/>
              <w:rPr>
                <w:rFonts w:hint="eastAsia" w:ascii="宋体" w:hAnsi="宋体" w:eastAsia="宋体" w:cs="宋体"/>
                <w:color w:val="auto"/>
                <w:kern w:val="2"/>
                <w:sz w:val="21"/>
                <w:szCs w:val="21"/>
                <w:highlight w:val="none"/>
                <w:lang w:val="en-US" w:eastAsia="zh-CN" w:bidi="ar-SA"/>
              </w:rPr>
            </w:pPr>
            <w:r>
              <w:rPr>
                <w:color w:val="auto"/>
                <w:spacing w:val="-3"/>
                <w:highlight w:val="none"/>
              </w:rPr>
              <w:t>北干管</w:t>
            </w:r>
            <w:r>
              <w:rPr>
                <w:rFonts w:hint="eastAsia"/>
                <w:color w:val="auto"/>
                <w:spacing w:val="-3"/>
                <w:highlight w:val="none"/>
                <w:lang w:eastAsia="zh-CN"/>
              </w:rPr>
              <w:t>断面尺寸</w:t>
            </w:r>
          </w:p>
        </w:tc>
        <w:tc>
          <w:tcPr>
            <w:tcW w:w="1050"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position w:val="-1"/>
                <w:sz w:val="21"/>
                <w:szCs w:val="21"/>
                <w:highlight w:val="none"/>
              </w:rPr>
              <w:t>mm</w:t>
            </w:r>
          </w:p>
        </w:tc>
        <w:tc>
          <w:tcPr>
            <w:tcW w:w="1966"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spacing w:val="-2"/>
                <w:sz w:val="21"/>
                <w:szCs w:val="21"/>
                <w:highlight w:val="none"/>
              </w:rPr>
            </w:pPr>
            <w:r>
              <w:rPr>
                <w:rFonts w:hint="eastAsia" w:ascii="Times New Roman" w:hAnsi="Times New Roman" w:eastAsia="Times New Roman" w:cs="Times New Roman"/>
                <w:color w:val="auto"/>
                <w:spacing w:val="-2"/>
                <w:sz w:val="21"/>
                <w:szCs w:val="21"/>
                <w:highlight w:val="none"/>
              </w:rPr>
              <w:t>DN800、DN700</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top"/>
          </w:tcPr>
          <w:p>
            <w:pPr>
              <w:pStyle w:val="56"/>
              <w:keepNext w:val="0"/>
              <w:keepLines w:val="0"/>
              <w:pageBreakBefore w:val="0"/>
              <w:wordWrap/>
              <w:overflowPunct/>
              <w:topLinePunct w:val="0"/>
              <w:bidi w:val="0"/>
              <w:adjustRightInd/>
              <w:snapToGrid w:val="0"/>
              <w:spacing w:line="240" w:lineRule="auto"/>
              <w:ind w:left="0" w:firstLine="0" w:firstLineChars="0"/>
              <w:jc w:val="center"/>
              <w:rPr>
                <w:rFonts w:ascii="宋体" w:hAnsi="宋体" w:eastAsia="宋体" w:cs="宋体"/>
                <w:color w:val="auto"/>
                <w:kern w:val="2"/>
                <w:sz w:val="21"/>
                <w:szCs w:val="21"/>
                <w:highlight w:val="none"/>
                <w:lang w:val="en-US" w:eastAsia="en-US" w:bidi="ar-SA"/>
              </w:rPr>
            </w:pPr>
            <w:r>
              <w:rPr>
                <w:color w:val="auto"/>
                <w:spacing w:val="-2"/>
                <w:highlight w:val="none"/>
              </w:rPr>
              <w:t>金马输水分干管</w:t>
            </w:r>
            <w:r>
              <w:rPr>
                <w:rFonts w:hint="eastAsia"/>
                <w:color w:val="auto"/>
                <w:spacing w:val="-3"/>
                <w:highlight w:val="none"/>
                <w:lang w:eastAsia="zh-CN"/>
              </w:rPr>
              <w:t>断面尺寸</w:t>
            </w:r>
          </w:p>
        </w:tc>
        <w:tc>
          <w:tcPr>
            <w:tcW w:w="1050"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position w:val="-1"/>
                <w:sz w:val="21"/>
                <w:szCs w:val="21"/>
                <w:highlight w:val="none"/>
              </w:rPr>
              <w:t>mm</w:t>
            </w:r>
          </w:p>
        </w:tc>
        <w:tc>
          <w:tcPr>
            <w:tcW w:w="1966"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spacing w:val="-2"/>
                <w:sz w:val="21"/>
                <w:szCs w:val="21"/>
                <w:highlight w:val="none"/>
              </w:rPr>
            </w:pPr>
            <w:r>
              <w:rPr>
                <w:rFonts w:hint="eastAsia" w:ascii="Times New Roman" w:hAnsi="Times New Roman" w:eastAsia="Times New Roman" w:cs="Times New Roman"/>
                <w:color w:val="auto"/>
                <w:spacing w:val="-2"/>
                <w:sz w:val="21"/>
                <w:szCs w:val="21"/>
                <w:highlight w:val="none"/>
              </w:rPr>
              <w:t>DN400～DN200</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top"/>
          </w:tcPr>
          <w:p>
            <w:pPr>
              <w:pStyle w:val="56"/>
              <w:keepNext w:val="0"/>
              <w:keepLines w:val="0"/>
              <w:pageBreakBefore w:val="0"/>
              <w:wordWrap/>
              <w:overflowPunct/>
              <w:topLinePunct w:val="0"/>
              <w:bidi w:val="0"/>
              <w:adjustRightInd/>
              <w:snapToGrid w:val="0"/>
              <w:spacing w:line="240" w:lineRule="auto"/>
              <w:ind w:left="0" w:firstLine="0" w:firstLineChars="0"/>
              <w:jc w:val="center"/>
              <w:rPr>
                <w:rFonts w:ascii="宋体" w:hAnsi="宋体" w:eastAsia="宋体" w:cs="宋体"/>
                <w:color w:val="auto"/>
                <w:kern w:val="2"/>
                <w:sz w:val="21"/>
                <w:szCs w:val="21"/>
                <w:highlight w:val="none"/>
                <w:lang w:val="en-US" w:eastAsia="en-US" w:bidi="ar-SA"/>
              </w:rPr>
            </w:pPr>
            <w:r>
              <w:rPr>
                <w:color w:val="auto"/>
                <w:spacing w:val="-5"/>
                <w:highlight w:val="none"/>
              </w:rPr>
              <w:t>金马输水</w:t>
            </w:r>
            <w:r>
              <w:rPr>
                <w:rFonts w:ascii="Times New Roman" w:hAnsi="Times New Roman" w:eastAsia="Times New Roman" w:cs="Times New Roman"/>
                <w:color w:val="auto"/>
                <w:spacing w:val="-5"/>
                <w:highlight w:val="none"/>
              </w:rPr>
              <w:t>1#</w:t>
            </w:r>
            <w:r>
              <w:rPr>
                <w:color w:val="auto"/>
                <w:spacing w:val="-5"/>
                <w:highlight w:val="none"/>
              </w:rPr>
              <w:t>支管</w:t>
            </w:r>
            <w:r>
              <w:rPr>
                <w:rFonts w:hint="eastAsia"/>
                <w:color w:val="auto"/>
                <w:spacing w:val="-3"/>
                <w:highlight w:val="none"/>
                <w:lang w:eastAsia="zh-CN"/>
              </w:rPr>
              <w:t>断面尺寸</w:t>
            </w:r>
          </w:p>
        </w:tc>
        <w:tc>
          <w:tcPr>
            <w:tcW w:w="1050"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position w:val="-1"/>
                <w:sz w:val="21"/>
                <w:szCs w:val="21"/>
                <w:highlight w:val="none"/>
              </w:rPr>
              <w:t>mm</w:t>
            </w:r>
          </w:p>
        </w:tc>
        <w:tc>
          <w:tcPr>
            <w:tcW w:w="1966"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spacing w:val="-2"/>
                <w:sz w:val="21"/>
                <w:szCs w:val="21"/>
                <w:highlight w:val="none"/>
              </w:rPr>
            </w:pPr>
            <w:r>
              <w:rPr>
                <w:rFonts w:hint="eastAsia" w:ascii="Times New Roman" w:hAnsi="Times New Roman" w:eastAsia="Times New Roman" w:cs="Times New Roman"/>
                <w:color w:val="auto"/>
                <w:spacing w:val="-2"/>
                <w:sz w:val="21"/>
                <w:szCs w:val="21"/>
                <w:highlight w:val="none"/>
              </w:rPr>
              <w:t>DN200</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top"/>
          </w:tcPr>
          <w:p>
            <w:pPr>
              <w:pStyle w:val="56"/>
              <w:keepNext w:val="0"/>
              <w:keepLines w:val="0"/>
              <w:pageBreakBefore w:val="0"/>
              <w:wordWrap/>
              <w:overflowPunct/>
              <w:topLinePunct w:val="0"/>
              <w:bidi w:val="0"/>
              <w:adjustRightInd/>
              <w:snapToGrid w:val="0"/>
              <w:spacing w:line="240" w:lineRule="auto"/>
              <w:ind w:left="0" w:firstLine="0" w:firstLineChars="0"/>
              <w:jc w:val="center"/>
              <w:rPr>
                <w:rFonts w:ascii="宋体" w:hAnsi="宋体" w:eastAsia="宋体" w:cs="宋体"/>
                <w:color w:val="auto"/>
                <w:kern w:val="2"/>
                <w:sz w:val="21"/>
                <w:szCs w:val="21"/>
                <w:highlight w:val="none"/>
                <w:lang w:val="en-US" w:eastAsia="en-US" w:bidi="ar-SA"/>
              </w:rPr>
            </w:pPr>
            <w:r>
              <w:rPr>
                <w:color w:val="auto"/>
                <w:spacing w:val="-2"/>
                <w:highlight w:val="none"/>
              </w:rPr>
              <w:t>金马输水</w:t>
            </w:r>
            <w:r>
              <w:rPr>
                <w:rFonts w:ascii="Times New Roman" w:hAnsi="Times New Roman" w:eastAsia="Times New Roman" w:cs="Times New Roman"/>
                <w:color w:val="auto"/>
                <w:spacing w:val="-2"/>
                <w:highlight w:val="none"/>
              </w:rPr>
              <w:t>2#</w:t>
            </w:r>
            <w:r>
              <w:rPr>
                <w:color w:val="auto"/>
                <w:spacing w:val="-2"/>
                <w:highlight w:val="none"/>
              </w:rPr>
              <w:t>支管</w:t>
            </w:r>
            <w:r>
              <w:rPr>
                <w:rFonts w:hint="eastAsia"/>
                <w:color w:val="auto"/>
                <w:spacing w:val="-3"/>
                <w:highlight w:val="none"/>
                <w:lang w:eastAsia="zh-CN"/>
              </w:rPr>
              <w:t>断面尺寸</w:t>
            </w:r>
          </w:p>
        </w:tc>
        <w:tc>
          <w:tcPr>
            <w:tcW w:w="1050"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position w:val="-1"/>
                <w:sz w:val="21"/>
                <w:szCs w:val="21"/>
                <w:highlight w:val="none"/>
              </w:rPr>
              <w:t>mm</w:t>
            </w:r>
          </w:p>
        </w:tc>
        <w:tc>
          <w:tcPr>
            <w:tcW w:w="1966"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spacing w:val="-2"/>
                <w:sz w:val="21"/>
                <w:szCs w:val="21"/>
                <w:highlight w:val="none"/>
              </w:rPr>
            </w:pPr>
            <w:r>
              <w:rPr>
                <w:rFonts w:hint="eastAsia" w:ascii="Times New Roman" w:hAnsi="Times New Roman" w:eastAsia="Times New Roman" w:cs="Times New Roman"/>
                <w:color w:val="auto"/>
                <w:spacing w:val="-2"/>
                <w:sz w:val="21"/>
                <w:szCs w:val="21"/>
                <w:highlight w:val="none"/>
              </w:rPr>
              <w:t>DN200</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top"/>
          </w:tcPr>
          <w:p>
            <w:pPr>
              <w:pStyle w:val="56"/>
              <w:keepNext w:val="0"/>
              <w:keepLines w:val="0"/>
              <w:pageBreakBefore w:val="0"/>
              <w:wordWrap/>
              <w:overflowPunct/>
              <w:topLinePunct w:val="0"/>
              <w:bidi w:val="0"/>
              <w:adjustRightInd/>
              <w:snapToGrid w:val="0"/>
              <w:spacing w:line="240" w:lineRule="auto"/>
              <w:ind w:left="0" w:firstLine="0" w:firstLineChars="0"/>
              <w:jc w:val="center"/>
              <w:rPr>
                <w:rFonts w:ascii="宋体" w:hAnsi="宋体" w:eastAsia="宋体" w:cs="宋体"/>
                <w:color w:val="auto"/>
                <w:kern w:val="2"/>
                <w:sz w:val="21"/>
                <w:szCs w:val="21"/>
                <w:highlight w:val="none"/>
                <w:lang w:val="en-US" w:eastAsia="en-US" w:bidi="ar-SA"/>
              </w:rPr>
            </w:pPr>
            <w:r>
              <w:rPr>
                <w:color w:val="auto"/>
                <w:spacing w:val="-3"/>
                <w:highlight w:val="none"/>
              </w:rPr>
              <w:t>金马输水</w:t>
            </w:r>
            <w:r>
              <w:rPr>
                <w:rFonts w:ascii="Times New Roman" w:hAnsi="Times New Roman" w:eastAsia="Times New Roman" w:cs="Times New Roman"/>
                <w:color w:val="auto"/>
                <w:spacing w:val="-3"/>
                <w:highlight w:val="none"/>
              </w:rPr>
              <w:t>3#</w:t>
            </w:r>
            <w:r>
              <w:rPr>
                <w:color w:val="auto"/>
                <w:spacing w:val="-3"/>
                <w:highlight w:val="none"/>
              </w:rPr>
              <w:t>支管</w:t>
            </w:r>
            <w:r>
              <w:rPr>
                <w:rFonts w:hint="eastAsia"/>
                <w:color w:val="auto"/>
                <w:spacing w:val="-3"/>
                <w:highlight w:val="none"/>
                <w:lang w:eastAsia="zh-CN"/>
              </w:rPr>
              <w:t>断面尺寸</w:t>
            </w:r>
          </w:p>
        </w:tc>
        <w:tc>
          <w:tcPr>
            <w:tcW w:w="1050"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position w:val="-1"/>
                <w:sz w:val="21"/>
                <w:szCs w:val="21"/>
                <w:highlight w:val="none"/>
              </w:rPr>
              <w:t>mm</w:t>
            </w:r>
          </w:p>
        </w:tc>
        <w:tc>
          <w:tcPr>
            <w:tcW w:w="1966"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spacing w:val="-2"/>
                <w:sz w:val="21"/>
                <w:szCs w:val="21"/>
                <w:highlight w:val="none"/>
              </w:rPr>
            </w:pPr>
            <w:r>
              <w:rPr>
                <w:rFonts w:hint="eastAsia" w:ascii="Times New Roman" w:hAnsi="Times New Roman" w:eastAsia="Times New Roman" w:cs="Times New Roman"/>
                <w:color w:val="auto"/>
                <w:spacing w:val="-2"/>
                <w:sz w:val="21"/>
                <w:szCs w:val="21"/>
                <w:highlight w:val="none"/>
              </w:rPr>
              <w:t>DN200</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top"/>
          </w:tcPr>
          <w:p>
            <w:pPr>
              <w:pStyle w:val="56"/>
              <w:keepNext w:val="0"/>
              <w:keepLines w:val="0"/>
              <w:pageBreakBefore w:val="0"/>
              <w:wordWrap/>
              <w:overflowPunct/>
              <w:topLinePunct w:val="0"/>
              <w:bidi w:val="0"/>
              <w:adjustRightInd/>
              <w:snapToGrid w:val="0"/>
              <w:spacing w:line="240" w:lineRule="auto"/>
              <w:ind w:left="0" w:firstLine="0" w:firstLineChars="0"/>
              <w:jc w:val="center"/>
              <w:rPr>
                <w:rFonts w:ascii="宋体" w:hAnsi="宋体" w:eastAsia="宋体" w:cs="宋体"/>
                <w:color w:val="auto"/>
                <w:kern w:val="2"/>
                <w:sz w:val="21"/>
                <w:szCs w:val="21"/>
                <w:highlight w:val="none"/>
                <w:lang w:val="en-US" w:eastAsia="en-US" w:bidi="ar-SA"/>
              </w:rPr>
            </w:pPr>
            <w:r>
              <w:rPr>
                <w:color w:val="auto"/>
                <w:spacing w:val="-2"/>
                <w:highlight w:val="none"/>
              </w:rPr>
              <w:t>金马输水</w:t>
            </w:r>
            <w:r>
              <w:rPr>
                <w:rFonts w:ascii="Times New Roman" w:hAnsi="Times New Roman" w:eastAsia="Times New Roman" w:cs="Times New Roman"/>
                <w:color w:val="auto"/>
                <w:spacing w:val="-2"/>
                <w:highlight w:val="none"/>
              </w:rPr>
              <w:t>4#</w:t>
            </w:r>
            <w:r>
              <w:rPr>
                <w:color w:val="auto"/>
                <w:spacing w:val="-2"/>
                <w:highlight w:val="none"/>
              </w:rPr>
              <w:t>支管</w:t>
            </w:r>
            <w:r>
              <w:rPr>
                <w:rFonts w:hint="eastAsia"/>
                <w:color w:val="auto"/>
                <w:spacing w:val="-3"/>
                <w:highlight w:val="none"/>
                <w:lang w:eastAsia="zh-CN"/>
              </w:rPr>
              <w:t>断面尺寸</w:t>
            </w:r>
          </w:p>
        </w:tc>
        <w:tc>
          <w:tcPr>
            <w:tcW w:w="1050"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position w:val="-1"/>
                <w:sz w:val="21"/>
                <w:szCs w:val="21"/>
                <w:highlight w:val="none"/>
              </w:rPr>
              <w:t>mm</w:t>
            </w:r>
          </w:p>
        </w:tc>
        <w:tc>
          <w:tcPr>
            <w:tcW w:w="1966"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spacing w:val="-2"/>
                <w:sz w:val="21"/>
                <w:szCs w:val="21"/>
                <w:highlight w:val="none"/>
              </w:rPr>
            </w:pPr>
            <w:r>
              <w:rPr>
                <w:rFonts w:hint="eastAsia" w:ascii="Times New Roman" w:hAnsi="Times New Roman" w:eastAsia="Times New Roman" w:cs="Times New Roman"/>
                <w:color w:val="auto"/>
                <w:spacing w:val="-2"/>
                <w:sz w:val="21"/>
                <w:szCs w:val="21"/>
                <w:highlight w:val="none"/>
              </w:rPr>
              <w:t>DN200</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jc w:val="center"/>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vAlign w:val="center"/>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r>
              <w:rPr>
                <w:rFonts w:hint="eastAsia"/>
                <w:color w:val="auto"/>
                <w:highlight w:val="none"/>
                <w:lang w:val="en-US" w:eastAsia="zh-CN"/>
              </w:rPr>
              <w:t>2、</w:t>
            </w:r>
          </w:p>
        </w:tc>
        <w:tc>
          <w:tcPr>
            <w:tcW w:w="3304" w:type="dxa"/>
            <w:vAlign w:val="center"/>
          </w:tcPr>
          <w:p>
            <w:pPr>
              <w:pStyle w:val="56"/>
              <w:keepNext w:val="0"/>
              <w:keepLines w:val="0"/>
              <w:pageBreakBefore w:val="0"/>
              <w:wordWrap/>
              <w:overflowPunct/>
              <w:topLinePunct w:val="0"/>
              <w:bidi w:val="0"/>
              <w:adjustRightInd/>
              <w:snapToGrid w:val="0"/>
              <w:spacing w:line="240" w:lineRule="auto"/>
              <w:ind w:left="0" w:firstLine="0" w:firstLineChars="0"/>
              <w:rPr>
                <w:rFonts w:hint="eastAsia" w:eastAsia="宋体"/>
                <w:color w:val="auto"/>
                <w:spacing w:val="-2"/>
                <w:highlight w:val="none"/>
                <w:lang w:eastAsia="zh-CN"/>
              </w:rPr>
            </w:pPr>
            <w:r>
              <w:rPr>
                <w:rFonts w:hint="eastAsia"/>
                <w:color w:val="auto"/>
                <w:spacing w:val="-2"/>
                <w:highlight w:val="none"/>
                <w:lang w:eastAsia="zh-CN"/>
              </w:rPr>
              <w:t>提水管道</w:t>
            </w:r>
          </w:p>
        </w:tc>
        <w:tc>
          <w:tcPr>
            <w:tcW w:w="1050" w:type="dxa"/>
            <w:vAlign w:val="top"/>
          </w:tcPr>
          <w:p>
            <w:pPr>
              <w:keepNext w:val="0"/>
              <w:keepLines w:val="0"/>
              <w:pageBreakBefore w:val="0"/>
              <w:wordWrap/>
              <w:overflowPunct/>
              <w:topLinePunct w:val="0"/>
              <w:bidi w:val="0"/>
              <w:adjustRightInd/>
              <w:snapToGrid w:val="0"/>
              <w:spacing w:line="240" w:lineRule="auto"/>
              <w:ind w:left="0" w:leftChars="0" w:firstLine="0" w:firstLineChars="0"/>
              <w:jc w:val="center"/>
              <w:rPr>
                <w:rFonts w:ascii="Times New Roman" w:hAnsi="Times New Roman" w:eastAsia="Times New Roman" w:cs="Times New Roman"/>
                <w:color w:val="auto"/>
                <w:spacing w:val="-1"/>
                <w:sz w:val="21"/>
                <w:szCs w:val="21"/>
                <w:highlight w:val="none"/>
              </w:rPr>
            </w:pPr>
          </w:p>
        </w:tc>
        <w:tc>
          <w:tcPr>
            <w:tcW w:w="1966" w:type="dxa"/>
            <w:vAlign w:val="top"/>
          </w:tcPr>
          <w:p>
            <w:pPr>
              <w:keepNext w:val="0"/>
              <w:keepLines w:val="0"/>
              <w:pageBreakBefore w:val="0"/>
              <w:wordWrap/>
              <w:overflowPunct/>
              <w:topLinePunct w:val="0"/>
              <w:bidi w:val="0"/>
              <w:adjustRightInd/>
              <w:snapToGrid w:val="0"/>
              <w:spacing w:line="240" w:lineRule="auto"/>
              <w:ind w:left="0" w:leftChars="0" w:firstLine="0" w:firstLineChars="0"/>
              <w:jc w:val="center"/>
              <w:rPr>
                <w:rFonts w:ascii="Times New Roman" w:hAnsi="Times New Roman" w:eastAsia="Times New Roman" w:cs="Times New Roman"/>
                <w:color w:val="auto"/>
                <w:spacing w:val="-2"/>
                <w:sz w:val="21"/>
                <w:szCs w:val="21"/>
                <w:highlight w:val="none"/>
              </w:rPr>
            </w:pP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vAlign w:val="center"/>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center"/>
          </w:tcPr>
          <w:p>
            <w:pPr>
              <w:pStyle w:val="56"/>
              <w:keepNext w:val="0"/>
              <w:keepLines w:val="0"/>
              <w:pageBreakBefore w:val="0"/>
              <w:wordWrap/>
              <w:overflowPunct/>
              <w:topLinePunct w:val="0"/>
              <w:bidi w:val="0"/>
              <w:adjustRightInd/>
              <w:snapToGrid w:val="0"/>
              <w:spacing w:line="240" w:lineRule="auto"/>
              <w:ind w:left="0" w:firstLine="0" w:firstLineChars="0"/>
              <w:rPr>
                <w:rFonts w:hint="eastAsia" w:ascii="宋体" w:hAnsi="宋体" w:eastAsia="宋体" w:cs="宋体"/>
                <w:color w:val="auto"/>
                <w:kern w:val="2"/>
                <w:sz w:val="21"/>
                <w:szCs w:val="21"/>
                <w:highlight w:val="none"/>
                <w:lang w:val="en-US" w:eastAsia="zh-CN" w:bidi="ar-SA"/>
              </w:rPr>
            </w:pPr>
            <w:r>
              <w:rPr>
                <w:color w:val="auto"/>
                <w:spacing w:val="-1"/>
                <w:highlight w:val="none"/>
              </w:rPr>
              <w:t>平坦泵站提水管道</w:t>
            </w:r>
            <w:r>
              <w:rPr>
                <w:rFonts w:hint="eastAsia"/>
                <w:color w:val="auto"/>
                <w:spacing w:val="-1"/>
                <w:highlight w:val="none"/>
                <w:lang w:eastAsia="zh-CN"/>
              </w:rPr>
              <w:t>长度</w:t>
            </w:r>
          </w:p>
        </w:tc>
        <w:tc>
          <w:tcPr>
            <w:tcW w:w="1050" w:type="dxa"/>
            <w:vAlign w:val="top"/>
          </w:tcPr>
          <w:p>
            <w:pPr>
              <w:keepNext w:val="0"/>
              <w:keepLines w:val="0"/>
              <w:pageBreakBefore w:val="0"/>
              <w:widowControl/>
              <w:suppressLineNumbers w:val="0"/>
              <w:kinsoku w:val="0"/>
              <w:wordWrap/>
              <w:overflowPunct/>
              <w:topLinePunct w:val="0"/>
              <w:autoSpaceDE w:val="0"/>
              <w:autoSpaceDN w:val="0"/>
              <w:bidi w:val="0"/>
              <w:adjustRightInd/>
              <w:snapToGrid w:val="0"/>
              <w:spacing w:beforeAutospacing="0" w:after="0" w:afterAutospacing="0" w:line="240" w:lineRule="auto"/>
              <w:ind w:left="0" w:right="0" w:rightChars="0" w:firstLine="0" w:firstLineChars="0"/>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color w:val="auto"/>
                <w:spacing w:val="-1"/>
                <w:kern w:val="0"/>
                <w:sz w:val="21"/>
                <w:szCs w:val="21"/>
                <w:highlight w:val="none"/>
                <w:lang w:val="en-US" w:eastAsia="zh-CN" w:bidi="ar"/>
              </w:rPr>
              <w:t>km</w:t>
            </w:r>
          </w:p>
        </w:tc>
        <w:tc>
          <w:tcPr>
            <w:tcW w:w="1966" w:type="dxa"/>
            <w:vAlign w:val="top"/>
          </w:tcPr>
          <w:p>
            <w:pPr>
              <w:keepNext w:val="0"/>
              <w:keepLines w:val="0"/>
              <w:pageBreakBefore w:val="0"/>
              <w:widowControl/>
              <w:suppressLineNumbers w:val="0"/>
              <w:kinsoku w:val="0"/>
              <w:wordWrap/>
              <w:overflowPunct/>
              <w:topLinePunct w:val="0"/>
              <w:autoSpaceDE w:val="0"/>
              <w:autoSpaceDN w:val="0"/>
              <w:bidi w:val="0"/>
              <w:adjustRightInd/>
              <w:snapToGrid w:val="0"/>
              <w:spacing w:beforeAutospacing="0" w:after="0" w:afterAutospacing="0" w:line="240" w:lineRule="auto"/>
              <w:ind w:left="0" w:right="0" w:rightChars="0" w:firstLine="0" w:firstLineChars="0"/>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color w:val="auto"/>
                <w:spacing w:val="-1"/>
                <w:kern w:val="0"/>
                <w:sz w:val="21"/>
                <w:szCs w:val="21"/>
                <w:highlight w:val="none"/>
                <w:lang w:val="en-US" w:eastAsia="zh-CN" w:bidi="ar"/>
              </w:rPr>
              <w:t>4.519</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vAlign w:val="center"/>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center"/>
          </w:tcPr>
          <w:p>
            <w:pPr>
              <w:pStyle w:val="56"/>
              <w:keepNext w:val="0"/>
              <w:keepLines w:val="0"/>
              <w:pageBreakBefore w:val="0"/>
              <w:wordWrap/>
              <w:overflowPunct/>
              <w:topLinePunct w:val="0"/>
              <w:bidi w:val="0"/>
              <w:adjustRightInd/>
              <w:snapToGrid w:val="0"/>
              <w:spacing w:line="240" w:lineRule="auto"/>
              <w:ind w:left="0" w:firstLine="0" w:firstLineChars="0"/>
              <w:rPr>
                <w:rFonts w:hint="eastAsia" w:ascii="宋体" w:hAnsi="宋体" w:eastAsia="宋体" w:cs="宋体"/>
                <w:color w:val="auto"/>
                <w:kern w:val="2"/>
                <w:sz w:val="21"/>
                <w:szCs w:val="21"/>
                <w:highlight w:val="none"/>
                <w:lang w:val="en-US" w:eastAsia="zh-CN" w:bidi="ar-SA"/>
              </w:rPr>
            </w:pPr>
            <w:r>
              <w:rPr>
                <w:color w:val="auto"/>
                <w:spacing w:val="-6"/>
                <w:highlight w:val="none"/>
              </w:rPr>
              <w:t>白秧树</w:t>
            </w:r>
            <w:r>
              <w:rPr>
                <w:rFonts w:ascii="Times New Roman" w:hAnsi="Times New Roman" w:eastAsia="Times New Roman" w:cs="Times New Roman"/>
                <w:color w:val="auto"/>
                <w:spacing w:val="-6"/>
                <w:highlight w:val="none"/>
              </w:rPr>
              <w:t>1#</w:t>
            </w:r>
            <w:r>
              <w:rPr>
                <w:color w:val="auto"/>
                <w:spacing w:val="-6"/>
                <w:highlight w:val="none"/>
              </w:rPr>
              <w:t>泵站提水管道</w:t>
            </w:r>
            <w:r>
              <w:rPr>
                <w:rFonts w:hint="eastAsia"/>
                <w:color w:val="auto"/>
                <w:spacing w:val="-6"/>
                <w:highlight w:val="none"/>
                <w:lang w:eastAsia="zh-CN"/>
              </w:rPr>
              <w:t>长度</w:t>
            </w:r>
          </w:p>
        </w:tc>
        <w:tc>
          <w:tcPr>
            <w:tcW w:w="1050" w:type="dxa"/>
            <w:vAlign w:val="top"/>
          </w:tcPr>
          <w:p>
            <w:pPr>
              <w:keepNext w:val="0"/>
              <w:keepLines w:val="0"/>
              <w:pageBreakBefore w:val="0"/>
              <w:widowControl/>
              <w:suppressLineNumbers w:val="0"/>
              <w:kinsoku w:val="0"/>
              <w:wordWrap/>
              <w:overflowPunct/>
              <w:topLinePunct w:val="0"/>
              <w:autoSpaceDE w:val="0"/>
              <w:autoSpaceDN w:val="0"/>
              <w:bidi w:val="0"/>
              <w:adjustRightInd/>
              <w:snapToGrid w:val="0"/>
              <w:spacing w:beforeAutospacing="0" w:after="0" w:afterAutospacing="0" w:line="240" w:lineRule="auto"/>
              <w:ind w:left="0" w:right="0" w:rightChars="0" w:firstLine="0" w:firstLineChars="0"/>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color w:val="auto"/>
                <w:spacing w:val="-1"/>
                <w:kern w:val="0"/>
                <w:sz w:val="21"/>
                <w:szCs w:val="21"/>
                <w:highlight w:val="none"/>
                <w:lang w:val="en-US" w:eastAsia="zh-CN" w:bidi="ar"/>
              </w:rPr>
              <w:t>km</w:t>
            </w:r>
          </w:p>
        </w:tc>
        <w:tc>
          <w:tcPr>
            <w:tcW w:w="1966" w:type="dxa"/>
            <w:vAlign w:val="top"/>
          </w:tcPr>
          <w:p>
            <w:pPr>
              <w:keepNext w:val="0"/>
              <w:keepLines w:val="0"/>
              <w:pageBreakBefore w:val="0"/>
              <w:widowControl/>
              <w:suppressLineNumbers w:val="0"/>
              <w:kinsoku w:val="0"/>
              <w:wordWrap/>
              <w:overflowPunct/>
              <w:topLinePunct w:val="0"/>
              <w:autoSpaceDE w:val="0"/>
              <w:autoSpaceDN w:val="0"/>
              <w:bidi w:val="0"/>
              <w:adjustRightInd/>
              <w:snapToGrid w:val="0"/>
              <w:spacing w:beforeAutospacing="0" w:after="0" w:afterAutospacing="0" w:line="240" w:lineRule="auto"/>
              <w:ind w:left="0" w:right="0" w:rightChars="0" w:firstLine="0" w:firstLineChars="0"/>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color w:val="auto"/>
                <w:spacing w:val="-1"/>
                <w:kern w:val="0"/>
                <w:sz w:val="21"/>
                <w:szCs w:val="21"/>
                <w:highlight w:val="none"/>
                <w:lang w:val="en-US" w:eastAsia="zh-CN" w:bidi="ar"/>
              </w:rPr>
              <w:t>2.166</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vAlign w:val="center"/>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center"/>
          </w:tcPr>
          <w:p>
            <w:pPr>
              <w:pStyle w:val="56"/>
              <w:keepNext w:val="0"/>
              <w:keepLines w:val="0"/>
              <w:pageBreakBefore w:val="0"/>
              <w:wordWrap/>
              <w:overflowPunct/>
              <w:topLinePunct w:val="0"/>
              <w:bidi w:val="0"/>
              <w:adjustRightInd/>
              <w:snapToGrid w:val="0"/>
              <w:spacing w:line="240" w:lineRule="auto"/>
              <w:ind w:left="0" w:firstLine="0" w:firstLineChars="0"/>
              <w:rPr>
                <w:rFonts w:hint="eastAsia" w:ascii="宋体" w:hAnsi="宋体" w:eastAsia="宋体" w:cs="宋体"/>
                <w:color w:val="auto"/>
                <w:kern w:val="2"/>
                <w:sz w:val="21"/>
                <w:szCs w:val="21"/>
                <w:highlight w:val="none"/>
                <w:lang w:val="en-US" w:eastAsia="zh-CN" w:bidi="ar-SA"/>
              </w:rPr>
            </w:pPr>
            <w:r>
              <w:rPr>
                <w:color w:val="auto"/>
                <w:spacing w:val="-4"/>
                <w:highlight w:val="none"/>
              </w:rPr>
              <w:t>白秧树</w:t>
            </w:r>
            <w:r>
              <w:rPr>
                <w:color w:val="auto"/>
                <w:spacing w:val="-48"/>
                <w:highlight w:val="none"/>
              </w:rPr>
              <w:t xml:space="preserve"> </w:t>
            </w:r>
            <w:r>
              <w:rPr>
                <w:rFonts w:ascii="Times New Roman" w:hAnsi="Times New Roman" w:eastAsia="Times New Roman" w:cs="Times New Roman"/>
                <w:color w:val="auto"/>
                <w:spacing w:val="-4"/>
                <w:highlight w:val="none"/>
              </w:rPr>
              <w:t>2#</w:t>
            </w:r>
            <w:r>
              <w:rPr>
                <w:color w:val="auto"/>
                <w:spacing w:val="-4"/>
                <w:highlight w:val="none"/>
              </w:rPr>
              <w:t>泵站提水管道</w:t>
            </w:r>
            <w:r>
              <w:rPr>
                <w:rFonts w:hint="eastAsia"/>
                <w:color w:val="auto"/>
                <w:spacing w:val="-4"/>
                <w:highlight w:val="none"/>
                <w:lang w:eastAsia="zh-CN"/>
              </w:rPr>
              <w:t>长度</w:t>
            </w:r>
          </w:p>
        </w:tc>
        <w:tc>
          <w:tcPr>
            <w:tcW w:w="1050" w:type="dxa"/>
            <w:vAlign w:val="top"/>
          </w:tcPr>
          <w:p>
            <w:pPr>
              <w:keepNext w:val="0"/>
              <w:keepLines w:val="0"/>
              <w:pageBreakBefore w:val="0"/>
              <w:widowControl/>
              <w:suppressLineNumbers w:val="0"/>
              <w:kinsoku w:val="0"/>
              <w:wordWrap/>
              <w:overflowPunct/>
              <w:topLinePunct w:val="0"/>
              <w:autoSpaceDE w:val="0"/>
              <w:autoSpaceDN w:val="0"/>
              <w:bidi w:val="0"/>
              <w:adjustRightInd/>
              <w:snapToGrid w:val="0"/>
              <w:spacing w:beforeAutospacing="0" w:after="0" w:afterAutospacing="0" w:line="240" w:lineRule="auto"/>
              <w:ind w:left="0" w:right="0" w:rightChars="0" w:firstLine="0" w:firstLineChars="0"/>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color w:val="auto"/>
                <w:spacing w:val="-1"/>
                <w:kern w:val="0"/>
                <w:sz w:val="21"/>
                <w:szCs w:val="21"/>
                <w:highlight w:val="none"/>
                <w:lang w:val="en-US" w:eastAsia="zh-CN" w:bidi="ar"/>
              </w:rPr>
              <w:t>km</w:t>
            </w:r>
          </w:p>
        </w:tc>
        <w:tc>
          <w:tcPr>
            <w:tcW w:w="1966" w:type="dxa"/>
            <w:vAlign w:val="top"/>
          </w:tcPr>
          <w:p>
            <w:pPr>
              <w:keepNext w:val="0"/>
              <w:keepLines w:val="0"/>
              <w:pageBreakBefore w:val="0"/>
              <w:widowControl/>
              <w:suppressLineNumbers w:val="0"/>
              <w:kinsoku w:val="0"/>
              <w:wordWrap/>
              <w:overflowPunct/>
              <w:topLinePunct w:val="0"/>
              <w:autoSpaceDE w:val="0"/>
              <w:autoSpaceDN w:val="0"/>
              <w:bidi w:val="0"/>
              <w:adjustRightInd/>
              <w:snapToGrid w:val="0"/>
              <w:spacing w:beforeAutospacing="0" w:after="0" w:afterAutospacing="0" w:line="240" w:lineRule="auto"/>
              <w:ind w:left="0" w:right="0" w:rightChars="0" w:firstLine="0" w:firstLineChars="0"/>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snapToGrid/>
                <w:color w:val="auto"/>
                <w:spacing w:val="-1"/>
                <w:kern w:val="0"/>
                <w:sz w:val="21"/>
                <w:szCs w:val="21"/>
                <w:highlight w:val="none"/>
                <w:lang w:val="en-US" w:eastAsia="zh-CN" w:bidi="ar"/>
              </w:rPr>
              <w:t>2.653</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vAlign w:val="center"/>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center"/>
          </w:tcPr>
          <w:p>
            <w:pPr>
              <w:pStyle w:val="56"/>
              <w:keepNext w:val="0"/>
              <w:keepLines w:val="0"/>
              <w:pageBreakBefore w:val="0"/>
              <w:wordWrap/>
              <w:overflowPunct/>
              <w:topLinePunct w:val="0"/>
              <w:bidi w:val="0"/>
              <w:adjustRightInd/>
              <w:snapToGrid w:val="0"/>
              <w:spacing w:line="240" w:lineRule="auto"/>
              <w:ind w:left="0" w:firstLine="0" w:firstLineChars="0"/>
              <w:rPr>
                <w:rFonts w:hint="eastAsia" w:ascii="宋体" w:hAnsi="宋体" w:eastAsia="宋体" w:cs="宋体"/>
                <w:color w:val="auto"/>
                <w:kern w:val="2"/>
                <w:sz w:val="21"/>
                <w:szCs w:val="21"/>
                <w:highlight w:val="none"/>
                <w:lang w:val="en-US" w:eastAsia="zh-CN" w:bidi="ar-SA"/>
              </w:rPr>
            </w:pPr>
            <w:r>
              <w:rPr>
                <w:color w:val="auto"/>
                <w:spacing w:val="-1"/>
                <w:highlight w:val="none"/>
              </w:rPr>
              <w:t>平坦泵站提水管道</w:t>
            </w:r>
            <w:r>
              <w:rPr>
                <w:rFonts w:hint="eastAsia"/>
                <w:color w:val="auto"/>
                <w:spacing w:val="-1"/>
                <w:highlight w:val="none"/>
                <w:lang w:eastAsia="zh-CN"/>
              </w:rPr>
              <w:t>断面尺寸</w:t>
            </w:r>
          </w:p>
        </w:tc>
        <w:tc>
          <w:tcPr>
            <w:tcW w:w="1050"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position w:val="-1"/>
                <w:sz w:val="21"/>
                <w:szCs w:val="21"/>
                <w:highlight w:val="none"/>
              </w:rPr>
              <w:t>mm</w:t>
            </w:r>
          </w:p>
        </w:tc>
        <w:tc>
          <w:tcPr>
            <w:tcW w:w="1966"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sz w:val="21"/>
                <w:szCs w:val="21"/>
                <w:highlight w:val="none"/>
              </w:rPr>
              <w:t>DN400</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vAlign w:val="center"/>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center"/>
          </w:tcPr>
          <w:p>
            <w:pPr>
              <w:pStyle w:val="56"/>
              <w:keepNext w:val="0"/>
              <w:keepLines w:val="0"/>
              <w:pageBreakBefore w:val="0"/>
              <w:wordWrap/>
              <w:overflowPunct/>
              <w:topLinePunct w:val="0"/>
              <w:bidi w:val="0"/>
              <w:adjustRightInd/>
              <w:snapToGrid w:val="0"/>
              <w:spacing w:line="240" w:lineRule="auto"/>
              <w:ind w:left="0" w:firstLine="0" w:firstLineChars="0"/>
              <w:rPr>
                <w:rFonts w:ascii="宋体" w:hAnsi="宋体" w:eastAsia="宋体" w:cs="宋体"/>
                <w:color w:val="auto"/>
                <w:kern w:val="2"/>
                <w:sz w:val="21"/>
                <w:szCs w:val="21"/>
                <w:highlight w:val="none"/>
                <w:lang w:val="en-US" w:eastAsia="en-US" w:bidi="ar-SA"/>
              </w:rPr>
            </w:pPr>
            <w:r>
              <w:rPr>
                <w:color w:val="auto"/>
                <w:spacing w:val="-6"/>
                <w:highlight w:val="none"/>
              </w:rPr>
              <w:t>白秧树</w:t>
            </w:r>
            <w:r>
              <w:rPr>
                <w:rFonts w:ascii="Times New Roman" w:hAnsi="Times New Roman" w:eastAsia="Times New Roman" w:cs="Times New Roman"/>
                <w:color w:val="auto"/>
                <w:spacing w:val="-6"/>
                <w:highlight w:val="none"/>
              </w:rPr>
              <w:t>1#</w:t>
            </w:r>
            <w:r>
              <w:rPr>
                <w:color w:val="auto"/>
                <w:spacing w:val="-6"/>
                <w:highlight w:val="none"/>
              </w:rPr>
              <w:t>泵站提水管道</w:t>
            </w:r>
            <w:r>
              <w:rPr>
                <w:rFonts w:hint="eastAsia"/>
                <w:color w:val="auto"/>
                <w:spacing w:val="-1"/>
                <w:highlight w:val="none"/>
                <w:lang w:eastAsia="zh-CN"/>
              </w:rPr>
              <w:t>断面尺寸</w:t>
            </w:r>
          </w:p>
        </w:tc>
        <w:tc>
          <w:tcPr>
            <w:tcW w:w="1050"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position w:val="-1"/>
                <w:sz w:val="21"/>
                <w:szCs w:val="21"/>
                <w:highlight w:val="none"/>
              </w:rPr>
              <w:t>mm</w:t>
            </w:r>
          </w:p>
        </w:tc>
        <w:tc>
          <w:tcPr>
            <w:tcW w:w="1966"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sz w:val="21"/>
                <w:szCs w:val="21"/>
                <w:highlight w:val="none"/>
              </w:rPr>
              <w:t>DN300</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2" w:type="dxa"/>
            <w:vAlign w:val="center"/>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c>
          <w:tcPr>
            <w:tcW w:w="3304" w:type="dxa"/>
            <w:vAlign w:val="center"/>
          </w:tcPr>
          <w:p>
            <w:pPr>
              <w:pStyle w:val="56"/>
              <w:keepNext w:val="0"/>
              <w:keepLines w:val="0"/>
              <w:pageBreakBefore w:val="0"/>
              <w:wordWrap/>
              <w:overflowPunct/>
              <w:topLinePunct w:val="0"/>
              <w:bidi w:val="0"/>
              <w:adjustRightInd/>
              <w:snapToGrid w:val="0"/>
              <w:spacing w:line="240" w:lineRule="auto"/>
              <w:ind w:left="0" w:firstLine="0" w:firstLineChars="0"/>
              <w:rPr>
                <w:rFonts w:ascii="宋体" w:hAnsi="宋体" w:eastAsia="宋体" w:cs="宋体"/>
                <w:color w:val="auto"/>
                <w:kern w:val="2"/>
                <w:sz w:val="21"/>
                <w:szCs w:val="21"/>
                <w:highlight w:val="none"/>
                <w:lang w:val="en-US" w:eastAsia="en-US" w:bidi="ar-SA"/>
              </w:rPr>
            </w:pPr>
            <w:r>
              <w:rPr>
                <w:color w:val="auto"/>
                <w:spacing w:val="-4"/>
                <w:highlight w:val="none"/>
              </w:rPr>
              <w:t>白秧树</w:t>
            </w:r>
            <w:r>
              <w:rPr>
                <w:rFonts w:ascii="Times New Roman" w:hAnsi="Times New Roman" w:eastAsia="Times New Roman" w:cs="Times New Roman"/>
                <w:color w:val="auto"/>
                <w:spacing w:val="-4"/>
                <w:highlight w:val="none"/>
              </w:rPr>
              <w:t>2#</w:t>
            </w:r>
            <w:r>
              <w:rPr>
                <w:color w:val="auto"/>
                <w:spacing w:val="-4"/>
                <w:highlight w:val="none"/>
              </w:rPr>
              <w:t>泵站提水管道</w:t>
            </w:r>
            <w:r>
              <w:rPr>
                <w:rFonts w:hint="eastAsia"/>
                <w:color w:val="auto"/>
                <w:spacing w:val="-1"/>
                <w:highlight w:val="none"/>
                <w:lang w:eastAsia="zh-CN"/>
              </w:rPr>
              <w:t>断面尺寸</w:t>
            </w:r>
          </w:p>
        </w:tc>
        <w:tc>
          <w:tcPr>
            <w:tcW w:w="1050"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position w:val="-1"/>
                <w:sz w:val="21"/>
                <w:szCs w:val="21"/>
                <w:highlight w:val="none"/>
              </w:rPr>
              <w:t>mm</w:t>
            </w:r>
          </w:p>
        </w:tc>
        <w:tc>
          <w:tcPr>
            <w:tcW w:w="1966" w:type="dxa"/>
            <w:vAlign w:val="top"/>
          </w:tcPr>
          <w:p>
            <w:pPr>
              <w:keepNext w:val="0"/>
              <w:keepLines w:val="0"/>
              <w:pageBreakBefore w:val="0"/>
              <w:wordWrap/>
              <w:overflowPunct/>
              <w:topLinePunct w:val="0"/>
              <w:bidi w:val="0"/>
              <w:adjustRightInd/>
              <w:snapToGrid w:val="0"/>
              <w:spacing w:line="240" w:lineRule="auto"/>
              <w:ind w:left="0" w:firstLine="0" w:firstLineChars="0"/>
              <w:jc w:val="center"/>
              <w:rPr>
                <w:rFonts w:ascii="Times New Roman" w:hAnsi="Times New Roman" w:eastAsia="Times New Roman" w:cs="Times New Roman"/>
                <w:color w:val="auto"/>
                <w:kern w:val="2"/>
                <w:sz w:val="21"/>
                <w:szCs w:val="21"/>
                <w:highlight w:val="none"/>
                <w:lang w:val="en-US" w:eastAsia="zh-CN" w:bidi="ar-SA"/>
              </w:rPr>
            </w:pPr>
            <w:r>
              <w:rPr>
                <w:rFonts w:ascii="Times New Roman" w:hAnsi="Times New Roman" w:eastAsia="Times New Roman" w:cs="Times New Roman"/>
                <w:color w:val="auto"/>
                <w:spacing w:val="-1"/>
                <w:sz w:val="21"/>
                <w:szCs w:val="21"/>
                <w:highlight w:val="none"/>
              </w:rPr>
              <w:t>DN300</w:t>
            </w:r>
          </w:p>
        </w:tc>
        <w:tc>
          <w:tcPr>
            <w:tcW w:w="1294" w:type="dxa"/>
          </w:tcPr>
          <w:p>
            <w:pPr>
              <w:pStyle w:val="42"/>
              <w:keepNext w:val="0"/>
              <w:keepLines w:val="0"/>
              <w:pageBreakBefore w:val="0"/>
              <w:wordWrap/>
              <w:overflowPunct/>
              <w:topLinePunct w:val="0"/>
              <w:bidi w:val="0"/>
              <w:adjustRightInd/>
              <w:snapToGrid w:val="0"/>
              <w:spacing w:line="240" w:lineRule="auto"/>
              <w:ind w:left="0" w:firstLine="0" w:firstLineChars="0"/>
              <w:rPr>
                <w:rFonts w:hint="default"/>
                <w:color w:val="auto"/>
                <w:highlight w:val="none"/>
                <w:lang w:val="en-US" w:eastAsia="zh-CN"/>
              </w:rPr>
            </w:pPr>
          </w:p>
        </w:tc>
      </w:tr>
    </w:tbl>
    <w:p>
      <w:pPr>
        <w:pStyle w:val="3"/>
        <w:numPr>
          <w:ilvl w:val="1"/>
          <w:numId w:val="1"/>
        </w:numPr>
        <w:bidi w:val="0"/>
        <w:rPr>
          <w:rFonts w:hint="default"/>
          <w:color w:val="auto"/>
          <w:highlight w:val="none"/>
        </w:rPr>
      </w:pPr>
      <w:bookmarkStart w:id="382" w:name="_Toc30084"/>
      <w:r>
        <w:rPr>
          <w:rFonts w:hint="eastAsia"/>
          <w:color w:val="auto"/>
          <w:highlight w:val="none"/>
          <w:lang w:val="en-US" w:eastAsia="zh-CN"/>
        </w:rPr>
        <w:t>施工组织设计</w:t>
      </w:r>
      <w:bookmarkEnd w:id="375"/>
      <w:bookmarkEnd w:id="376"/>
      <w:bookmarkEnd w:id="377"/>
      <w:bookmarkEnd w:id="382"/>
    </w:p>
    <w:p>
      <w:pPr>
        <w:pStyle w:val="4"/>
        <w:numPr>
          <w:ilvl w:val="2"/>
          <w:numId w:val="1"/>
        </w:numPr>
        <w:bidi w:val="0"/>
        <w:rPr>
          <w:rFonts w:hint="eastAsia"/>
          <w:color w:val="auto"/>
          <w:highlight w:val="none"/>
          <w:lang w:val="en-US" w:eastAsia="zh-CN"/>
        </w:rPr>
      </w:pPr>
      <w:bookmarkStart w:id="383" w:name="_Toc11052"/>
      <w:bookmarkStart w:id="384" w:name="_Toc3009"/>
      <w:bookmarkStart w:id="385" w:name="_Toc777"/>
      <w:r>
        <w:rPr>
          <w:rFonts w:hint="eastAsia"/>
          <w:color w:val="auto"/>
          <w:highlight w:val="none"/>
          <w:lang w:val="en-US" w:eastAsia="zh-CN"/>
        </w:rPr>
        <w:t>施工交通</w:t>
      </w:r>
      <w:bookmarkEnd w:id="383"/>
      <w:bookmarkEnd w:id="384"/>
      <w:bookmarkEnd w:id="385"/>
    </w:p>
    <w:p>
      <w:pPr>
        <w:pStyle w:val="5"/>
        <w:numPr>
          <w:ilvl w:val="3"/>
          <w:numId w:val="11"/>
        </w:numPr>
        <w:bidi w:val="0"/>
        <w:ind w:left="480" w:leftChars="0" w:firstLineChars="0"/>
        <w:rPr>
          <w:rFonts w:hint="eastAsia"/>
          <w:color w:val="auto"/>
          <w:lang w:val="en-US" w:eastAsia="zh-CN"/>
        </w:rPr>
      </w:pPr>
      <w:r>
        <w:rPr>
          <w:rFonts w:hint="eastAsia"/>
          <w:color w:val="auto"/>
          <w:lang w:val="en-US" w:eastAsia="zh-CN"/>
        </w:rPr>
        <w:t>对外交通</w:t>
      </w:r>
    </w:p>
    <w:p>
      <w:pPr>
        <w:ind w:firstLine="480" w:firstLineChars="200"/>
        <w:rPr>
          <w:rFonts w:hint="eastAsia"/>
          <w:color w:val="auto"/>
          <w:highlight w:val="none"/>
          <w:lang w:val="en-US" w:eastAsia="zh-CN"/>
        </w:rPr>
      </w:pPr>
      <w:r>
        <w:rPr>
          <w:rFonts w:hint="eastAsia"/>
          <w:color w:val="auto"/>
          <w:highlight w:val="none"/>
          <w:lang w:val="en-US" w:eastAsia="zh-CN"/>
        </w:rPr>
        <w:t>项目区位于金沙江北岸的姜驿乡，姜驿乡至元谋县城68km，元谋县经110km可达楚雄州，经190km可直达省会昆明，各工程区对外主要交通干道为：G108国道、XE97乡道、S223乡道、XE95乡道、XE54乡道。</w:t>
      </w:r>
    </w:p>
    <w:p>
      <w:pPr>
        <w:pStyle w:val="5"/>
        <w:numPr>
          <w:ilvl w:val="3"/>
          <w:numId w:val="1"/>
        </w:numPr>
        <w:bidi w:val="0"/>
        <w:ind w:left="480" w:leftChars="0" w:firstLineChars="0"/>
        <w:rPr>
          <w:rFonts w:hint="eastAsia"/>
          <w:color w:val="auto"/>
          <w:lang w:val="en-US" w:eastAsia="zh-CN"/>
        </w:rPr>
      </w:pPr>
      <w:r>
        <w:rPr>
          <w:rFonts w:hint="eastAsia"/>
          <w:color w:val="auto"/>
          <w:lang w:val="en-US" w:eastAsia="zh-CN"/>
        </w:rPr>
        <w:t>场内交通</w:t>
      </w:r>
    </w:p>
    <w:p>
      <w:pPr>
        <w:ind w:firstLine="480" w:firstLineChars="200"/>
        <w:rPr>
          <w:rFonts w:hint="eastAsia"/>
          <w:color w:val="auto"/>
          <w:highlight w:val="none"/>
          <w:lang w:val="en-US" w:eastAsia="zh-CN"/>
        </w:rPr>
      </w:pPr>
      <w:r>
        <w:rPr>
          <w:rFonts w:hint="eastAsia"/>
          <w:color w:val="auto"/>
          <w:highlight w:val="none"/>
          <w:lang w:val="en-US" w:eastAsia="zh-CN"/>
        </w:rPr>
        <w:t>本工程场内交通主要便于外来物资可以直接运抵使用地点及仓库，连接泵站、管线施工区等。场内道路干线布置选择以满足施工要求为原则，尽量考虑与进场道路协调连接、线路较短、地质条件较好、少占良田、投资节省。经初拟场内交通主要线路规划布置，场内道路需新建临时道路1.92km，改扩建约7.02km，场内道路标准为单车道，路基宽4.5m，路面宽3.5m，泥结石路面。</w:t>
      </w:r>
    </w:p>
    <w:p>
      <w:pPr>
        <w:rPr>
          <w:rFonts w:hint="eastAsia"/>
          <w:color w:val="auto"/>
          <w:highlight w:val="none"/>
          <w:lang w:val="en-US" w:eastAsia="zh-CN"/>
        </w:rPr>
      </w:pPr>
      <w:r>
        <w:rPr>
          <w:rFonts w:hint="eastAsia"/>
          <w:color w:val="auto"/>
          <w:highlight w:val="none"/>
          <w:lang w:val="en-US" w:eastAsia="zh-CN"/>
        </w:rPr>
        <w:t>场内交通分别布置如下：</w:t>
      </w:r>
    </w:p>
    <w:p>
      <w:pPr>
        <w:pStyle w:val="40"/>
        <w:bidi w:val="0"/>
        <w:rPr>
          <w:color w:val="auto"/>
          <w:highlight w:val="none"/>
        </w:rPr>
      </w:pPr>
      <w:r>
        <w:rPr>
          <w:rFonts w:hint="eastAsia"/>
          <w:color w:val="auto"/>
          <w:highlight w:val="none"/>
          <w:lang w:val="en-US" w:eastAsia="zh-CN"/>
        </w:rPr>
        <w:t xml:space="preserve">表2.8.1-1  </w:t>
      </w:r>
      <w:r>
        <w:rPr>
          <w:color w:val="auto"/>
          <w:highlight w:val="none"/>
        </w:rPr>
        <w:t>施工场内道路特性表</w:t>
      </w:r>
    </w:p>
    <w:tbl>
      <w:tblPr>
        <w:tblStyle w:val="57"/>
        <w:tblW w:w="5001"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68"/>
        <w:gridCol w:w="1624"/>
        <w:gridCol w:w="1200"/>
        <w:gridCol w:w="1200"/>
        <w:gridCol w:w="1200"/>
        <w:gridCol w:w="1208"/>
        <w:gridCol w:w="120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trPr>
        <w:tc>
          <w:tcPr>
            <w:tcW w:w="402"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2"/>
              </w:rPr>
              <w:t>序号</w:t>
            </w:r>
          </w:p>
        </w:tc>
        <w:tc>
          <w:tcPr>
            <w:tcW w:w="97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3"/>
              </w:rPr>
              <w:t>项目</w:t>
            </w:r>
          </w:p>
        </w:tc>
        <w:tc>
          <w:tcPr>
            <w:tcW w:w="722"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3"/>
              </w:rPr>
              <w:t>单位</w:t>
            </w:r>
          </w:p>
        </w:tc>
        <w:tc>
          <w:tcPr>
            <w:tcW w:w="722"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3"/>
              </w:rPr>
              <w:t>数量</w:t>
            </w:r>
          </w:p>
        </w:tc>
        <w:tc>
          <w:tcPr>
            <w:tcW w:w="722"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5"/>
              </w:rPr>
              <w:t>宽度</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3"/>
              </w:rPr>
              <w:t>说明</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spacing w:val="-3"/>
              </w:rPr>
            </w:pPr>
            <w:r>
              <w:rPr>
                <w:rFonts w:hint="eastAsia"/>
                <w:color w:val="0000FF"/>
                <w:highlight w:val="none"/>
                <w:lang w:val="en-US" w:eastAsia="zh-CN"/>
              </w:rPr>
              <w:t>涉及环境敏感区情况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40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97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rPr>
            </w:pPr>
            <w:r>
              <w:rPr>
                <w:spacing w:val="-4"/>
              </w:rPr>
              <w:t>临时道路</w:t>
            </w:r>
            <w:r>
              <w:rPr>
                <w:spacing w:val="-48"/>
              </w:rPr>
              <w:t xml:space="preserve"> </w:t>
            </w:r>
            <w:r>
              <w:rPr>
                <w:rFonts w:ascii="Times New Roman" w:hAnsi="Times New Roman" w:eastAsia="Times New Roman" w:cs="Times New Roman"/>
                <w:spacing w:val="-4"/>
              </w:rPr>
              <w:t>L1</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m</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950</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3"/>
              </w:rPr>
              <w:t>扩修</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eastAsia="宋体" w:cs="Times New Roman"/>
                <w:color w:val="0000FF"/>
                <w:kern w:val="2"/>
                <w:sz w:val="21"/>
                <w:szCs w:val="21"/>
                <w:highlight w:val="none"/>
                <w:lang w:val="en-US" w:eastAsia="zh-CN" w:bidi="ar-SA"/>
              </w:rPr>
              <w:t>不涉及</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40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97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rPr>
            </w:pPr>
            <w:r>
              <w:rPr>
                <w:spacing w:val="-4"/>
              </w:rPr>
              <w:t>临时道路</w:t>
            </w:r>
            <w:r>
              <w:rPr>
                <w:spacing w:val="-48"/>
              </w:rPr>
              <w:t xml:space="preserve"> </w:t>
            </w:r>
            <w:r>
              <w:rPr>
                <w:rFonts w:ascii="Times New Roman" w:hAnsi="Times New Roman" w:eastAsia="Times New Roman" w:cs="Times New Roman"/>
                <w:spacing w:val="-4"/>
              </w:rPr>
              <w:t>L2</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m</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200</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3"/>
              </w:rPr>
              <w:t>扩修</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eastAsia" w:ascii="Times New Roman" w:hAnsi="Times New Roman" w:eastAsia="宋体" w:cs="Times New Roman"/>
                <w:color w:val="0000FF"/>
                <w:kern w:val="2"/>
                <w:sz w:val="21"/>
                <w:szCs w:val="21"/>
                <w:highlight w:val="none"/>
                <w:lang w:val="en-US" w:eastAsia="zh-CN" w:bidi="ar-SA"/>
              </w:rPr>
              <w:t>全部</w:t>
            </w:r>
            <w:r>
              <w:rPr>
                <w:rFonts w:hint="default" w:ascii="Times New Roman" w:hAnsi="Times New Roman" w:eastAsia="宋体" w:cs="Times New Roman"/>
                <w:color w:val="0000FF"/>
                <w:kern w:val="2"/>
                <w:sz w:val="21"/>
                <w:szCs w:val="21"/>
                <w:highlight w:val="none"/>
                <w:lang w:val="en-US" w:eastAsia="zh-CN" w:bidi="ar-SA"/>
              </w:rPr>
              <w:t>占用基本农田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40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97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rPr>
            </w:pPr>
            <w:r>
              <w:rPr>
                <w:spacing w:val="-4"/>
              </w:rPr>
              <w:t>临时道路</w:t>
            </w:r>
            <w:r>
              <w:rPr>
                <w:spacing w:val="-48"/>
              </w:rPr>
              <w:t xml:space="preserve"> </w:t>
            </w:r>
            <w:r>
              <w:rPr>
                <w:rFonts w:ascii="Times New Roman" w:hAnsi="Times New Roman" w:eastAsia="Times New Roman" w:cs="Times New Roman"/>
                <w:spacing w:val="-4"/>
              </w:rPr>
              <w:t>L3</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m</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400</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3"/>
              </w:rPr>
              <w:t>扩修</w:t>
            </w:r>
          </w:p>
        </w:tc>
        <w:tc>
          <w:tcPr>
            <w:tcW w:w="72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eastAsia" w:ascii="Times New Roman" w:hAnsi="Times New Roman" w:eastAsia="宋体" w:cs="Times New Roman"/>
                <w:color w:val="0000FF"/>
                <w:kern w:val="2"/>
                <w:sz w:val="21"/>
                <w:szCs w:val="21"/>
                <w:highlight w:val="none"/>
                <w:lang w:val="en-US" w:eastAsia="zh-CN" w:bidi="ar-SA"/>
              </w:rPr>
              <w:t>不涉及</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40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4</w:t>
            </w:r>
          </w:p>
        </w:tc>
        <w:tc>
          <w:tcPr>
            <w:tcW w:w="97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rPr>
            </w:pPr>
            <w:r>
              <w:rPr>
                <w:spacing w:val="-4"/>
              </w:rPr>
              <w:t>临时道路</w:t>
            </w:r>
            <w:r>
              <w:rPr>
                <w:spacing w:val="-48"/>
              </w:rPr>
              <w:t xml:space="preserve"> </w:t>
            </w:r>
            <w:r>
              <w:rPr>
                <w:rFonts w:ascii="Times New Roman" w:hAnsi="Times New Roman" w:eastAsia="Times New Roman" w:cs="Times New Roman"/>
                <w:spacing w:val="-4"/>
              </w:rPr>
              <w:t>L4</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m</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200</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3"/>
              </w:rPr>
              <w:t>新修</w:t>
            </w:r>
          </w:p>
        </w:tc>
        <w:tc>
          <w:tcPr>
            <w:tcW w:w="72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eastAsia" w:ascii="Times New Roman" w:hAnsi="Times New Roman" w:eastAsia="宋体" w:cs="Times New Roman"/>
                <w:color w:val="0000FF"/>
                <w:kern w:val="2"/>
                <w:sz w:val="21"/>
                <w:szCs w:val="21"/>
                <w:highlight w:val="none"/>
                <w:lang w:val="en-US" w:eastAsia="zh-CN" w:bidi="ar-SA"/>
              </w:rPr>
              <w:t>不涉及</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40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5</w:t>
            </w:r>
          </w:p>
        </w:tc>
        <w:tc>
          <w:tcPr>
            <w:tcW w:w="97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rPr>
            </w:pPr>
            <w:r>
              <w:rPr>
                <w:spacing w:val="-4"/>
              </w:rPr>
              <w:t>临时道路</w:t>
            </w:r>
            <w:r>
              <w:rPr>
                <w:spacing w:val="-48"/>
              </w:rPr>
              <w:t xml:space="preserve"> </w:t>
            </w:r>
            <w:r>
              <w:rPr>
                <w:rFonts w:ascii="Times New Roman" w:hAnsi="Times New Roman" w:eastAsia="Times New Roman" w:cs="Times New Roman"/>
                <w:spacing w:val="-4"/>
              </w:rPr>
              <w:t>L5</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m</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9"/>
                <w:sz w:val="21"/>
                <w:szCs w:val="21"/>
              </w:rPr>
              <w:t>110</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3"/>
              </w:rPr>
              <w:t>新修</w:t>
            </w:r>
          </w:p>
        </w:tc>
        <w:tc>
          <w:tcPr>
            <w:tcW w:w="72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eastAsia" w:ascii="Times New Roman" w:hAnsi="Times New Roman" w:eastAsia="宋体" w:cs="Times New Roman"/>
                <w:color w:val="0000FF"/>
                <w:kern w:val="2"/>
                <w:sz w:val="21"/>
                <w:szCs w:val="21"/>
                <w:highlight w:val="none"/>
                <w:lang w:val="en-US" w:eastAsia="zh-CN" w:bidi="ar-SA"/>
              </w:rPr>
              <w:t>不涉及</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40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6</w:t>
            </w:r>
          </w:p>
        </w:tc>
        <w:tc>
          <w:tcPr>
            <w:tcW w:w="97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rPr>
            </w:pPr>
            <w:r>
              <w:rPr>
                <w:spacing w:val="-4"/>
              </w:rPr>
              <w:t>临时道路</w:t>
            </w:r>
            <w:r>
              <w:rPr>
                <w:spacing w:val="-47"/>
              </w:rPr>
              <w:t xml:space="preserve"> </w:t>
            </w:r>
            <w:r>
              <w:rPr>
                <w:rFonts w:ascii="Times New Roman" w:hAnsi="Times New Roman" w:eastAsia="Times New Roman" w:cs="Times New Roman"/>
                <w:spacing w:val="-4"/>
              </w:rPr>
              <w:t>L6</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m</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3500</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3"/>
              </w:rPr>
              <w:t>新修</w:t>
            </w:r>
          </w:p>
        </w:tc>
        <w:tc>
          <w:tcPr>
            <w:tcW w:w="72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eastAsia" w:ascii="Times New Roman" w:hAnsi="Times New Roman" w:eastAsia="宋体" w:cs="Times New Roman"/>
                <w:color w:val="0000FF"/>
                <w:kern w:val="2"/>
                <w:sz w:val="21"/>
                <w:szCs w:val="21"/>
                <w:highlight w:val="none"/>
                <w:lang w:val="en-US" w:eastAsia="zh-CN" w:bidi="ar-SA"/>
              </w:rPr>
              <w:t>不涉及</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40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7</w:t>
            </w:r>
          </w:p>
        </w:tc>
        <w:tc>
          <w:tcPr>
            <w:tcW w:w="97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rPr>
            </w:pPr>
            <w:r>
              <w:rPr>
                <w:spacing w:val="-4"/>
              </w:rPr>
              <w:t>临时道路</w:t>
            </w:r>
            <w:r>
              <w:rPr>
                <w:spacing w:val="-48"/>
              </w:rPr>
              <w:t xml:space="preserve"> </w:t>
            </w:r>
            <w:r>
              <w:rPr>
                <w:rFonts w:ascii="Times New Roman" w:hAnsi="Times New Roman" w:eastAsia="Times New Roman" w:cs="Times New Roman"/>
                <w:spacing w:val="-4"/>
              </w:rPr>
              <w:t>L7</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m</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500</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3"/>
              </w:rPr>
              <w:t>新修</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eastAsia="宋体" w:cs="Times New Roman"/>
                <w:color w:val="0000FF"/>
                <w:sz w:val="21"/>
                <w:szCs w:val="21"/>
                <w:highlight w:val="none"/>
                <w:lang w:val="en-US" w:eastAsia="zh-CN"/>
              </w:rPr>
              <w:t>不涉及</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 w:hRule="atLeast"/>
        </w:trPr>
        <w:tc>
          <w:tcPr>
            <w:tcW w:w="40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8</w:t>
            </w:r>
          </w:p>
        </w:tc>
        <w:tc>
          <w:tcPr>
            <w:tcW w:w="97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rPr>
            </w:pPr>
            <w:r>
              <w:rPr>
                <w:spacing w:val="-4"/>
              </w:rPr>
              <w:t>临时道路</w:t>
            </w:r>
            <w:r>
              <w:rPr>
                <w:spacing w:val="-47"/>
              </w:rPr>
              <w:t xml:space="preserve"> </w:t>
            </w:r>
            <w:r>
              <w:rPr>
                <w:rFonts w:ascii="Times New Roman" w:hAnsi="Times New Roman" w:eastAsia="Times New Roman" w:cs="Times New Roman"/>
                <w:spacing w:val="-4"/>
              </w:rPr>
              <w:t>L8</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m</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7"/>
                <w:sz w:val="21"/>
                <w:szCs w:val="21"/>
              </w:rPr>
              <w:t>1200</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3"/>
              </w:rPr>
              <w:t>扩修</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eastAsia="宋体" w:cs="Times New Roman"/>
                <w:color w:val="0000FF"/>
                <w:sz w:val="21"/>
                <w:szCs w:val="21"/>
                <w:highlight w:val="none"/>
                <w:lang w:val="en-US" w:eastAsia="zh-CN"/>
              </w:rPr>
              <w:t>860</w:t>
            </w:r>
            <w:r>
              <w:rPr>
                <w:rFonts w:hint="default" w:ascii="Times New Roman" w:hAnsi="Times New Roman" w:eastAsia="宋体" w:cs="Times New Roman"/>
                <w:color w:val="0000FF"/>
                <w:sz w:val="21"/>
                <w:szCs w:val="21"/>
                <w:highlight w:val="none"/>
                <w:lang w:val="en-US" w:eastAsia="zh-CN"/>
              </w:rPr>
              <w:t>占用基本农田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40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z w:val="21"/>
                <w:szCs w:val="21"/>
              </w:rPr>
              <w:t>9</w:t>
            </w:r>
          </w:p>
        </w:tc>
        <w:tc>
          <w:tcPr>
            <w:tcW w:w="97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rPr>
            </w:pPr>
            <w:r>
              <w:rPr>
                <w:spacing w:val="-4"/>
              </w:rPr>
              <w:t>临时道路</w:t>
            </w:r>
            <w:r>
              <w:rPr>
                <w:spacing w:val="-48"/>
              </w:rPr>
              <w:t xml:space="preserve"> </w:t>
            </w:r>
            <w:r>
              <w:rPr>
                <w:rFonts w:ascii="Times New Roman" w:hAnsi="Times New Roman" w:eastAsia="Times New Roman" w:cs="Times New Roman"/>
                <w:spacing w:val="-4"/>
              </w:rPr>
              <w:t>L9</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m</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720</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3"/>
              </w:rPr>
              <w:t>扩修</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eastAsia="宋体" w:cs="Times New Roman"/>
                <w:color w:val="0000FF"/>
                <w:sz w:val="21"/>
                <w:szCs w:val="21"/>
                <w:highlight w:val="none"/>
                <w:lang w:val="en-US" w:eastAsia="zh-CN"/>
              </w:rPr>
              <w:t>180</w:t>
            </w:r>
            <w:r>
              <w:rPr>
                <w:rFonts w:hint="default" w:ascii="Times New Roman" w:hAnsi="Times New Roman" w:eastAsia="宋体" w:cs="Times New Roman"/>
                <w:color w:val="0000FF"/>
                <w:sz w:val="21"/>
                <w:szCs w:val="21"/>
                <w:highlight w:val="none"/>
                <w:lang w:val="en-US" w:eastAsia="zh-CN"/>
              </w:rPr>
              <w:t>占用基本农田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40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10</w:t>
            </w:r>
          </w:p>
        </w:tc>
        <w:tc>
          <w:tcPr>
            <w:tcW w:w="97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rPr>
            </w:pPr>
            <w:r>
              <w:rPr>
                <w:spacing w:val="-4"/>
              </w:rPr>
              <w:t>临时道路</w:t>
            </w:r>
            <w:r>
              <w:rPr>
                <w:spacing w:val="-45"/>
              </w:rPr>
              <w:t xml:space="preserve"> </w:t>
            </w:r>
            <w:r>
              <w:rPr>
                <w:rFonts w:ascii="Times New Roman" w:hAnsi="Times New Roman" w:eastAsia="Times New Roman" w:cs="Times New Roman"/>
                <w:spacing w:val="-4"/>
              </w:rPr>
              <w:t>L10</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m</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900</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3"/>
              </w:rPr>
              <w:t>扩修</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190m占用基本农田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40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11</w:t>
            </w:r>
          </w:p>
        </w:tc>
        <w:tc>
          <w:tcPr>
            <w:tcW w:w="97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rPr>
            </w:pPr>
            <w:r>
              <w:rPr>
                <w:spacing w:val="-4"/>
              </w:rPr>
              <w:t>临时道路</w:t>
            </w:r>
            <w:r>
              <w:rPr>
                <w:spacing w:val="-45"/>
              </w:rPr>
              <w:t xml:space="preserve"> </w:t>
            </w:r>
            <w:r>
              <w:rPr>
                <w:rFonts w:ascii="Times New Roman" w:hAnsi="Times New Roman" w:eastAsia="Times New Roman" w:cs="Times New Roman"/>
                <w:spacing w:val="-4"/>
              </w:rPr>
              <w:t>L11</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position w:val="-1"/>
                <w:sz w:val="21"/>
                <w:szCs w:val="21"/>
              </w:rPr>
              <w:t>m</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200</w:t>
            </w:r>
          </w:p>
        </w:tc>
        <w:tc>
          <w:tcPr>
            <w:tcW w:w="72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4.5</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pPr>
            <w:r>
              <w:rPr>
                <w:spacing w:val="-3"/>
              </w:rPr>
              <w:t>扩修</w:t>
            </w:r>
          </w:p>
        </w:tc>
        <w:tc>
          <w:tcPr>
            <w:tcW w:w="726"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约59m占用基本农田</w:t>
            </w:r>
          </w:p>
        </w:tc>
      </w:tr>
    </w:tbl>
    <w:p>
      <w:pPr>
        <w:spacing w:line="74" w:lineRule="exact"/>
        <w:rPr>
          <w:color w:val="auto"/>
          <w:highlight w:val="none"/>
        </w:rPr>
      </w:pPr>
    </w:p>
    <w:p>
      <w:pPr>
        <w:pStyle w:val="4"/>
        <w:numPr>
          <w:ilvl w:val="2"/>
          <w:numId w:val="1"/>
        </w:numPr>
        <w:bidi w:val="0"/>
        <w:rPr>
          <w:rFonts w:hint="eastAsia"/>
          <w:color w:val="auto"/>
          <w:highlight w:val="none"/>
          <w:lang w:val="en-US" w:eastAsia="zh-CN"/>
        </w:rPr>
      </w:pPr>
      <w:bookmarkStart w:id="386" w:name="_Toc14236"/>
      <w:bookmarkStart w:id="387" w:name="_Toc22251"/>
      <w:bookmarkStart w:id="388" w:name="_Toc3911"/>
      <w:r>
        <w:rPr>
          <w:rFonts w:hint="eastAsia"/>
          <w:color w:val="auto"/>
          <w:highlight w:val="none"/>
          <w:lang w:val="en-US" w:eastAsia="zh-CN"/>
        </w:rPr>
        <w:t>施工“三场</w:t>
      </w:r>
      <w:bookmarkEnd w:id="386"/>
      <w:bookmarkEnd w:id="387"/>
      <w:bookmarkEnd w:id="388"/>
      <w:r>
        <w:rPr>
          <w:rFonts w:hint="eastAsia"/>
          <w:color w:val="auto"/>
          <w:highlight w:val="none"/>
          <w:lang w:val="en-US" w:eastAsia="zh-CN"/>
        </w:rPr>
        <w:t>”</w:t>
      </w:r>
    </w:p>
    <w:p>
      <w:pPr>
        <w:pStyle w:val="5"/>
        <w:numPr>
          <w:ilvl w:val="3"/>
          <w:numId w:val="12"/>
        </w:numPr>
        <w:bidi w:val="0"/>
        <w:ind w:left="480" w:leftChars="0" w:firstLineChars="0"/>
        <w:rPr>
          <w:rFonts w:hint="eastAsia"/>
          <w:color w:val="auto"/>
          <w:lang w:val="en-US" w:eastAsia="zh-CN"/>
        </w:rPr>
      </w:pPr>
      <w:r>
        <w:rPr>
          <w:rFonts w:hint="eastAsia"/>
          <w:color w:val="auto"/>
          <w:lang w:val="en-US" w:eastAsia="zh-CN"/>
        </w:rPr>
        <w:t>料场的选择与开采</w:t>
      </w:r>
    </w:p>
    <w:p>
      <w:pPr>
        <w:bidi w:val="0"/>
        <w:ind w:firstLine="480" w:firstLineChars="200"/>
        <w:rPr>
          <w:rFonts w:hint="eastAsia"/>
          <w:color w:val="auto"/>
          <w:highlight w:val="yellow"/>
          <w:lang w:val="en-US" w:eastAsia="zh-CN"/>
        </w:rPr>
      </w:pPr>
      <w:r>
        <w:rPr>
          <w:rFonts w:hint="default"/>
          <w:color w:val="auto"/>
          <w:highlight w:val="none"/>
          <w:lang w:val="en-US" w:eastAsia="zh-CN"/>
        </w:rPr>
        <w:t>工程区附近砂</w:t>
      </w:r>
      <w:r>
        <w:rPr>
          <w:rFonts w:hint="eastAsia"/>
          <w:color w:val="auto"/>
          <w:highlight w:val="none"/>
          <w:lang w:val="en-US" w:eastAsia="zh-CN"/>
        </w:rPr>
        <w:t>石</w:t>
      </w:r>
      <w:r>
        <w:rPr>
          <w:rFonts w:hint="default"/>
          <w:color w:val="auto"/>
          <w:highlight w:val="none"/>
          <w:lang w:val="en-US" w:eastAsia="zh-CN"/>
        </w:rPr>
        <w:t>料缺乏，</w:t>
      </w:r>
      <w:r>
        <w:rPr>
          <w:rFonts w:hint="eastAsia"/>
          <w:color w:val="auto"/>
          <w:highlight w:val="none"/>
          <w:lang w:val="en-US" w:eastAsia="zh-CN"/>
        </w:rPr>
        <w:t>施工</w:t>
      </w:r>
      <w:r>
        <w:rPr>
          <w:rFonts w:hint="default"/>
          <w:color w:val="auto"/>
          <w:highlight w:val="none"/>
          <w:lang w:val="en-US" w:eastAsia="zh-CN"/>
        </w:rPr>
        <w:t>砂</w:t>
      </w:r>
      <w:r>
        <w:rPr>
          <w:rFonts w:hint="eastAsia"/>
          <w:color w:val="auto"/>
          <w:highlight w:val="none"/>
          <w:lang w:val="en-US" w:eastAsia="zh-CN"/>
        </w:rPr>
        <w:t>石料</w:t>
      </w:r>
      <w:r>
        <w:rPr>
          <w:rFonts w:hint="default"/>
          <w:color w:val="auto"/>
          <w:highlight w:val="none"/>
          <w:lang w:val="en-US" w:eastAsia="zh-CN"/>
        </w:rPr>
        <w:t>均需外购。经勘察，本工程所需砂料可至元谋县鑫坤砂料场购买灰岩机制砂</w:t>
      </w:r>
      <w:r>
        <w:rPr>
          <w:rFonts w:hint="eastAsia"/>
          <w:color w:val="auto"/>
          <w:highlight w:val="none"/>
          <w:lang w:val="en-US" w:eastAsia="zh-CN"/>
        </w:rPr>
        <w:t>，</w:t>
      </w:r>
      <w:r>
        <w:rPr>
          <w:rFonts w:hint="default"/>
          <w:color w:val="auto"/>
          <w:highlight w:val="none"/>
          <w:lang w:val="en-US" w:eastAsia="zh-CN"/>
        </w:rPr>
        <w:t>外购石料场选择物茂乡大黑山石料场。工程不设置砂石料加工系统。本项目施工期</w:t>
      </w:r>
      <w:r>
        <w:rPr>
          <w:rFonts w:hint="eastAsia"/>
          <w:color w:val="auto"/>
          <w:highlight w:val="none"/>
          <w:lang w:val="en-US" w:eastAsia="zh-CN"/>
        </w:rPr>
        <w:t>不设置混凝土拌合站</w:t>
      </w:r>
      <w:r>
        <w:rPr>
          <w:rFonts w:hint="eastAsia"/>
          <w:color w:val="auto"/>
          <w:highlight w:val="none"/>
          <w:shd w:val="clear"/>
          <w:lang w:val="en-US" w:eastAsia="zh-CN"/>
        </w:rPr>
        <w:t>，考虑在每个施工生产生活区各设置1台0.5m³的</w:t>
      </w:r>
      <w:r>
        <w:rPr>
          <w:rFonts w:hint="default"/>
          <w:color w:val="auto"/>
          <w:highlight w:val="none"/>
          <w:shd w:val="clear"/>
          <w:lang w:val="en-US" w:eastAsia="zh-CN"/>
        </w:rPr>
        <w:t>移动式混凝土搅拌</w:t>
      </w:r>
      <w:r>
        <w:rPr>
          <w:rFonts w:hint="eastAsia"/>
          <w:color w:val="auto"/>
          <w:highlight w:val="none"/>
          <w:shd w:val="clear"/>
          <w:lang w:val="en-US" w:eastAsia="zh-CN"/>
        </w:rPr>
        <w:t>机，共设置2台。</w:t>
      </w:r>
    </w:p>
    <w:p>
      <w:pPr>
        <w:bidi w:val="0"/>
        <w:ind w:firstLine="480" w:firstLineChars="200"/>
        <w:rPr>
          <w:rFonts w:hint="default"/>
          <w:color w:val="auto"/>
          <w:highlight w:val="none"/>
          <w:lang w:val="en-US" w:eastAsia="zh-CN"/>
        </w:rPr>
      </w:pPr>
      <w:r>
        <w:rPr>
          <w:rFonts w:hint="default"/>
          <w:color w:val="auto"/>
          <w:highlight w:val="none"/>
          <w:lang w:val="en-US" w:eastAsia="zh-CN"/>
        </w:rPr>
        <w:t>料场至各条管线运距统计见下表：</w:t>
      </w:r>
    </w:p>
    <w:p>
      <w:pPr>
        <w:pStyle w:val="40"/>
        <w:bidi w:val="0"/>
        <w:rPr>
          <w:rFonts w:hint="eastAsia"/>
          <w:b/>
          <w:bCs w:val="0"/>
          <w:color w:val="auto"/>
          <w:highlight w:val="none"/>
          <w:lang w:val="en-US" w:eastAsia="zh-CN"/>
        </w:rPr>
      </w:pPr>
      <w:r>
        <w:rPr>
          <w:rFonts w:hint="eastAsia"/>
          <w:b/>
          <w:bCs w:val="0"/>
          <w:color w:val="auto"/>
          <w:highlight w:val="none"/>
          <w:lang w:val="en-US" w:eastAsia="zh-CN"/>
        </w:rPr>
        <w:t>表 2.8.2-1   天然建材运距统计表</w:t>
      </w:r>
    </w:p>
    <w:tbl>
      <w:tblPr>
        <w:tblStyle w:val="57"/>
        <w:tblW w:w="499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65"/>
        <w:gridCol w:w="3144"/>
        <w:gridCol w:w="1428"/>
        <w:gridCol w:w="1428"/>
        <w:gridCol w:w="143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jc w:val="center"/>
        </w:trPr>
        <w:tc>
          <w:tcPr>
            <w:tcW w:w="521" w:type="pct"/>
            <w:vMerge w:val="restart"/>
            <w:tcBorders>
              <w:bottom w:val="nil"/>
            </w:tcBorders>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r>
              <w:rPr>
                <w:color w:val="auto"/>
                <w:spacing w:val="-2"/>
              </w:rPr>
              <w:t>序号</w:t>
            </w:r>
          </w:p>
        </w:tc>
        <w:tc>
          <w:tcPr>
            <w:tcW w:w="1893" w:type="pct"/>
            <w:vMerge w:val="restart"/>
            <w:tcBorders>
              <w:bottom w:val="nil"/>
            </w:tcBorders>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r>
              <w:rPr>
                <w:color w:val="auto"/>
                <w:spacing w:val="-3"/>
              </w:rPr>
              <w:t>线路</w:t>
            </w:r>
          </w:p>
        </w:tc>
        <w:tc>
          <w:tcPr>
            <w:tcW w:w="2585" w:type="pct"/>
            <w:gridSpan w:val="3"/>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r>
              <w:rPr>
                <w:color w:val="auto"/>
                <w:spacing w:val="-1"/>
              </w:rPr>
              <w:t>平均运距（</w:t>
            </w:r>
            <w:r>
              <w:rPr>
                <w:rFonts w:ascii="Times New Roman" w:hAnsi="Times New Roman" w:eastAsia="Times New Roman" w:cs="Times New Roman"/>
                <w:color w:val="auto"/>
                <w:spacing w:val="-1"/>
              </w:rPr>
              <w:t>km</w:t>
            </w:r>
            <w:r>
              <w:rPr>
                <w:color w:val="auto"/>
                <w:spacing w:val="-1"/>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jc w:val="center"/>
        </w:trPr>
        <w:tc>
          <w:tcPr>
            <w:tcW w:w="521"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Arial"/>
                <w:color w:val="auto"/>
                <w:sz w:val="21"/>
              </w:rPr>
            </w:pPr>
          </w:p>
        </w:tc>
        <w:tc>
          <w:tcPr>
            <w:tcW w:w="1893"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Arial"/>
                <w:color w:val="auto"/>
                <w:sz w:val="21"/>
              </w:rPr>
            </w:pPr>
          </w:p>
        </w:tc>
        <w:tc>
          <w:tcPr>
            <w:tcW w:w="860"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r>
              <w:rPr>
                <w:color w:val="auto"/>
                <w:spacing w:val="-2"/>
              </w:rPr>
              <w:t>大黑山石料场</w:t>
            </w:r>
            <w:r>
              <w:rPr>
                <w:color w:val="auto"/>
                <w:spacing w:val="-5"/>
              </w:rPr>
              <w:t>（块石料）</w:t>
            </w:r>
          </w:p>
        </w:tc>
        <w:tc>
          <w:tcPr>
            <w:tcW w:w="860"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r>
              <w:rPr>
                <w:color w:val="auto"/>
                <w:spacing w:val="-2"/>
              </w:rPr>
              <w:t>大黑山石料场</w:t>
            </w:r>
            <w:r>
              <w:rPr>
                <w:color w:val="auto"/>
                <w:spacing w:val="-5"/>
              </w:rPr>
              <w:t>（碎石料）</w:t>
            </w:r>
          </w:p>
        </w:tc>
        <w:tc>
          <w:tcPr>
            <w:tcW w:w="864"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r>
              <w:rPr>
                <w:color w:val="auto"/>
                <w:spacing w:val="-2"/>
              </w:rPr>
              <w:t>鑫坤砂料场</w:t>
            </w:r>
            <w:r>
              <w:rPr>
                <w:color w:val="auto"/>
                <w:spacing w:val="-6"/>
              </w:rPr>
              <w:t>（砂料）</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52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1</w:t>
            </w:r>
          </w:p>
        </w:tc>
        <w:tc>
          <w:tcPr>
            <w:tcW w:w="1893"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r>
              <w:rPr>
                <w:color w:val="auto"/>
                <w:spacing w:val="-3"/>
              </w:rPr>
              <w:t>北干管</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65</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65</w:t>
            </w:r>
          </w:p>
        </w:tc>
        <w:tc>
          <w:tcPr>
            <w:tcW w:w="86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86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jc w:val="center"/>
        </w:trPr>
        <w:tc>
          <w:tcPr>
            <w:tcW w:w="52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2</w:t>
            </w:r>
          </w:p>
        </w:tc>
        <w:tc>
          <w:tcPr>
            <w:tcW w:w="1893"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r>
              <w:rPr>
                <w:color w:val="auto"/>
                <w:spacing w:val="-1"/>
              </w:rPr>
              <w:t>平坦泵站提水管道</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56</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56</w:t>
            </w:r>
          </w:p>
        </w:tc>
        <w:tc>
          <w:tcPr>
            <w:tcW w:w="86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78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jc w:val="center"/>
        </w:trPr>
        <w:tc>
          <w:tcPr>
            <w:tcW w:w="52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3</w:t>
            </w:r>
          </w:p>
        </w:tc>
        <w:tc>
          <w:tcPr>
            <w:tcW w:w="1893"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r>
              <w:rPr>
                <w:color w:val="auto"/>
                <w:spacing w:val="-6"/>
              </w:rPr>
              <w:t>白秧树</w:t>
            </w:r>
            <w:r>
              <w:rPr>
                <w:rFonts w:ascii="Times New Roman" w:hAnsi="Times New Roman" w:eastAsia="Times New Roman" w:cs="Times New Roman"/>
                <w:color w:val="auto"/>
                <w:spacing w:val="-6"/>
              </w:rPr>
              <w:t>1#</w:t>
            </w:r>
            <w:r>
              <w:rPr>
                <w:color w:val="auto"/>
                <w:spacing w:val="-6"/>
              </w:rPr>
              <w:t>泵站提水管道</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63</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63</w:t>
            </w:r>
          </w:p>
        </w:tc>
        <w:tc>
          <w:tcPr>
            <w:tcW w:w="86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85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52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4</w:t>
            </w:r>
          </w:p>
        </w:tc>
        <w:tc>
          <w:tcPr>
            <w:tcW w:w="1893"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r>
              <w:rPr>
                <w:color w:val="auto"/>
                <w:spacing w:val="-4"/>
              </w:rPr>
              <w:t>白秧树</w:t>
            </w:r>
            <w:r>
              <w:rPr>
                <w:rFonts w:ascii="Times New Roman" w:hAnsi="Times New Roman" w:eastAsia="Times New Roman" w:cs="Times New Roman"/>
                <w:color w:val="auto"/>
                <w:spacing w:val="-4"/>
              </w:rPr>
              <w:t>2#</w:t>
            </w:r>
            <w:r>
              <w:rPr>
                <w:color w:val="auto"/>
                <w:spacing w:val="-4"/>
              </w:rPr>
              <w:t>泵站提水管道</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64</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64</w:t>
            </w:r>
          </w:p>
        </w:tc>
        <w:tc>
          <w:tcPr>
            <w:tcW w:w="86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86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52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5</w:t>
            </w:r>
          </w:p>
        </w:tc>
        <w:tc>
          <w:tcPr>
            <w:tcW w:w="1893"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r>
              <w:rPr>
                <w:color w:val="auto"/>
                <w:spacing w:val="-2"/>
              </w:rPr>
              <w:t>金马片输水分干管</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62</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62</w:t>
            </w:r>
          </w:p>
        </w:tc>
        <w:tc>
          <w:tcPr>
            <w:tcW w:w="86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75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jc w:val="center"/>
        </w:trPr>
        <w:tc>
          <w:tcPr>
            <w:tcW w:w="52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6</w:t>
            </w:r>
          </w:p>
        </w:tc>
        <w:tc>
          <w:tcPr>
            <w:tcW w:w="1893"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r>
              <w:rPr>
                <w:color w:val="auto"/>
                <w:spacing w:val="-6"/>
              </w:rPr>
              <w:t>金马</w:t>
            </w:r>
            <w:r>
              <w:rPr>
                <w:rFonts w:ascii="Times New Roman" w:hAnsi="Times New Roman" w:eastAsia="Times New Roman" w:cs="Times New Roman"/>
                <w:color w:val="auto"/>
                <w:spacing w:val="-6"/>
              </w:rPr>
              <w:t>1#</w:t>
            </w:r>
            <w:r>
              <w:rPr>
                <w:color w:val="auto"/>
                <w:spacing w:val="-6"/>
              </w:rPr>
              <w:t>支管</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41</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41</w:t>
            </w:r>
          </w:p>
        </w:tc>
        <w:tc>
          <w:tcPr>
            <w:tcW w:w="86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63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52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7</w:t>
            </w:r>
          </w:p>
        </w:tc>
        <w:tc>
          <w:tcPr>
            <w:tcW w:w="1893"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r>
              <w:rPr>
                <w:color w:val="auto"/>
                <w:spacing w:val="-3"/>
              </w:rPr>
              <w:t>金马</w:t>
            </w:r>
            <w:r>
              <w:rPr>
                <w:rFonts w:ascii="Times New Roman" w:hAnsi="Times New Roman" w:eastAsia="Times New Roman" w:cs="Times New Roman"/>
                <w:color w:val="auto"/>
                <w:spacing w:val="-3"/>
              </w:rPr>
              <w:t>2#</w:t>
            </w:r>
            <w:r>
              <w:rPr>
                <w:color w:val="auto"/>
                <w:spacing w:val="-3"/>
              </w:rPr>
              <w:t>支管</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45</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45</w:t>
            </w:r>
          </w:p>
        </w:tc>
        <w:tc>
          <w:tcPr>
            <w:tcW w:w="86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66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jc w:val="center"/>
        </w:trPr>
        <w:tc>
          <w:tcPr>
            <w:tcW w:w="52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8</w:t>
            </w:r>
          </w:p>
        </w:tc>
        <w:tc>
          <w:tcPr>
            <w:tcW w:w="1893"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r>
              <w:rPr>
                <w:color w:val="auto"/>
                <w:spacing w:val="-3"/>
              </w:rPr>
              <w:t>金马</w:t>
            </w:r>
            <w:r>
              <w:rPr>
                <w:rFonts w:ascii="Times New Roman" w:hAnsi="Times New Roman" w:eastAsia="Times New Roman" w:cs="Times New Roman"/>
                <w:color w:val="auto"/>
                <w:spacing w:val="-3"/>
              </w:rPr>
              <w:t>3#</w:t>
            </w:r>
            <w:r>
              <w:rPr>
                <w:color w:val="auto"/>
                <w:spacing w:val="-3"/>
              </w:rPr>
              <w:t>支管</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62</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62</w:t>
            </w:r>
          </w:p>
        </w:tc>
        <w:tc>
          <w:tcPr>
            <w:tcW w:w="86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85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jc w:val="center"/>
        </w:trPr>
        <w:tc>
          <w:tcPr>
            <w:tcW w:w="52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9</w:t>
            </w:r>
          </w:p>
        </w:tc>
        <w:tc>
          <w:tcPr>
            <w:tcW w:w="1893"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r>
              <w:rPr>
                <w:color w:val="auto"/>
                <w:spacing w:val="-3"/>
              </w:rPr>
              <w:t>金马</w:t>
            </w:r>
            <w:r>
              <w:rPr>
                <w:color w:val="auto"/>
                <w:spacing w:val="-44"/>
              </w:rPr>
              <w:t xml:space="preserve"> </w:t>
            </w:r>
            <w:r>
              <w:rPr>
                <w:rFonts w:ascii="Times New Roman" w:hAnsi="Times New Roman" w:eastAsia="Times New Roman" w:cs="Times New Roman"/>
                <w:color w:val="auto"/>
                <w:spacing w:val="-3"/>
              </w:rPr>
              <w:t>4#</w:t>
            </w:r>
            <w:r>
              <w:rPr>
                <w:color w:val="auto"/>
                <w:spacing w:val="-3"/>
              </w:rPr>
              <w:t>支管</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65</w:t>
            </w:r>
          </w:p>
        </w:tc>
        <w:tc>
          <w:tcPr>
            <w:tcW w:w="86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65</w:t>
            </w:r>
          </w:p>
        </w:tc>
        <w:tc>
          <w:tcPr>
            <w:tcW w:w="86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85</w:t>
            </w:r>
          </w:p>
        </w:tc>
      </w:tr>
    </w:tbl>
    <w:p>
      <w:pPr>
        <w:pStyle w:val="5"/>
        <w:numPr>
          <w:ilvl w:val="3"/>
          <w:numId w:val="1"/>
        </w:numPr>
        <w:bidi w:val="0"/>
        <w:ind w:left="480" w:leftChars="0" w:firstLineChars="0"/>
        <w:rPr>
          <w:rFonts w:hint="eastAsia"/>
          <w:color w:val="auto"/>
          <w:lang w:val="en-US" w:eastAsia="zh-CN"/>
        </w:rPr>
      </w:pPr>
      <w:r>
        <w:rPr>
          <w:rFonts w:hint="eastAsia"/>
          <w:color w:val="auto"/>
          <w:lang w:val="en-US" w:eastAsia="zh-CN"/>
        </w:rPr>
        <w:t>弃渣场</w:t>
      </w:r>
    </w:p>
    <w:p>
      <w:pPr>
        <w:bidi w:val="0"/>
        <w:ind w:firstLine="480" w:firstLineChars="200"/>
        <w:rPr>
          <w:rFonts w:hint="default"/>
          <w:color w:val="0000FF"/>
          <w:highlight w:val="none"/>
          <w:lang w:val="en-US" w:eastAsia="zh-CN"/>
        </w:rPr>
      </w:pPr>
      <w:r>
        <w:rPr>
          <w:rFonts w:hint="eastAsia"/>
          <w:color w:val="0000FF"/>
          <w:highlight w:val="none"/>
          <w:lang w:val="en-US" w:eastAsia="zh-CN"/>
        </w:rPr>
        <w:t>本项目在管首调节池北侧月2.2km处贡茶公路旁沟道中设置1个弃渣场。弃渣场设计容量6.07万m³。设计堆渣量5.61万m³，最大堆渣高度17m。在整个施工期间共开挖土石方35.56万m³，回填土石方31.07万m³，产生弃渣4.49万m³，弃渣场可满足堆渣要求。</w:t>
      </w:r>
    </w:p>
    <w:p>
      <w:pPr>
        <w:bidi w:val="0"/>
        <w:ind w:firstLine="480" w:firstLineChars="200"/>
        <w:rPr>
          <w:rFonts w:hint="eastAsia"/>
          <w:color w:val="auto"/>
          <w:highlight w:val="none"/>
          <w:lang w:val="en-US" w:eastAsia="zh-CN"/>
        </w:rPr>
      </w:pPr>
      <w:r>
        <w:rPr>
          <w:rFonts w:hint="eastAsia"/>
          <w:color w:val="auto"/>
          <w:highlight w:val="none"/>
          <w:lang w:val="en-US" w:eastAsia="zh-CN"/>
        </w:rPr>
        <w:t>本项目弃渣场布置特性详见表2.8.3-2。</w:t>
      </w:r>
    </w:p>
    <w:p>
      <w:pPr>
        <w:pStyle w:val="40"/>
        <w:bidi w:val="0"/>
        <w:rPr>
          <w:color w:val="auto"/>
          <w:highlight w:val="none"/>
        </w:rPr>
      </w:pPr>
      <w:r>
        <w:rPr>
          <w:rFonts w:hint="eastAsia"/>
          <w:color w:val="auto"/>
          <w:highlight w:val="none"/>
          <w:lang w:eastAsia="zh-CN"/>
        </w:rPr>
        <w:t>表</w:t>
      </w:r>
      <w:r>
        <w:rPr>
          <w:rFonts w:hint="eastAsia"/>
          <w:color w:val="auto"/>
          <w:highlight w:val="none"/>
          <w:lang w:val="en-US" w:eastAsia="zh-CN"/>
        </w:rPr>
        <w:t xml:space="preserve">2.8.2-2  </w:t>
      </w:r>
      <w:r>
        <w:rPr>
          <w:color w:val="auto"/>
          <w:highlight w:val="none"/>
        </w:rPr>
        <w:t>弃渣场特性表</w:t>
      </w:r>
    </w:p>
    <w:tbl>
      <w:tblPr>
        <w:tblStyle w:val="5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69"/>
        <w:gridCol w:w="480"/>
        <w:gridCol w:w="554"/>
        <w:gridCol w:w="554"/>
        <w:gridCol w:w="381"/>
        <w:gridCol w:w="725"/>
        <w:gridCol w:w="894"/>
        <w:gridCol w:w="630"/>
        <w:gridCol w:w="731"/>
        <w:gridCol w:w="718"/>
        <w:gridCol w:w="592"/>
        <w:gridCol w:w="6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2" w:hRule="atLeast"/>
          <w:jc w:val="center"/>
        </w:trPr>
        <w:tc>
          <w:tcPr>
            <w:tcW w:w="824"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位置</w:t>
            </w:r>
          </w:p>
        </w:tc>
        <w:tc>
          <w:tcPr>
            <w:tcW w:w="289"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渣场类型</w:t>
            </w:r>
          </w:p>
        </w:tc>
        <w:tc>
          <w:tcPr>
            <w:tcW w:w="33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体"/>
                <w:color w:val="auto"/>
                <w:highlight w:val="none"/>
                <w:lang w:val="en-US" w:eastAsia="zh-CN"/>
              </w:rPr>
            </w:pPr>
            <w:r>
              <w:rPr>
                <w:rFonts w:hint="eastAsia"/>
                <w:color w:val="auto"/>
                <w:highlight w:val="none"/>
                <w:lang w:val="en-US" w:eastAsia="zh-CN"/>
              </w:rPr>
              <w:t>弃渣场级别</w:t>
            </w:r>
          </w:p>
        </w:tc>
        <w:tc>
          <w:tcPr>
            <w:tcW w:w="33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占地</w:t>
            </w:r>
          </w:p>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(hm</w:t>
            </w:r>
            <w:r>
              <w:rPr>
                <w:color w:val="auto"/>
                <w:highlight w:val="none"/>
                <w:vertAlign w:val="superscript"/>
              </w:rPr>
              <w:t>2</w:t>
            </w:r>
            <w:r>
              <w:rPr>
                <w:color w:val="auto"/>
                <w:highlight w:val="none"/>
              </w:rPr>
              <w:t>)</w:t>
            </w:r>
          </w:p>
        </w:tc>
        <w:tc>
          <w:tcPr>
            <w:tcW w:w="229"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占地</w:t>
            </w:r>
          </w:p>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类型</w:t>
            </w:r>
          </w:p>
        </w:tc>
        <w:tc>
          <w:tcPr>
            <w:tcW w:w="436"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0000FF"/>
                <w:highlight w:val="none"/>
              </w:rPr>
            </w:pPr>
            <w:r>
              <w:rPr>
                <w:rFonts w:hint="eastAsia"/>
                <w:color w:val="0000FF"/>
                <w:highlight w:val="none"/>
                <w:lang w:val="en-US" w:eastAsia="zh-CN"/>
              </w:rPr>
              <w:t>设计容量</w:t>
            </w:r>
            <w:r>
              <w:rPr>
                <w:color w:val="0000FF"/>
                <w:highlight w:val="none"/>
              </w:rPr>
              <w:t>(万m</w:t>
            </w:r>
            <w:r>
              <w:rPr>
                <w:color w:val="0000FF"/>
                <w:highlight w:val="none"/>
                <w:vertAlign w:val="superscript"/>
              </w:rPr>
              <w:t>3</w:t>
            </w:r>
            <w:r>
              <w:rPr>
                <w:color w:val="0000FF"/>
                <w:highlight w:val="none"/>
              </w:rPr>
              <w:t>)</w:t>
            </w:r>
          </w:p>
        </w:tc>
        <w:tc>
          <w:tcPr>
            <w:tcW w:w="538"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0000FF"/>
                <w:highlight w:val="none"/>
              </w:rPr>
            </w:pPr>
            <w:r>
              <w:rPr>
                <w:rFonts w:hint="eastAsia"/>
                <w:color w:val="0000FF"/>
                <w:highlight w:val="none"/>
                <w:lang w:val="en-US" w:eastAsia="zh-CN"/>
              </w:rPr>
              <w:t>设计堆渣量</w:t>
            </w:r>
            <w:r>
              <w:rPr>
                <w:color w:val="0000FF"/>
                <w:highlight w:val="none"/>
              </w:rPr>
              <w:t>(</w:t>
            </w:r>
          </w:p>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0000FF"/>
                <w:highlight w:val="none"/>
              </w:rPr>
            </w:pPr>
            <w:r>
              <w:rPr>
                <w:color w:val="0000FF"/>
                <w:highlight w:val="none"/>
              </w:rPr>
              <w:t>万m</w:t>
            </w:r>
            <w:r>
              <w:rPr>
                <w:color w:val="0000FF"/>
                <w:highlight w:val="none"/>
                <w:vertAlign w:val="superscript"/>
              </w:rPr>
              <w:t>3</w:t>
            </w:r>
            <w:r>
              <w:rPr>
                <w:color w:val="0000FF"/>
                <w:highlight w:val="none"/>
              </w:rPr>
              <w:t>)</w:t>
            </w:r>
          </w:p>
        </w:tc>
        <w:tc>
          <w:tcPr>
            <w:tcW w:w="379"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挡墙高度</w:t>
            </w:r>
          </w:p>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(m)</w:t>
            </w:r>
          </w:p>
        </w:tc>
        <w:tc>
          <w:tcPr>
            <w:tcW w:w="440"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堆渣范围</w:t>
            </w:r>
          </w:p>
        </w:tc>
        <w:tc>
          <w:tcPr>
            <w:tcW w:w="432"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堆渣坡比</w:t>
            </w:r>
          </w:p>
        </w:tc>
        <w:tc>
          <w:tcPr>
            <w:tcW w:w="356"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0000FF"/>
                <w:highlight w:val="none"/>
              </w:rPr>
            </w:pPr>
            <w:r>
              <w:rPr>
                <w:rFonts w:hint="eastAsia"/>
                <w:color w:val="0000FF"/>
                <w:highlight w:val="none"/>
                <w:lang w:val="en-US" w:eastAsia="zh-CN"/>
              </w:rPr>
              <w:t>最大</w:t>
            </w:r>
            <w:r>
              <w:rPr>
                <w:color w:val="0000FF"/>
                <w:highlight w:val="none"/>
              </w:rPr>
              <w:t>堆渣高度</w:t>
            </w:r>
          </w:p>
        </w:tc>
        <w:tc>
          <w:tcPr>
            <w:tcW w:w="406"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弃渣来源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96" w:hRule="atLeast"/>
          <w:jc w:val="center"/>
        </w:trPr>
        <w:tc>
          <w:tcPr>
            <w:tcW w:w="824"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rFonts w:hint="eastAsia"/>
                <w:color w:val="auto"/>
                <w:highlight w:val="none"/>
                <w:lang w:val="en-US" w:eastAsia="zh-CN"/>
              </w:rPr>
              <w:t>k</w:t>
            </w:r>
            <w:r>
              <w:rPr>
                <w:color w:val="auto"/>
                <w:highlight w:val="none"/>
              </w:rPr>
              <w:t>0+100.00-</w:t>
            </w:r>
          </w:p>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rFonts w:hint="eastAsia"/>
                <w:color w:val="auto"/>
                <w:highlight w:val="none"/>
                <w:lang w:val="en-US" w:eastAsia="zh-CN"/>
              </w:rPr>
              <w:t>k</w:t>
            </w:r>
            <w:r>
              <w:rPr>
                <w:color w:val="auto"/>
                <w:highlight w:val="none"/>
              </w:rPr>
              <w:t>0+350箐</w:t>
            </w:r>
          </w:p>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沟内</w:t>
            </w:r>
          </w:p>
        </w:tc>
        <w:tc>
          <w:tcPr>
            <w:tcW w:w="289"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沟道型</w:t>
            </w:r>
          </w:p>
        </w:tc>
        <w:tc>
          <w:tcPr>
            <w:tcW w:w="33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eastAsia" w:eastAsia="宋体"/>
                <w:color w:val="auto"/>
                <w:highlight w:val="none"/>
                <w:lang w:val="en-US" w:eastAsia="zh-CN"/>
              </w:rPr>
            </w:pPr>
            <w:r>
              <w:rPr>
                <w:rFonts w:hint="eastAsia"/>
                <w:color w:val="auto"/>
                <w:highlight w:val="none"/>
                <w:lang w:val="en-US" w:eastAsia="zh-CN"/>
              </w:rPr>
              <w:t>5</w:t>
            </w:r>
          </w:p>
        </w:tc>
        <w:tc>
          <w:tcPr>
            <w:tcW w:w="33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1.525</w:t>
            </w:r>
          </w:p>
        </w:tc>
        <w:tc>
          <w:tcPr>
            <w:tcW w:w="229"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林地</w:t>
            </w:r>
          </w:p>
        </w:tc>
        <w:tc>
          <w:tcPr>
            <w:tcW w:w="436"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eastAsia="宋体"/>
                <w:color w:val="0000FF"/>
                <w:highlight w:val="none"/>
                <w:lang w:val="en-US" w:eastAsia="zh-CN"/>
              </w:rPr>
            </w:pPr>
            <w:r>
              <w:rPr>
                <w:rFonts w:hint="eastAsia"/>
                <w:color w:val="0000FF"/>
                <w:highlight w:val="none"/>
                <w:lang w:val="en-US" w:eastAsia="zh-CN"/>
              </w:rPr>
              <w:t>6.07</w:t>
            </w:r>
          </w:p>
        </w:tc>
        <w:tc>
          <w:tcPr>
            <w:tcW w:w="538"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0000FF"/>
                <w:highlight w:val="none"/>
              </w:rPr>
            </w:pPr>
            <w:r>
              <w:rPr>
                <w:color w:val="0000FF"/>
                <w:highlight w:val="none"/>
              </w:rPr>
              <w:t>5.61</w:t>
            </w:r>
          </w:p>
        </w:tc>
        <w:tc>
          <w:tcPr>
            <w:tcW w:w="379"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eastAsia" w:eastAsia="宋体"/>
                <w:color w:val="auto"/>
                <w:highlight w:val="none"/>
                <w:lang w:eastAsia="zh-CN"/>
              </w:rPr>
            </w:pPr>
            <w:r>
              <w:rPr>
                <w:rFonts w:hint="eastAsia"/>
                <w:color w:val="auto"/>
                <w:highlight w:val="none"/>
                <w:lang w:val="en-US" w:eastAsia="zh-CN"/>
              </w:rPr>
              <w:t>3</w:t>
            </w:r>
          </w:p>
        </w:tc>
        <w:tc>
          <w:tcPr>
            <w:tcW w:w="440"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1845～1861</w:t>
            </w:r>
          </w:p>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（m）</w:t>
            </w:r>
          </w:p>
        </w:tc>
        <w:tc>
          <w:tcPr>
            <w:tcW w:w="432"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1:2.5</w:t>
            </w:r>
          </w:p>
        </w:tc>
        <w:tc>
          <w:tcPr>
            <w:tcW w:w="356"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0000FF"/>
                <w:highlight w:val="none"/>
              </w:rPr>
            </w:pPr>
            <w:r>
              <w:rPr>
                <w:color w:val="0000FF"/>
                <w:highlight w:val="none"/>
              </w:rPr>
              <w:t>1</w:t>
            </w:r>
            <w:r>
              <w:rPr>
                <w:rFonts w:hint="eastAsia"/>
                <w:color w:val="0000FF"/>
                <w:highlight w:val="none"/>
                <w:lang w:val="en-US" w:eastAsia="zh-CN"/>
              </w:rPr>
              <w:t>7</w:t>
            </w:r>
            <w:r>
              <w:rPr>
                <w:color w:val="0000FF"/>
                <w:highlight w:val="none"/>
              </w:rPr>
              <w:t>m</w:t>
            </w:r>
          </w:p>
        </w:tc>
        <w:tc>
          <w:tcPr>
            <w:tcW w:w="406"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输水工程区、施工临时道路弃渣</w:t>
            </w:r>
          </w:p>
        </w:tc>
      </w:tr>
    </w:tbl>
    <w:p>
      <w:pPr>
        <w:keepNext w:val="0"/>
        <w:keepLines w:val="0"/>
        <w:pageBreakBefore w:val="0"/>
        <w:widowControl w:val="0"/>
        <w:numPr>
          <w:ilvl w:val="0"/>
          <w:numId w:val="0"/>
        </w:numPr>
        <w:tabs>
          <w:tab w:val="left" w:pos="0"/>
          <w:tab w:val="left" w:pos="283"/>
          <w:tab w:val="left" w:pos="420"/>
        </w:tabs>
        <w:kinsoku/>
        <w:wordWrap/>
        <w:overflowPunct/>
        <w:topLinePunct w:val="0"/>
        <w:autoSpaceDE/>
        <w:autoSpaceDN/>
        <w:bidi w:val="0"/>
        <w:adjustRightInd/>
        <w:snapToGrid w:val="0"/>
        <w:ind w:firstLine="480" w:firstLineChars="200"/>
        <w:textAlignment w:val="auto"/>
        <w:outlineLvl w:val="9"/>
        <w:rPr>
          <w:rFonts w:hint="eastAsia"/>
          <w:color w:val="0000FF"/>
          <w:highlight w:val="none"/>
          <w:lang w:val="en-US" w:eastAsia="zh-CN"/>
        </w:rPr>
      </w:pPr>
      <w:r>
        <w:rPr>
          <w:rFonts w:hint="eastAsia"/>
          <w:color w:val="0000FF"/>
          <w:highlight w:val="none"/>
          <w:lang w:val="en-US" w:eastAsia="zh-CN"/>
        </w:rPr>
        <w:t>本项目土地利用现状主要为林地，不涉及生态红线、永久基本农田及公益林；不属于崩塌和滑坡危险区、泥石流易发区，不影响周边公共设施、工业企业、居民点等的安全，不在河道管理范围内。</w:t>
      </w:r>
    </w:p>
    <w:p>
      <w:pPr>
        <w:keepNext w:val="0"/>
        <w:keepLines w:val="0"/>
        <w:pageBreakBefore w:val="0"/>
        <w:widowControl w:val="0"/>
        <w:numPr>
          <w:ilvl w:val="0"/>
          <w:numId w:val="0"/>
        </w:numPr>
        <w:tabs>
          <w:tab w:val="left" w:pos="0"/>
          <w:tab w:val="left" w:pos="283"/>
          <w:tab w:val="left" w:pos="420"/>
        </w:tabs>
        <w:kinsoku/>
        <w:wordWrap/>
        <w:overflowPunct/>
        <w:topLinePunct w:val="0"/>
        <w:autoSpaceDE/>
        <w:autoSpaceDN/>
        <w:bidi w:val="0"/>
        <w:adjustRightInd/>
        <w:snapToGrid w:val="0"/>
        <w:ind w:firstLine="480" w:firstLineChars="200"/>
        <w:textAlignment w:val="auto"/>
        <w:outlineLvl w:val="9"/>
        <w:rPr>
          <w:rFonts w:hint="default"/>
          <w:color w:val="auto"/>
          <w:lang w:val="en-US" w:eastAsia="zh-CN"/>
        </w:rPr>
      </w:pPr>
      <w:r>
        <w:rPr>
          <w:rFonts w:hint="eastAsia"/>
          <w:color w:val="0000FF"/>
          <w:highlight w:val="none"/>
          <w:lang w:val="en-US" w:eastAsia="zh-CN"/>
        </w:rPr>
        <w:t>弃渣场与环境敏感区的位置关系如下图所示：</w:t>
      </w:r>
    </w:p>
    <w:p>
      <w:pPr>
        <w:numPr>
          <w:ilvl w:val="0"/>
          <w:numId w:val="0"/>
        </w:numPr>
        <w:tabs>
          <w:tab w:val="left" w:pos="0"/>
          <w:tab w:val="left" w:pos="283"/>
          <w:tab w:val="left" w:pos="420"/>
        </w:tabs>
        <w:bidi w:val="0"/>
        <w:spacing w:line="240" w:lineRule="auto"/>
        <w:ind w:left="480" w:leftChars="0"/>
        <w:outlineLvl w:val="9"/>
        <w:rPr>
          <w:rFonts w:hint="eastAsia"/>
          <w:b/>
          <w:bCs/>
          <w:color w:val="auto"/>
          <w:lang w:val="en-US" w:eastAsia="zh-CN"/>
        </w:rPr>
      </w:pPr>
      <w:r>
        <w:rPr>
          <w:rFonts w:hint="eastAsia"/>
          <w:color w:val="auto"/>
          <w:lang w:val="en-US" w:eastAsia="zh-CN"/>
        </w:rPr>
        <w:drawing>
          <wp:inline distT="0" distB="0" distL="114300" distR="114300">
            <wp:extent cx="5226050" cy="3071495"/>
            <wp:effectExtent l="0" t="0" r="0" b="0"/>
            <wp:docPr id="100" name="图片 100" descr="2与三区三线位置关系-模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2与三区三线位置关系-模型"/>
                    <pic:cNvPicPr>
                      <a:picLocks noChangeAspect="1"/>
                    </pic:cNvPicPr>
                  </pic:nvPicPr>
                  <pic:blipFill>
                    <a:blip r:embed="rId47"/>
                    <a:srcRect t="8381" b="8381"/>
                    <a:stretch>
                      <a:fillRect/>
                    </a:stretch>
                  </pic:blipFill>
                  <pic:spPr>
                    <a:xfrm>
                      <a:off x="0" y="0"/>
                      <a:ext cx="5226050" cy="3071495"/>
                    </a:xfrm>
                    <a:prstGeom prst="rect">
                      <a:avLst/>
                    </a:prstGeom>
                  </pic:spPr>
                </pic:pic>
              </a:graphicData>
            </a:graphic>
          </wp:inline>
        </w:drawing>
      </w:r>
    </w:p>
    <w:p>
      <w:pPr>
        <w:numPr>
          <w:ilvl w:val="0"/>
          <w:numId w:val="0"/>
        </w:numPr>
        <w:tabs>
          <w:tab w:val="left" w:pos="0"/>
          <w:tab w:val="left" w:pos="283"/>
          <w:tab w:val="left" w:pos="420"/>
        </w:tabs>
        <w:bidi w:val="0"/>
        <w:spacing w:line="240" w:lineRule="auto"/>
        <w:ind w:left="480" w:leftChars="0"/>
        <w:jc w:val="center"/>
        <w:outlineLvl w:val="9"/>
        <w:rPr>
          <w:rFonts w:hint="default"/>
          <w:b/>
          <w:bCs/>
          <w:color w:val="0000FF"/>
          <w:lang w:val="en-US" w:eastAsia="zh-CN"/>
        </w:rPr>
      </w:pPr>
      <w:r>
        <w:rPr>
          <w:rFonts w:hint="eastAsia"/>
          <w:b/>
          <w:bCs/>
          <w:color w:val="0000FF"/>
          <w:lang w:val="en-US" w:eastAsia="zh-CN"/>
        </w:rPr>
        <w:t>图2.8.1   本项目弃渣场与敏感区的位置关系图</w:t>
      </w:r>
    </w:p>
    <w:p>
      <w:pPr>
        <w:pStyle w:val="5"/>
        <w:numPr>
          <w:ilvl w:val="3"/>
          <w:numId w:val="1"/>
        </w:numPr>
        <w:bidi w:val="0"/>
        <w:ind w:left="480" w:leftChars="0" w:firstLineChars="0"/>
        <w:rPr>
          <w:rFonts w:hint="eastAsia"/>
          <w:color w:val="auto"/>
          <w:lang w:val="en-US" w:eastAsia="zh-CN"/>
        </w:rPr>
      </w:pPr>
      <w:r>
        <w:rPr>
          <w:rFonts w:hint="eastAsia"/>
          <w:color w:val="auto"/>
          <w:lang w:val="en-US" w:eastAsia="zh-CN"/>
        </w:rPr>
        <w:t>表土堆场</w:t>
      </w:r>
    </w:p>
    <w:p>
      <w:pPr>
        <w:bidi w:val="0"/>
        <w:ind w:firstLine="480" w:firstLineChars="200"/>
        <w:rPr>
          <w:rFonts w:hint="default"/>
          <w:color w:val="auto"/>
          <w:highlight w:val="none"/>
          <w:lang w:val="en-US" w:eastAsia="zh-CN"/>
        </w:rPr>
      </w:pPr>
      <w:r>
        <w:rPr>
          <w:rFonts w:hint="eastAsia"/>
          <w:color w:val="auto"/>
          <w:highlight w:val="none"/>
          <w:lang w:val="en-US" w:eastAsia="zh-CN"/>
        </w:rPr>
        <w:t>该项目</w:t>
      </w:r>
      <w:r>
        <w:rPr>
          <w:rFonts w:hint="default"/>
          <w:color w:val="auto"/>
          <w:highlight w:val="none"/>
          <w:lang w:val="en-US" w:eastAsia="zh-CN"/>
        </w:rPr>
        <w:t>共布置</w:t>
      </w:r>
      <w:r>
        <w:rPr>
          <w:rFonts w:hint="eastAsia"/>
          <w:color w:val="auto"/>
          <w:highlight w:val="none"/>
          <w:lang w:val="en-US" w:eastAsia="zh-CN"/>
        </w:rPr>
        <w:t>15</w:t>
      </w:r>
      <w:r>
        <w:rPr>
          <w:rFonts w:hint="default"/>
          <w:color w:val="auto"/>
          <w:highlight w:val="none"/>
          <w:lang w:val="en-US" w:eastAsia="zh-CN"/>
        </w:rPr>
        <w:t>个</w:t>
      </w:r>
      <w:r>
        <w:rPr>
          <w:rFonts w:hint="eastAsia"/>
          <w:color w:val="auto"/>
          <w:highlight w:val="none"/>
          <w:lang w:val="en-US" w:eastAsia="zh-CN"/>
        </w:rPr>
        <w:t>临时堆土场</w:t>
      </w:r>
      <w:r>
        <w:rPr>
          <w:rFonts w:hint="default"/>
          <w:color w:val="auto"/>
          <w:highlight w:val="none"/>
          <w:lang w:val="en-US" w:eastAsia="zh-CN"/>
        </w:rPr>
        <w:t>，</w:t>
      </w:r>
      <w:r>
        <w:rPr>
          <w:rFonts w:hint="eastAsia"/>
          <w:color w:val="auto"/>
          <w:highlight w:val="none"/>
          <w:lang w:val="en-US" w:eastAsia="zh-CN"/>
        </w:rPr>
        <w:t>均在管道工程施工区域就近临时堆放，</w:t>
      </w:r>
      <w:r>
        <w:rPr>
          <w:rFonts w:hint="eastAsia"/>
          <w:color w:val="0000FF"/>
          <w:highlight w:val="none"/>
          <w:lang w:val="en-US" w:eastAsia="zh-CN"/>
        </w:rPr>
        <w:t>不涉及生态红线、永久基本农田及公益林。</w:t>
      </w:r>
      <w:r>
        <w:rPr>
          <w:rFonts w:hint="eastAsia"/>
          <w:color w:val="auto"/>
          <w:highlight w:val="none"/>
          <w:lang w:val="en-US" w:eastAsia="zh-CN"/>
        </w:rPr>
        <w:t>占地面积4.089hm</w:t>
      </w:r>
      <w:r>
        <w:rPr>
          <w:rFonts w:hint="eastAsia"/>
          <w:color w:val="auto"/>
          <w:highlight w:val="none"/>
          <w:vertAlign w:val="superscript"/>
          <w:lang w:val="en-US" w:eastAsia="zh-CN"/>
        </w:rPr>
        <w:t>2</w:t>
      </w:r>
      <w:r>
        <w:rPr>
          <w:rFonts w:hint="eastAsia"/>
          <w:color w:val="auto"/>
          <w:highlight w:val="none"/>
          <w:lang w:val="en-US" w:eastAsia="zh-CN"/>
        </w:rPr>
        <w:t>，</w:t>
      </w:r>
      <w:r>
        <w:rPr>
          <w:rFonts w:hint="default"/>
          <w:color w:val="auto"/>
          <w:highlight w:val="none"/>
          <w:lang w:val="en-US" w:eastAsia="zh-CN"/>
        </w:rPr>
        <w:t>总容量204429.75m</w:t>
      </w:r>
      <w:r>
        <w:rPr>
          <w:rFonts w:hint="default"/>
          <w:color w:val="auto"/>
          <w:highlight w:val="none"/>
          <w:vertAlign w:val="superscript"/>
          <w:lang w:val="en-US" w:eastAsia="zh-CN"/>
        </w:rPr>
        <w:t>3</w:t>
      </w:r>
      <w:r>
        <w:rPr>
          <w:rFonts w:hint="default"/>
          <w:color w:val="auto"/>
          <w:highlight w:val="none"/>
          <w:lang w:val="en-US" w:eastAsia="zh-CN"/>
        </w:rPr>
        <w:t>。各弃渣场布置特性详见表2.</w:t>
      </w:r>
      <w:r>
        <w:rPr>
          <w:rFonts w:hint="eastAsia"/>
          <w:color w:val="auto"/>
          <w:highlight w:val="none"/>
          <w:lang w:val="en-US" w:eastAsia="zh-CN"/>
        </w:rPr>
        <w:t>8</w:t>
      </w:r>
      <w:r>
        <w:rPr>
          <w:rFonts w:hint="default"/>
          <w:color w:val="auto"/>
          <w:highlight w:val="none"/>
          <w:lang w:val="en-US" w:eastAsia="zh-CN"/>
        </w:rPr>
        <w:t>.</w:t>
      </w:r>
      <w:r>
        <w:rPr>
          <w:rFonts w:hint="eastAsia"/>
          <w:color w:val="auto"/>
          <w:highlight w:val="none"/>
          <w:lang w:val="en-US" w:eastAsia="zh-CN"/>
        </w:rPr>
        <w:t>2</w:t>
      </w:r>
      <w:r>
        <w:rPr>
          <w:rFonts w:hint="default"/>
          <w:color w:val="auto"/>
          <w:highlight w:val="none"/>
          <w:lang w:val="en-US" w:eastAsia="zh-CN"/>
        </w:rPr>
        <w:t>-</w:t>
      </w:r>
      <w:r>
        <w:rPr>
          <w:rFonts w:hint="eastAsia"/>
          <w:color w:val="auto"/>
          <w:highlight w:val="none"/>
          <w:lang w:val="en-US" w:eastAsia="zh-CN"/>
        </w:rPr>
        <w:t>3</w:t>
      </w:r>
      <w:r>
        <w:rPr>
          <w:rFonts w:hint="default"/>
          <w:color w:val="auto"/>
          <w:highlight w:val="none"/>
          <w:lang w:val="en-US" w:eastAsia="zh-CN"/>
        </w:rPr>
        <w:t>。</w:t>
      </w:r>
    </w:p>
    <w:p>
      <w:pPr>
        <w:pStyle w:val="40"/>
        <w:bidi w:val="0"/>
        <w:rPr>
          <w:rFonts w:ascii="宋体" w:hAnsi="宋体" w:eastAsia="宋体" w:cs="宋体"/>
          <w:color w:val="auto"/>
          <w:szCs w:val="24"/>
          <w:highlight w:val="none"/>
        </w:rPr>
      </w:pPr>
      <w:r>
        <w:rPr>
          <w:color w:val="auto"/>
          <w:highlight w:val="none"/>
        </w:rPr>
        <w:t>表</w:t>
      </w:r>
      <w:r>
        <w:rPr>
          <w:rFonts w:hint="eastAsia"/>
          <w:color w:val="auto"/>
          <w:highlight w:val="none"/>
          <w:lang w:val="en-US" w:eastAsia="zh-CN"/>
        </w:rPr>
        <w:t>2.8.2-3</w:t>
      </w:r>
      <w:r>
        <w:rPr>
          <w:color w:val="auto"/>
          <w:highlight w:val="none"/>
        </w:rPr>
        <w:t xml:space="preserve">  表土堆场特性表</w:t>
      </w:r>
    </w:p>
    <w:tbl>
      <w:tblPr>
        <w:tblStyle w:val="57"/>
        <w:tblW w:w="501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34"/>
        <w:gridCol w:w="1958"/>
        <w:gridCol w:w="622"/>
        <w:gridCol w:w="777"/>
        <w:gridCol w:w="905"/>
        <w:gridCol w:w="905"/>
        <w:gridCol w:w="905"/>
        <w:gridCol w:w="12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7" w:hRule="atLeast"/>
          <w:jc w:val="center"/>
        </w:trPr>
        <w:tc>
          <w:tcPr>
            <w:tcW w:w="621"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名称</w:t>
            </w:r>
          </w:p>
        </w:tc>
        <w:tc>
          <w:tcPr>
            <w:tcW w:w="117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位 置</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占地(hm</w:t>
            </w:r>
            <w:r>
              <w:rPr>
                <w:color w:val="auto"/>
                <w:highlight w:val="none"/>
                <w:vertAlign w:val="superscript"/>
              </w:rPr>
              <w:t>2</w:t>
            </w:r>
            <w:r>
              <w:rPr>
                <w:color w:val="auto"/>
                <w:highlight w:val="none"/>
              </w:rPr>
              <w:t>)</w:t>
            </w:r>
          </w:p>
        </w:tc>
        <w:tc>
          <w:tcPr>
            <w:tcW w:w="466"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占地类型</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容积(m</w:t>
            </w:r>
            <w:r>
              <w:rPr>
                <w:color w:val="auto"/>
                <w:highlight w:val="none"/>
                <w:vertAlign w:val="superscript"/>
              </w:rPr>
              <w:t>3</w:t>
            </w:r>
            <w:r>
              <w:rPr>
                <w:color w:val="auto"/>
                <w:highlight w:val="none"/>
              </w:rPr>
              <w:t>)</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堆存量</w:t>
            </w:r>
          </w:p>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(松方m</w:t>
            </w:r>
            <w:r>
              <w:rPr>
                <w:color w:val="auto"/>
                <w:highlight w:val="none"/>
                <w:vertAlign w:val="superscript"/>
              </w:rPr>
              <w:t>3</w:t>
            </w:r>
            <w:r>
              <w:rPr>
                <w:color w:val="auto"/>
                <w:highlight w:val="none"/>
              </w:rPr>
              <w:t>)</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堆存量</w:t>
            </w:r>
          </w:p>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(自然方m</w:t>
            </w:r>
            <w:r>
              <w:rPr>
                <w:color w:val="auto"/>
                <w:highlight w:val="none"/>
                <w:vertAlign w:val="superscript"/>
              </w:rPr>
              <w:t>3</w:t>
            </w:r>
            <w:r>
              <w:rPr>
                <w:color w:val="auto"/>
                <w:highlight w:val="none"/>
              </w:rPr>
              <w:t>)</w:t>
            </w:r>
          </w:p>
        </w:tc>
        <w:tc>
          <w:tcPr>
            <w:tcW w:w="734"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4" w:hRule="atLeast"/>
          <w:jc w:val="center"/>
        </w:trPr>
        <w:tc>
          <w:tcPr>
            <w:tcW w:w="621"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1#临时堆土场</w:t>
            </w:r>
          </w:p>
        </w:tc>
        <w:tc>
          <w:tcPr>
            <w:tcW w:w="117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输水干管施工平台一侧适宜位置</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0.257</w:t>
            </w:r>
          </w:p>
        </w:tc>
        <w:tc>
          <w:tcPr>
            <w:tcW w:w="466" w:type="pct"/>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旱地、林地</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12848.48</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12236.65</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9789.32</w:t>
            </w:r>
          </w:p>
        </w:tc>
        <w:tc>
          <w:tcPr>
            <w:tcW w:w="734" w:type="pct"/>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绿化覆土及复垦覆土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2" w:hRule="atLeast"/>
          <w:jc w:val="center"/>
        </w:trPr>
        <w:tc>
          <w:tcPr>
            <w:tcW w:w="621"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2#临时堆土场</w:t>
            </w:r>
          </w:p>
        </w:tc>
        <w:tc>
          <w:tcPr>
            <w:tcW w:w="117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输水干管施工平台一侧适宜位置</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0.264</w:t>
            </w:r>
          </w:p>
        </w:tc>
        <w:tc>
          <w:tcPr>
            <w:tcW w:w="466"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13212.89</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12583.70</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10066.96</w:t>
            </w:r>
          </w:p>
        </w:tc>
        <w:tc>
          <w:tcPr>
            <w:tcW w:w="734"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4" w:hRule="atLeast"/>
          <w:jc w:val="center"/>
        </w:trPr>
        <w:tc>
          <w:tcPr>
            <w:tcW w:w="621"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3#临时堆土场</w:t>
            </w:r>
          </w:p>
        </w:tc>
        <w:tc>
          <w:tcPr>
            <w:tcW w:w="117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输水干管施工平台一侧适宜位置</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0.259</w:t>
            </w:r>
          </w:p>
        </w:tc>
        <w:tc>
          <w:tcPr>
            <w:tcW w:w="466"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12962.62</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12345.35</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9876.28</w:t>
            </w:r>
          </w:p>
        </w:tc>
        <w:tc>
          <w:tcPr>
            <w:tcW w:w="734"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 w:hRule="atLeast"/>
          <w:jc w:val="center"/>
        </w:trPr>
        <w:tc>
          <w:tcPr>
            <w:tcW w:w="621"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4#临时堆土场</w:t>
            </w:r>
          </w:p>
        </w:tc>
        <w:tc>
          <w:tcPr>
            <w:tcW w:w="117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输水干管施工平台一侧适宜位置</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0.253</w:t>
            </w:r>
          </w:p>
        </w:tc>
        <w:tc>
          <w:tcPr>
            <w:tcW w:w="466"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12650.07</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12047.69</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9638.15</w:t>
            </w:r>
          </w:p>
        </w:tc>
        <w:tc>
          <w:tcPr>
            <w:tcW w:w="734"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4" w:hRule="atLeast"/>
          <w:jc w:val="center"/>
        </w:trPr>
        <w:tc>
          <w:tcPr>
            <w:tcW w:w="621"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5#临时堆土场</w:t>
            </w:r>
          </w:p>
        </w:tc>
        <w:tc>
          <w:tcPr>
            <w:tcW w:w="117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输水干管施工平台一侧适宜位置</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0.253</w:t>
            </w:r>
          </w:p>
        </w:tc>
        <w:tc>
          <w:tcPr>
            <w:tcW w:w="466"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12646.29</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12044.09</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9635.27</w:t>
            </w:r>
          </w:p>
        </w:tc>
        <w:tc>
          <w:tcPr>
            <w:tcW w:w="734"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 w:hRule="atLeast"/>
          <w:jc w:val="center"/>
        </w:trPr>
        <w:tc>
          <w:tcPr>
            <w:tcW w:w="621"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6#临时堆土场</w:t>
            </w:r>
          </w:p>
        </w:tc>
        <w:tc>
          <w:tcPr>
            <w:tcW w:w="117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输水干管施工平台一侧适宜位置</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0.323</w:t>
            </w:r>
          </w:p>
        </w:tc>
        <w:tc>
          <w:tcPr>
            <w:tcW w:w="466"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16151.63</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15382.50</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12306.00</w:t>
            </w:r>
          </w:p>
        </w:tc>
        <w:tc>
          <w:tcPr>
            <w:tcW w:w="734"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4" w:hRule="atLeast"/>
          <w:jc w:val="center"/>
        </w:trPr>
        <w:tc>
          <w:tcPr>
            <w:tcW w:w="621"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7#临时堆土场</w:t>
            </w:r>
          </w:p>
        </w:tc>
        <w:tc>
          <w:tcPr>
            <w:tcW w:w="117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输水干管施工平台一侧适宜位置</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0.250</w:t>
            </w:r>
          </w:p>
        </w:tc>
        <w:tc>
          <w:tcPr>
            <w:tcW w:w="466"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12504.66</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11909.20</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9527.36</w:t>
            </w:r>
          </w:p>
        </w:tc>
        <w:tc>
          <w:tcPr>
            <w:tcW w:w="734"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 w:hRule="atLeast"/>
          <w:jc w:val="center"/>
        </w:trPr>
        <w:tc>
          <w:tcPr>
            <w:tcW w:w="621"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8#临时堆土场</w:t>
            </w:r>
          </w:p>
        </w:tc>
        <w:tc>
          <w:tcPr>
            <w:tcW w:w="117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输水干管施工平台一侧适宜位置</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0.277</w:t>
            </w:r>
          </w:p>
        </w:tc>
        <w:tc>
          <w:tcPr>
            <w:tcW w:w="466"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13865.42</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13205.16</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10564.13</w:t>
            </w:r>
          </w:p>
        </w:tc>
        <w:tc>
          <w:tcPr>
            <w:tcW w:w="734"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4" w:hRule="atLeast"/>
          <w:jc w:val="center"/>
        </w:trPr>
        <w:tc>
          <w:tcPr>
            <w:tcW w:w="621"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9#临时堆土场</w:t>
            </w:r>
          </w:p>
        </w:tc>
        <w:tc>
          <w:tcPr>
            <w:tcW w:w="117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输水干管施工平台一侧适宜位置</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0.248</w:t>
            </w:r>
          </w:p>
        </w:tc>
        <w:tc>
          <w:tcPr>
            <w:tcW w:w="466"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12380.41</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11790.86</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9432.69</w:t>
            </w:r>
          </w:p>
        </w:tc>
        <w:tc>
          <w:tcPr>
            <w:tcW w:w="734"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 w:hRule="atLeast"/>
          <w:jc w:val="center"/>
        </w:trPr>
        <w:tc>
          <w:tcPr>
            <w:tcW w:w="621"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10#临时堆土场</w:t>
            </w:r>
          </w:p>
        </w:tc>
        <w:tc>
          <w:tcPr>
            <w:tcW w:w="117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输水干管施工平台一侧适宜位置</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0.261</w:t>
            </w:r>
          </w:p>
        </w:tc>
        <w:tc>
          <w:tcPr>
            <w:tcW w:w="466"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13030.64</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12410.14</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9928.11</w:t>
            </w:r>
          </w:p>
        </w:tc>
        <w:tc>
          <w:tcPr>
            <w:tcW w:w="734"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4" w:hRule="atLeast"/>
          <w:jc w:val="center"/>
        </w:trPr>
        <w:tc>
          <w:tcPr>
            <w:tcW w:w="621"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11#临时堆土场</w:t>
            </w:r>
          </w:p>
        </w:tc>
        <w:tc>
          <w:tcPr>
            <w:tcW w:w="117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输水干管施工平台一侧适宜位置</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0.285</w:t>
            </w:r>
          </w:p>
        </w:tc>
        <w:tc>
          <w:tcPr>
            <w:tcW w:w="466"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14273.77</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13594.06</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10875.25</w:t>
            </w:r>
          </w:p>
        </w:tc>
        <w:tc>
          <w:tcPr>
            <w:tcW w:w="734"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 w:hRule="atLeast"/>
          <w:jc w:val="center"/>
        </w:trPr>
        <w:tc>
          <w:tcPr>
            <w:tcW w:w="621"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12#临时堆土场</w:t>
            </w:r>
          </w:p>
        </w:tc>
        <w:tc>
          <w:tcPr>
            <w:tcW w:w="117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输水干管施工平台一侧适宜位置</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0.240</w:t>
            </w:r>
          </w:p>
        </w:tc>
        <w:tc>
          <w:tcPr>
            <w:tcW w:w="466"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12023.13</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11450.60</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9160.48</w:t>
            </w:r>
          </w:p>
        </w:tc>
        <w:tc>
          <w:tcPr>
            <w:tcW w:w="734"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4" w:hRule="atLeast"/>
          <w:jc w:val="center"/>
        </w:trPr>
        <w:tc>
          <w:tcPr>
            <w:tcW w:w="621"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13#临时堆土场</w:t>
            </w:r>
          </w:p>
        </w:tc>
        <w:tc>
          <w:tcPr>
            <w:tcW w:w="117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施工临时道路一侧适宜位置</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0.558</w:t>
            </w:r>
          </w:p>
        </w:tc>
        <w:tc>
          <w:tcPr>
            <w:tcW w:w="466"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旱地</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27913.46</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26584.25</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21267.40</w:t>
            </w:r>
          </w:p>
        </w:tc>
        <w:tc>
          <w:tcPr>
            <w:tcW w:w="734"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3" w:hRule="atLeast"/>
          <w:jc w:val="center"/>
        </w:trPr>
        <w:tc>
          <w:tcPr>
            <w:tcW w:w="621"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14#临时堆土场</w:t>
            </w:r>
          </w:p>
        </w:tc>
        <w:tc>
          <w:tcPr>
            <w:tcW w:w="117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施工临时道路一侧适宜位置</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0.239</w:t>
            </w:r>
          </w:p>
        </w:tc>
        <w:tc>
          <w:tcPr>
            <w:tcW w:w="466"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林地</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11962.91</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11393.25</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9114.60</w:t>
            </w:r>
          </w:p>
        </w:tc>
        <w:tc>
          <w:tcPr>
            <w:tcW w:w="734"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4" w:hRule="atLeast"/>
          <w:jc w:val="center"/>
        </w:trPr>
        <w:tc>
          <w:tcPr>
            <w:tcW w:w="621"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15#临时堆土场</w:t>
            </w:r>
          </w:p>
        </w:tc>
        <w:tc>
          <w:tcPr>
            <w:tcW w:w="117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弃渣场区内堆置</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0.120</w:t>
            </w:r>
          </w:p>
        </w:tc>
        <w:tc>
          <w:tcPr>
            <w:tcW w:w="466"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林地</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6003.38</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5717.50</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4574.00</w:t>
            </w:r>
          </w:p>
        </w:tc>
        <w:tc>
          <w:tcPr>
            <w:tcW w:w="734"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2" w:hRule="atLeast"/>
          <w:jc w:val="center"/>
        </w:trPr>
        <w:tc>
          <w:tcPr>
            <w:tcW w:w="1796" w:type="pct"/>
            <w:gridSpan w:val="2"/>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合计</w:t>
            </w:r>
          </w:p>
        </w:tc>
        <w:tc>
          <w:tcPr>
            <w:tcW w:w="37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4.089</w:t>
            </w:r>
          </w:p>
        </w:tc>
        <w:tc>
          <w:tcPr>
            <w:tcW w:w="466"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204429.75</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194695.00</w:t>
            </w:r>
          </w:p>
        </w:tc>
        <w:tc>
          <w:tcPr>
            <w:tcW w:w="543"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155756.00</w:t>
            </w:r>
          </w:p>
        </w:tc>
        <w:tc>
          <w:tcPr>
            <w:tcW w:w="734"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6" w:hRule="atLeast"/>
          <w:jc w:val="center"/>
        </w:trPr>
        <w:tc>
          <w:tcPr>
            <w:tcW w:w="5000" w:type="pct"/>
            <w:gridSpan w:val="8"/>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注：共设置15个临时表土堆土场，占地面积4.089hm</w:t>
            </w:r>
            <w:r>
              <w:rPr>
                <w:color w:val="auto"/>
                <w:highlight w:val="none"/>
                <w:vertAlign w:val="superscript"/>
              </w:rPr>
              <w:t>2</w:t>
            </w:r>
            <w:r>
              <w:rPr>
                <w:color w:val="auto"/>
                <w:highlight w:val="none"/>
              </w:rPr>
              <w:t>,均位于项目区占地范围内，不新增占地</w:t>
            </w:r>
          </w:p>
        </w:tc>
      </w:tr>
    </w:tbl>
    <w:p>
      <w:pPr>
        <w:pStyle w:val="5"/>
        <w:numPr>
          <w:ilvl w:val="3"/>
          <w:numId w:val="1"/>
        </w:numPr>
        <w:bidi w:val="0"/>
        <w:ind w:left="480" w:leftChars="0" w:firstLineChars="0"/>
        <w:rPr>
          <w:rFonts w:hint="default"/>
          <w:color w:val="auto"/>
          <w:lang w:val="en-US" w:eastAsia="zh-CN"/>
        </w:rPr>
      </w:pPr>
      <w:r>
        <w:rPr>
          <w:rFonts w:hint="eastAsia"/>
          <w:color w:val="auto"/>
          <w:lang w:val="en-US" w:eastAsia="zh-CN"/>
        </w:rPr>
        <w:t>施工生产生活区</w:t>
      </w:r>
    </w:p>
    <w:p>
      <w:pPr>
        <w:bidi w:val="0"/>
        <w:ind w:firstLine="480" w:firstLineChars="200"/>
        <w:rPr>
          <w:rFonts w:hint="default"/>
          <w:color w:val="auto"/>
          <w:highlight w:val="none"/>
          <w:lang w:val="en-US" w:eastAsia="zh-CN"/>
        </w:rPr>
      </w:pPr>
      <w:r>
        <w:rPr>
          <w:rFonts w:hint="default"/>
          <w:color w:val="auto"/>
          <w:highlight w:val="none"/>
          <w:lang w:val="en-US" w:eastAsia="zh-CN"/>
        </w:rPr>
        <w:t>本工程不考虑设专用维修厂，施工用机械和运输车辆，可在元谋县附近的修理厂就近维修。施工生产生活区布置机械设备停放场及综合加工厂。考虑施工需要，本工程布置生产生活区</w:t>
      </w:r>
      <w:r>
        <w:rPr>
          <w:rFonts w:hint="eastAsia"/>
          <w:color w:val="auto"/>
          <w:highlight w:val="none"/>
          <w:lang w:val="en-US" w:eastAsia="zh-CN"/>
        </w:rPr>
        <w:t>2</w:t>
      </w:r>
      <w:r>
        <w:rPr>
          <w:rFonts w:hint="default"/>
          <w:color w:val="auto"/>
          <w:highlight w:val="none"/>
          <w:lang w:val="en-US" w:eastAsia="zh-CN"/>
        </w:rPr>
        <w:t>处。</w:t>
      </w:r>
    </w:p>
    <w:p>
      <w:pPr>
        <w:pStyle w:val="40"/>
        <w:bidi w:val="0"/>
        <w:rPr>
          <w:color w:val="auto"/>
          <w:highlight w:val="none"/>
        </w:rPr>
      </w:pPr>
      <w:r>
        <w:rPr>
          <w:rFonts w:hint="eastAsia"/>
          <w:color w:val="auto"/>
          <w:highlight w:val="none"/>
          <w:shd w:val="clear"/>
          <w:lang w:val="en-US" w:eastAsia="zh-CN"/>
        </w:rPr>
        <w:t xml:space="preserve">表2.8.2-4 </w:t>
      </w:r>
      <w:r>
        <w:rPr>
          <w:rFonts w:hint="eastAsia"/>
          <w:color w:val="auto"/>
          <w:highlight w:val="none"/>
          <w:lang w:val="en-US" w:eastAsia="zh-CN"/>
        </w:rPr>
        <w:t xml:space="preserve"> </w:t>
      </w:r>
      <w:r>
        <w:rPr>
          <w:color w:val="auto"/>
          <w:highlight w:val="none"/>
        </w:rPr>
        <w:t>主要生产生活区规划表</w:t>
      </w:r>
    </w:p>
    <w:tbl>
      <w:tblPr>
        <w:tblStyle w:val="57"/>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12"/>
        <w:gridCol w:w="4923"/>
        <w:gridCol w:w="1107"/>
        <w:gridCol w:w="116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jc w:val="center"/>
        </w:trPr>
        <w:tc>
          <w:tcPr>
            <w:tcW w:w="982"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序号</w:t>
            </w:r>
          </w:p>
        </w:tc>
        <w:tc>
          <w:tcPr>
            <w:tcW w:w="434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名称</w:t>
            </w:r>
          </w:p>
        </w:tc>
        <w:tc>
          <w:tcPr>
            <w:tcW w:w="9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单位</w:t>
            </w:r>
          </w:p>
        </w:tc>
        <w:tc>
          <w:tcPr>
            <w:tcW w:w="102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数量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jc w:val="center"/>
        </w:trPr>
        <w:tc>
          <w:tcPr>
            <w:tcW w:w="982"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eastAsia="宋"/>
                <w:color w:val="auto"/>
                <w:highlight w:val="none"/>
                <w:lang w:eastAsia="zh-CN"/>
              </w:rPr>
            </w:pPr>
            <w:r>
              <w:rPr>
                <w:rFonts w:hint="eastAsia"/>
                <w:color w:val="auto"/>
                <w:highlight w:val="none"/>
                <w:lang w:val="en-US" w:eastAsia="zh-CN"/>
              </w:rPr>
              <w:t>1</w:t>
            </w:r>
          </w:p>
        </w:tc>
        <w:tc>
          <w:tcPr>
            <w:tcW w:w="434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石榴生产生活区</w:t>
            </w:r>
          </w:p>
        </w:tc>
        <w:tc>
          <w:tcPr>
            <w:tcW w:w="9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m²</w:t>
            </w:r>
          </w:p>
        </w:tc>
        <w:tc>
          <w:tcPr>
            <w:tcW w:w="102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3060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4" w:hRule="atLeast"/>
          <w:jc w:val="center"/>
        </w:trPr>
        <w:tc>
          <w:tcPr>
            <w:tcW w:w="982"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eastAsia="宋"/>
                <w:color w:val="auto"/>
                <w:highlight w:val="none"/>
                <w:lang w:eastAsia="zh-CN"/>
              </w:rPr>
            </w:pPr>
            <w:r>
              <w:rPr>
                <w:rFonts w:hint="eastAsia"/>
                <w:color w:val="auto"/>
                <w:highlight w:val="none"/>
                <w:lang w:val="en-US" w:eastAsia="zh-CN"/>
              </w:rPr>
              <w:t>2</w:t>
            </w:r>
          </w:p>
        </w:tc>
        <w:tc>
          <w:tcPr>
            <w:tcW w:w="434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阿洒姑生产生活区</w:t>
            </w:r>
          </w:p>
        </w:tc>
        <w:tc>
          <w:tcPr>
            <w:tcW w:w="97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m²</w:t>
            </w:r>
          </w:p>
        </w:tc>
        <w:tc>
          <w:tcPr>
            <w:tcW w:w="102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1150</w:t>
            </w:r>
          </w:p>
        </w:tc>
      </w:tr>
    </w:tbl>
    <w:p>
      <w:pPr>
        <w:pStyle w:val="4"/>
        <w:numPr>
          <w:ilvl w:val="2"/>
          <w:numId w:val="1"/>
        </w:numPr>
        <w:bidi w:val="0"/>
        <w:rPr>
          <w:rFonts w:hint="default" w:ascii="Times New Roman" w:hAnsi="Times New Roman" w:eastAsia="宋体" w:cs="宋体"/>
          <w:b/>
          <w:color w:val="auto"/>
          <w:kern w:val="2"/>
          <w:sz w:val="28"/>
          <w:szCs w:val="21"/>
          <w:highlight w:val="none"/>
          <w:lang w:val="en-US" w:eastAsia="zh-CN" w:bidi="ar-SA"/>
        </w:rPr>
      </w:pPr>
      <w:bookmarkStart w:id="389" w:name="_Toc8183"/>
      <w:bookmarkStart w:id="390" w:name="_Toc7530"/>
      <w:bookmarkStart w:id="391" w:name="_Toc29453"/>
      <w:r>
        <w:rPr>
          <w:rFonts w:hint="eastAsia" w:ascii="Times New Roman" w:hAnsi="Times New Roman" w:eastAsia="宋体" w:cs="宋体"/>
          <w:b/>
          <w:color w:val="auto"/>
          <w:kern w:val="2"/>
          <w:sz w:val="28"/>
          <w:szCs w:val="21"/>
          <w:highlight w:val="none"/>
          <w:lang w:val="en-US" w:eastAsia="zh-CN" w:bidi="ar-SA"/>
        </w:rPr>
        <w:t>施工条件</w:t>
      </w:r>
      <w:bookmarkEnd w:id="389"/>
      <w:bookmarkEnd w:id="390"/>
      <w:bookmarkEnd w:id="391"/>
    </w:p>
    <w:p>
      <w:pPr>
        <w:ind w:firstLine="480" w:firstLineChars="200"/>
        <w:rPr>
          <w:rFonts w:hint="eastAsia"/>
          <w:color w:val="auto"/>
          <w:highlight w:val="none"/>
          <w:lang w:val="en-US" w:eastAsia="zh-CN"/>
        </w:rPr>
      </w:pPr>
      <w:r>
        <w:rPr>
          <w:rFonts w:hint="eastAsia"/>
          <w:color w:val="auto"/>
          <w:highlight w:val="none"/>
          <w:lang w:val="en-US" w:eastAsia="zh-CN"/>
        </w:rPr>
        <w:t>（1）施工用水</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eastAsia"/>
          <w:color w:val="auto"/>
          <w:highlight w:val="none"/>
          <w:lang w:val="en-US" w:eastAsia="zh-CN"/>
        </w:rPr>
      </w:pPr>
      <w:r>
        <w:rPr>
          <w:rFonts w:hint="eastAsia"/>
          <w:color w:val="0000FF"/>
          <w:highlight w:val="none"/>
          <w:lang w:val="en-US" w:eastAsia="zh-CN"/>
        </w:rPr>
        <w:t>管道沿线坝塘较多，施工用水可由坝塘抽取。</w:t>
      </w:r>
    </w:p>
    <w:p>
      <w:pPr>
        <w:ind w:firstLine="480" w:firstLineChars="200"/>
        <w:rPr>
          <w:rFonts w:hint="eastAsia"/>
          <w:color w:val="auto"/>
          <w:highlight w:val="none"/>
          <w:lang w:val="en-US" w:eastAsia="zh-CN"/>
        </w:rPr>
      </w:pPr>
      <w:r>
        <w:rPr>
          <w:rFonts w:hint="eastAsia"/>
          <w:color w:val="auto"/>
          <w:highlight w:val="none"/>
          <w:lang w:val="en-US" w:eastAsia="zh-CN"/>
        </w:rPr>
        <w:t>（2）施工用电</w:t>
      </w:r>
    </w:p>
    <w:p>
      <w:pPr>
        <w:ind w:firstLine="480" w:firstLineChars="200"/>
        <w:rPr>
          <w:rFonts w:hint="eastAsia"/>
          <w:color w:val="auto"/>
          <w:highlight w:val="none"/>
          <w:lang w:val="en-US" w:eastAsia="zh-CN"/>
        </w:rPr>
      </w:pPr>
      <w:r>
        <w:rPr>
          <w:rFonts w:hint="eastAsia"/>
          <w:color w:val="auto"/>
          <w:highlight w:val="none"/>
          <w:lang w:val="en-US" w:eastAsia="zh-CN"/>
        </w:rPr>
        <w:t>本工程施工考虑柴油发电机自发电供给。</w:t>
      </w:r>
    </w:p>
    <w:p>
      <w:pPr>
        <w:ind w:firstLine="480" w:firstLineChars="200"/>
        <w:rPr>
          <w:rFonts w:hint="default"/>
          <w:color w:val="auto"/>
          <w:highlight w:val="none"/>
          <w:lang w:val="en-US" w:eastAsia="zh-CN"/>
        </w:rPr>
      </w:pPr>
      <w:r>
        <w:rPr>
          <w:rFonts w:hint="eastAsia"/>
          <w:color w:val="auto"/>
          <w:highlight w:val="none"/>
          <w:lang w:val="en-US" w:eastAsia="zh-CN"/>
        </w:rPr>
        <w:t>（3）施工通信</w:t>
      </w:r>
    </w:p>
    <w:p>
      <w:pPr>
        <w:ind w:firstLine="480" w:firstLineChars="200"/>
        <w:rPr>
          <w:rFonts w:hint="eastAsia"/>
          <w:color w:val="auto"/>
          <w:highlight w:val="none"/>
          <w:lang w:val="en-US" w:eastAsia="zh-CN"/>
        </w:rPr>
      </w:pPr>
      <w:r>
        <w:rPr>
          <w:rFonts w:hint="eastAsia"/>
          <w:color w:val="auto"/>
          <w:highlight w:val="none"/>
          <w:lang w:val="en-US" w:eastAsia="zh-CN"/>
        </w:rPr>
        <w:t>工程施工区移动网络已经覆盖，邻近村庄程控电话也已经接通，施工对外通信以移动电话为主，无需架设通讯线路。</w:t>
      </w:r>
    </w:p>
    <w:p>
      <w:pPr>
        <w:pStyle w:val="4"/>
        <w:numPr>
          <w:ilvl w:val="2"/>
          <w:numId w:val="1"/>
        </w:numPr>
        <w:bidi w:val="0"/>
        <w:rPr>
          <w:rFonts w:hint="eastAsia"/>
          <w:color w:val="auto"/>
          <w:highlight w:val="none"/>
          <w:lang w:val="en-US" w:eastAsia="zh-CN"/>
        </w:rPr>
      </w:pPr>
      <w:bookmarkStart w:id="392" w:name="_Toc12987"/>
      <w:bookmarkStart w:id="393" w:name="_Toc28443"/>
      <w:bookmarkStart w:id="394" w:name="_Toc23443"/>
      <w:r>
        <w:rPr>
          <w:rFonts w:hint="eastAsia"/>
          <w:color w:val="auto"/>
          <w:highlight w:val="none"/>
          <w:lang w:val="en-US" w:eastAsia="zh-CN"/>
        </w:rPr>
        <w:t>施工工艺</w:t>
      </w:r>
      <w:bookmarkEnd w:id="392"/>
      <w:bookmarkEnd w:id="393"/>
      <w:bookmarkEnd w:id="394"/>
    </w:p>
    <w:p>
      <w:pPr>
        <w:keepNext w:val="0"/>
        <w:keepLines w:val="0"/>
        <w:pageBreakBefore w:val="0"/>
        <w:widowControl/>
        <w:suppressLineNumbers w:val="0"/>
        <w:kinsoku/>
        <w:wordWrap/>
        <w:overflowPunct/>
        <w:topLinePunct w:val="0"/>
        <w:autoSpaceDE/>
        <w:autoSpaceDN/>
        <w:bidi w:val="0"/>
        <w:adjustRightInd/>
        <w:snapToGrid w:val="0"/>
        <w:ind w:firstLine="482" w:firstLineChars="200"/>
        <w:jc w:val="left"/>
        <w:textAlignment w:val="auto"/>
        <w:rPr>
          <w:color w:val="auto"/>
        </w:rPr>
      </w:pPr>
      <w:r>
        <w:rPr>
          <w:rFonts w:hint="eastAsia" w:ascii="Times New Roman" w:hAnsi="Times New Roman" w:eastAsia="宋体" w:cs="Times New Roman"/>
          <w:b/>
          <w:bCs/>
          <w:color w:val="auto"/>
          <w:kern w:val="0"/>
          <w:sz w:val="24"/>
          <w:szCs w:val="24"/>
          <w:lang w:val="en-US" w:eastAsia="zh-CN" w:bidi="ar"/>
        </w:rPr>
        <w:t>（1）</w:t>
      </w:r>
      <w:r>
        <w:rPr>
          <w:rFonts w:hint="eastAsia" w:ascii="宋体" w:hAnsi="宋体" w:eastAsia="宋体" w:cs="宋体"/>
          <w:b/>
          <w:bCs/>
          <w:color w:val="auto"/>
          <w:kern w:val="0"/>
          <w:sz w:val="24"/>
          <w:szCs w:val="24"/>
          <w:lang w:val="en-US" w:eastAsia="zh-CN" w:bidi="ar"/>
        </w:rPr>
        <w:t>施工工序</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根据施工组织方案，本工程管线较长，涉及面广、时间紧、任务重，在工程实施中，可采取全线同时开工、同步管理的措施，本工程的主要施工工序如下：</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①首先对施工场地进行</w:t>
      </w:r>
      <w:r>
        <w:rPr>
          <w:rFonts w:hint="eastAsia"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三通一平</w:t>
      </w:r>
      <w:r>
        <w:rPr>
          <w:rFonts w:hint="eastAsia"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、建设生产和生活临时建筑，为全面施工做准备；</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②先进行临建生产生活设施建设，首先要解决施工人员的办公、吃、住问题，然后建设临建设施。</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③完成项目各工程的土石方开挖回填、管道安装、设备安装、泵站砼（钢筋砼）浇筑、机电设备及金属结构设备安装等工作。</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④完成施工场地清理退场，竣工资料整编，组织竣工验收，并安排好投入运行的项目的建后管理。</w:t>
      </w:r>
    </w:p>
    <w:p>
      <w:pPr>
        <w:keepNext w:val="0"/>
        <w:keepLines w:val="0"/>
        <w:pageBreakBefore w:val="0"/>
        <w:widowControl w:val="0"/>
        <w:kinsoku/>
        <w:wordWrap/>
        <w:overflowPunct/>
        <w:topLinePunct w:val="0"/>
        <w:autoSpaceDE/>
        <w:autoSpaceDN/>
        <w:bidi w:val="0"/>
        <w:adjustRightInd/>
        <w:snapToGrid/>
        <w:ind w:firstLine="482" w:firstLineChars="200"/>
        <w:textAlignment w:val="auto"/>
        <w:rPr>
          <w:rFonts w:hint="default"/>
          <w:b/>
          <w:bCs/>
          <w:color w:val="auto"/>
          <w:sz w:val="24"/>
          <w:szCs w:val="24"/>
          <w:highlight w:val="none"/>
          <w:lang w:val="en-US" w:eastAsia="zh-CN"/>
        </w:rPr>
      </w:pPr>
      <w:r>
        <w:rPr>
          <w:rFonts w:hint="eastAsia"/>
          <w:b/>
          <w:bCs/>
          <w:color w:val="auto"/>
          <w:sz w:val="24"/>
          <w:szCs w:val="24"/>
          <w:highlight w:val="none"/>
          <w:lang w:val="en-US" w:eastAsia="zh-CN"/>
        </w:rPr>
        <w:t>（2）施工工艺</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b w:val="0"/>
          <w:bCs w:val="0"/>
          <w:color w:val="auto"/>
          <w:sz w:val="24"/>
          <w:szCs w:val="24"/>
          <w:highlight w:val="none"/>
          <w:lang w:val="en-US" w:eastAsia="zh-CN"/>
        </w:rPr>
      </w:pPr>
      <w:r>
        <w:rPr>
          <w:rFonts w:hint="eastAsia"/>
          <w:b w:val="0"/>
          <w:bCs w:val="0"/>
          <w:color w:val="auto"/>
          <w:sz w:val="24"/>
          <w:szCs w:val="24"/>
          <w:highlight w:val="none"/>
          <w:lang w:val="en-US" w:eastAsia="zh-CN"/>
        </w:rPr>
        <w:t>①水池工程</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snapToGrid w:val="0"/>
          <w:color w:val="auto"/>
          <w:sz w:val="24"/>
          <w:szCs w:val="24"/>
        </w:rPr>
      </w:pPr>
      <w:r>
        <w:rPr>
          <w:rFonts w:hint="default" w:ascii="Times New Roman" w:hAnsi="Times New Roman" w:cs="Times New Roman"/>
          <w:snapToGrid w:val="0"/>
          <w:color w:val="auto"/>
          <w:sz w:val="24"/>
          <w:szCs w:val="24"/>
        </w:rPr>
        <w:t>水池土方</w:t>
      </w:r>
      <w:r>
        <w:rPr>
          <w:rFonts w:hint="eastAsia" w:cs="Times New Roman"/>
          <w:snapToGrid w:val="0"/>
          <w:color w:val="auto"/>
          <w:sz w:val="24"/>
          <w:szCs w:val="24"/>
          <w:lang w:val="en-US" w:eastAsia="zh-CN"/>
        </w:rPr>
        <w:t>开</w:t>
      </w:r>
      <w:r>
        <w:rPr>
          <w:rFonts w:hint="default" w:ascii="Times New Roman" w:hAnsi="Times New Roman" w:cs="Times New Roman"/>
          <w:snapToGrid w:val="0"/>
          <w:color w:val="auto"/>
          <w:sz w:val="24"/>
          <w:szCs w:val="24"/>
        </w:rPr>
        <w:t>挖：自上而下分层进行。土方采用人工配合1.0m³挖掘机直接开挖，石方采用Y26~Y30手风钻钻孔。渣料采用挖掘机装8~10t自卸汽车运至弃渣场。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napToGrid w:val="0"/>
          <w:color w:val="auto"/>
          <w:sz w:val="24"/>
          <w:szCs w:val="24"/>
          <w:lang w:val="en-US" w:eastAsia="zh-CN"/>
        </w:rPr>
      </w:pPr>
      <w:r>
        <w:rPr>
          <w:rFonts w:hint="eastAsia" w:cs="Times New Roman"/>
          <w:snapToGrid w:val="0"/>
          <w:color w:val="auto"/>
          <w:sz w:val="24"/>
          <w:szCs w:val="24"/>
          <w:lang w:val="en-US" w:eastAsia="zh-CN"/>
        </w:rPr>
        <w:t>坑体平整：坑体开挖后，将由人工配合机械进行坑体平整，以便后续浇筑。池壁、池底混凝土浇筑</w:t>
      </w:r>
      <w:r>
        <w:rPr>
          <w:rFonts w:hint="default" w:ascii="Times New Roman" w:hAnsi="Times New Roman" w:cs="Times New Roman"/>
          <w:snapToGrid w:val="0"/>
          <w:color w:val="auto"/>
          <w:sz w:val="24"/>
          <w:szCs w:val="24"/>
        </w:rPr>
        <w:t>：混凝土由移动式混凝土搅拌机拌制，翻斗车运至工作面，泵送入仓，人工进行平仓，振捣器振捣。</w:t>
      </w:r>
      <w:r>
        <w:rPr>
          <w:rFonts w:hint="eastAsia" w:cs="Times New Roman"/>
          <w:snapToGrid w:val="0"/>
          <w:color w:val="auto"/>
          <w:sz w:val="24"/>
          <w:szCs w:val="24"/>
          <w:lang w:val="en-US" w:eastAsia="zh-CN"/>
        </w:rPr>
        <w:t>池体浇筑完成后进行进出水管安装及满水实验。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napToGrid w:val="0"/>
          <w:color w:val="auto"/>
          <w:sz w:val="24"/>
          <w:szCs w:val="24"/>
        </w:rPr>
      </w:pPr>
      <w:r>
        <w:rPr>
          <w:rFonts w:hint="default" w:ascii="Times New Roman" w:hAnsi="Times New Roman" w:cs="Times New Roman"/>
          <w:snapToGrid w:val="0"/>
          <w:color w:val="auto"/>
          <w:sz w:val="24"/>
          <w:szCs w:val="24"/>
        </w:rPr>
        <w:t>土石方回填：利用就近堆放的开挖渣料，人工配合挖掘机运输回填，蛙式打夯机分层夯实。</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80" w:firstLineChars="200"/>
        <w:jc w:val="left"/>
        <w:textAlignment w:val="baseline"/>
        <w:rPr>
          <w:rStyle w:val="61"/>
          <w:rFonts w:hint="default" w:ascii="Times New Roman" w:hAnsi="Times New Roman" w:eastAsia="宋体" w:cs="Times New Roman"/>
          <w:b/>
          <w:bCs/>
          <w:i w:val="0"/>
          <w:caps w:val="0"/>
          <w:color w:val="auto"/>
          <w:spacing w:val="0"/>
          <w:w w:val="100"/>
          <w:kern w:val="2"/>
          <w:sz w:val="24"/>
          <w:szCs w:val="24"/>
          <w:lang w:val="en-US" w:eastAsia="zh-CN" w:bidi="ar-SA"/>
        </w:rPr>
      </w:pPr>
      <w:r>
        <w:rPr>
          <w:rFonts w:hint="eastAsia"/>
          <w:color w:val="auto"/>
          <w:sz w:val="24"/>
          <w:szCs w:val="24"/>
          <w:highlight w:val="none"/>
          <w:lang w:val="en-US" w:eastAsia="zh-CN"/>
        </w:rPr>
        <w:t>②管道工程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rPr>
          <w:rFonts w:hint="eastAsia"/>
          <w:color w:val="auto"/>
          <w:sz w:val="24"/>
          <w:szCs w:val="24"/>
          <w:highlight w:val="none"/>
          <w:lang w:val="en-US" w:eastAsia="zh-CN"/>
        </w:rPr>
      </w:pPr>
      <w:r>
        <w:rPr>
          <w:rStyle w:val="61"/>
          <w:rFonts w:ascii="Times New Roman" w:hAnsi="Times New Roman" w:eastAsia="宋体"/>
          <w:b w:val="0"/>
          <w:i w:val="0"/>
          <w:caps w:val="0"/>
          <w:color w:val="auto"/>
          <w:spacing w:val="0"/>
          <w:w w:val="100"/>
          <w:kern w:val="2"/>
          <w:sz w:val="24"/>
          <w:szCs w:val="24"/>
          <w:lang w:val="en-US" w:eastAsia="zh-CN" w:bidi="ar-SA"/>
        </w:rPr>
        <w:t>埋管管线施工工艺：场地清理→管沟开挖→焊接→下管→清管试压→回填→植被恢复→</w:t>
      </w:r>
      <w:r>
        <w:rPr>
          <w:rStyle w:val="61"/>
          <w:rFonts w:hint="eastAsia"/>
          <w:b w:val="0"/>
          <w:i w:val="0"/>
          <w:caps w:val="0"/>
          <w:color w:val="auto"/>
          <w:spacing w:val="0"/>
          <w:w w:val="100"/>
          <w:kern w:val="2"/>
          <w:sz w:val="24"/>
          <w:szCs w:val="24"/>
          <w:lang w:val="en-US" w:eastAsia="zh-CN" w:bidi="ar-SA"/>
        </w:rPr>
        <w:t>试压</w:t>
      </w:r>
      <w:r>
        <w:rPr>
          <w:rStyle w:val="61"/>
          <w:rFonts w:ascii="Times New Roman" w:hAnsi="Times New Roman" w:eastAsia="宋体"/>
          <w:b w:val="0"/>
          <w:i w:val="0"/>
          <w:caps w:val="0"/>
          <w:color w:val="auto"/>
          <w:spacing w:val="0"/>
          <w:w w:val="100"/>
          <w:kern w:val="2"/>
          <w:sz w:val="24"/>
          <w:szCs w:val="24"/>
          <w:lang w:val="en-US" w:eastAsia="zh-CN" w:bidi="ar-SA"/>
        </w:rPr>
        <w:t>投产</w:t>
      </w:r>
      <w:r>
        <w:rPr>
          <w:rStyle w:val="61"/>
          <w:rFonts w:hint="eastAsia"/>
          <w:b w:val="0"/>
          <w:i w:val="0"/>
          <w:caps w:val="0"/>
          <w:color w:val="auto"/>
          <w:spacing w:val="0"/>
          <w:w w:val="100"/>
          <w:kern w:val="2"/>
          <w:sz w:val="24"/>
          <w:szCs w:val="24"/>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rPr>
          <w:rStyle w:val="61"/>
          <w:rFonts w:hint="eastAsia" w:ascii="Times New Roman" w:hAnsi="Times New Roman" w:eastAsia="宋体" w:cs="Times New Roman"/>
          <w:b w:val="0"/>
          <w:i w:val="0"/>
          <w:caps w:val="0"/>
          <w:color w:val="auto"/>
          <w:spacing w:val="0"/>
          <w:w w:val="100"/>
          <w:kern w:val="2"/>
          <w:sz w:val="24"/>
          <w:szCs w:val="24"/>
          <w:lang w:val="en-US" w:eastAsia="zh-CN" w:bidi="ar-SA"/>
        </w:rPr>
      </w:pPr>
      <w:r>
        <w:rPr>
          <w:rStyle w:val="61"/>
          <w:rFonts w:hint="eastAsia"/>
          <w:b w:val="0"/>
          <w:i w:val="0"/>
          <w:caps w:val="0"/>
          <w:color w:val="auto"/>
          <w:spacing w:val="0"/>
          <w:w w:val="100"/>
          <w:kern w:val="2"/>
          <w:sz w:val="24"/>
          <w:szCs w:val="24"/>
          <w:lang w:val="en-US" w:eastAsia="zh-CN" w:bidi="ar-SA"/>
        </w:rPr>
        <w:t>特殊管线（陡坡段）施工工艺：</w:t>
      </w:r>
      <w:r>
        <w:rPr>
          <w:rStyle w:val="61"/>
          <w:rFonts w:hint="eastAsia" w:ascii="Times New Roman" w:hAnsi="Times New Roman" w:eastAsia="宋体"/>
          <w:b w:val="0"/>
          <w:i w:val="0"/>
          <w:caps w:val="0"/>
          <w:color w:val="auto"/>
          <w:spacing w:val="0"/>
          <w:w w:val="100"/>
          <w:kern w:val="2"/>
          <w:sz w:val="24"/>
          <w:szCs w:val="24"/>
          <w:lang w:val="en-US" w:eastAsia="zh-CN" w:bidi="ar-SA"/>
        </w:rPr>
        <w:t>测量放线</w:t>
      </w:r>
      <w:r>
        <w:rPr>
          <w:rStyle w:val="61"/>
          <w:rFonts w:ascii="Times New Roman" w:hAnsi="Times New Roman" w:eastAsia="宋体"/>
          <w:b w:val="0"/>
          <w:i w:val="0"/>
          <w:caps w:val="0"/>
          <w:color w:val="auto"/>
          <w:spacing w:val="0"/>
          <w:w w:val="100"/>
          <w:kern w:val="2"/>
          <w:sz w:val="24"/>
          <w:szCs w:val="24"/>
          <w:lang w:val="en-US" w:eastAsia="zh-CN" w:bidi="ar-SA"/>
        </w:rPr>
        <w:t>→</w:t>
      </w:r>
      <w:r>
        <w:rPr>
          <w:rStyle w:val="61"/>
          <w:rFonts w:hint="eastAsia" w:ascii="Times New Roman" w:hAnsi="Times New Roman" w:eastAsia="宋体"/>
          <w:b w:val="0"/>
          <w:i w:val="0"/>
          <w:caps w:val="0"/>
          <w:color w:val="auto"/>
          <w:spacing w:val="0"/>
          <w:w w:val="100"/>
          <w:kern w:val="2"/>
          <w:sz w:val="24"/>
          <w:szCs w:val="24"/>
          <w:lang w:val="en-US" w:eastAsia="zh-CN" w:bidi="ar-SA"/>
        </w:rPr>
        <w:t>修筑临时施工道路</w:t>
      </w:r>
      <w:r>
        <w:rPr>
          <w:rStyle w:val="61"/>
          <w:rFonts w:ascii="Times New Roman" w:hAnsi="Times New Roman" w:eastAsia="宋体"/>
          <w:b w:val="0"/>
          <w:i w:val="0"/>
          <w:caps w:val="0"/>
          <w:color w:val="auto"/>
          <w:spacing w:val="0"/>
          <w:w w:val="100"/>
          <w:kern w:val="2"/>
          <w:sz w:val="24"/>
          <w:szCs w:val="24"/>
          <w:lang w:val="en-US" w:eastAsia="zh-CN" w:bidi="ar-SA"/>
        </w:rPr>
        <w:t>→</w:t>
      </w:r>
      <w:r>
        <w:rPr>
          <w:rStyle w:val="61"/>
          <w:rFonts w:hint="eastAsia" w:ascii="Times New Roman" w:hAnsi="Times New Roman" w:eastAsia="宋体"/>
          <w:b w:val="0"/>
          <w:i w:val="0"/>
          <w:caps w:val="0"/>
          <w:color w:val="auto"/>
          <w:spacing w:val="0"/>
          <w:w w:val="100"/>
          <w:kern w:val="2"/>
          <w:sz w:val="24"/>
          <w:szCs w:val="24"/>
          <w:lang w:val="en-US" w:eastAsia="zh-CN" w:bidi="ar-SA"/>
        </w:rPr>
        <w:t>开挖管沟（细土</w:t>
      </w:r>
      <w:r>
        <w:rPr>
          <w:rStyle w:val="61"/>
          <w:rFonts w:hint="eastAsia" w:ascii="Times New Roman" w:hAnsi="Times New Roman" w:eastAsia="宋体" w:cs="Times New Roman"/>
          <w:b w:val="0"/>
          <w:i w:val="0"/>
          <w:caps w:val="0"/>
          <w:color w:val="auto"/>
          <w:spacing w:val="0"/>
          <w:w w:val="100"/>
          <w:kern w:val="2"/>
          <w:sz w:val="24"/>
          <w:szCs w:val="24"/>
          <w:lang w:val="en-US" w:eastAsia="zh-CN" w:bidi="ar-SA"/>
        </w:rPr>
        <w:t>垫层）</w:t>
      </w:r>
      <w:r>
        <w:rPr>
          <w:rStyle w:val="61"/>
          <w:rFonts w:ascii="Times New Roman" w:hAnsi="Times New Roman" w:eastAsia="宋体" w:cs="Times New Roman"/>
          <w:b w:val="0"/>
          <w:i w:val="0"/>
          <w:caps w:val="0"/>
          <w:color w:val="auto"/>
          <w:spacing w:val="0"/>
          <w:w w:val="100"/>
          <w:kern w:val="2"/>
          <w:sz w:val="24"/>
          <w:szCs w:val="24"/>
          <w:lang w:val="en-US" w:eastAsia="zh-CN" w:bidi="ar-SA"/>
        </w:rPr>
        <w:t>→</w:t>
      </w:r>
      <w:r>
        <w:rPr>
          <w:rStyle w:val="61"/>
          <w:rFonts w:hint="eastAsia" w:ascii="Times New Roman" w:hAnsi="Times New Roman" w:eastAsia="宋体" w:cs="Times New Roman"/>
          <w:b w:val="0"/>
          <w:i w:val="0"/>
          <w:caps w:val="0"/>
          <w:color w:val="auto"/>
          <w:spacing w:val="0"/>
          <w:w w:val="100"/>
          <w:kern w:val="2"/>
          <w:sz w:val="24"/>
          <w:szCs w:val="24"/>
          <w:lang w:val="en-US" w:eastAsia="zh-CN" w:bidi="ar-SA"/>
        </w:rPr>
        <w:t>管道运送</w:t>
      </w:r>
      <w:r>
        <w:rPr>
          <w:rStyle w:val="61"/>
          <w:rFonts w:ascii="Times New Roman" w:hAnsi="Times New Roman" w:eastAsia="宋体" w:cs="Times New Roman"/>
          <w:b w:val="0"/>
          <w:i w:val="0"/>
          <w:caps w:val="0"/>
          <w:color w:val="auto"/>
          <w:spacing w:val="0"/>
          <w:w w:val="100"/>
          <w:kern w:val="2"/>
          <w:sz w:val="24"/>
          <w:szCs w:val="24"/>
          <w:lang w:val="en-US" w:eastAsia="zh-CN" w:bidi="ar-SA"/>
        </w:rPr>
        <w:t>→</w:t>
      </w:r>
      <w:r>
        <w:rPr>
          <w:rStyle w:val="61"/>
          <w:rFonts w:hint="eastAsia" w:ascii="Times New Roman" w:hAnsi="Times New Roman" w:eastAsia="宋体" w:cs="Times New Roman"/>
          <w:b w:val="0"/>
          <w:i w:val="0"/>
          <w:caps w:val="0"/>
          <w:color w:val="auto"/>
          <w:spacing w:val="0"/>
          <w:w w:val="100"/>
          <w:kern w:val="2"/>
          <w:sz w:val="24"/>
          <w:szCs w:val="24"/>
          <w:lang w:val="en-US" w:eastAsia="zh-CN" w:bidi="ar-SA"/>
        </w:rPr>
        <w:t>管道布设</w:t>
      </w:r>
      <w:r>
        <w:rPr>
          <w:rStyle w:val="61"/>
          <w:rFonts w:ascii="Times New Roman" w:hAnsi="Times New Roman" w:eastAsia="宋体" w:cs="Times New Roman"/>
          <w:b w:val="0"/>
          <w:i w:val="0"/>
          <w:caps w:val="0"/>
          <w:color w:val="auto"/>
          <w:spacing w:val="0"/>
          <w:w w:val="100"/>
          <w:kern w:val="2"/>
          <w:sz w:val="24"/>
          <w:szCs w:val="24"/>
          <w:lang w:val="en-US" w:eastAsia="zh-CN" w:bidi="ar-SA"/>
        </w:rPr>
        <w:t>→</w:t>
      </w:r>
      <w:r>
        <w:rPr>
          <w:rStyle w:val="61"/>
          <w:rFonts w:hint="eastAsia" w:ascii="Times New Roman" w:hAnsi="Times New Roman" w:eastAsia="宋体" w:cs="Times New Roman"/>
          <w:b w:val="0"/>
          <w:i w:val="0"/>
          <w:caps w:val="0"/>
          <w:color w:val="auto"/>
          <w:spacing w:val="0"/>
          <w:w w:val="100"/>
          <w:kern w:val="2"/>
          <w:sz w:val="24"/>
          <w:szCs w:val="24"/>
          <w:lang w:val="en-US" w:eastAsia="zh-CN" w:bidi="ar-SA"/>
        </w:rPr>
        <w:t>管沟回填</w:t>
      </w:r>
      <w:r>
        <w:rPr>
          <w:rStyle w:val="61"/>
          <w:rFonts w:ascii="Times New Roman" w:hAnsi="Times New Roman" w:eastAsia="宋体" w:cs="Times New Roman"/>
          <w:b w:val="0"/>
          <w:i w:val="0"/>
          <w:caps w:val="0"/>
          <w:color w:val="auto"/>
          <w:spacing w:val="0"/>
          <w:w w:val="100"/>
          <w:kern w:val="2"/>
          <w:sz w:val="24"/>
          <w:szCs w:val="24"/>
          <w:lang w:val="en-US" w:eastAsia="zh-CN" w:bidi="ar-SA"/>
        </w:rPr>
        <w:t>→</w:t>
      </w:r>
      <w:r>
        <w:rPr>
          <w:rStyle w:val="61"/>
          <w:rFonts w:hint="eastAsia" w:ascii="Times New Roman" w:hAnsi="Times New Roman" w:eastAsia="宋体" w:cs="Times New Roman"/>
          <w:b w:val="0"/>
          <w:i w:val="0"/>
          <w:caps w:val="0"/>
          <w:color w:val="auto"/>
          <w:spacing w:val="0"/>
          <w:w w:val="100"/>
          <w:kern w:val="2"/>
          <w:sz w:val="24"/>
          <w:szCs w:val="24"/>
          <w:lang w:val="en-US" w:eastAsia="zh-CN" w:bidi="ar-SA"/>
        </w:rPr>
        <w:t>试压投产。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rPr>
          <w:rStyle w:val="61"/>
          <w:rFonts w:hint="default" w:ascii="Times New Roman" w:hAnsi="Times New Roman" w:eastAsia="宋体" w:cs="Times New Roman"/>
          <w:b w:val="0"/>
          <w:i w:val="0"/>
          <w:caps w:val="0"/>
          <w:color w:val="auto"/>
          <w:spacing w:val="0"/>
          <w:w w:val="100"/>
          <w:kern w:val="2"/>
          <w:sz w:val="24"/>
          <w:szCs w:val="24"/>
          <w:lang w:val="en-US" w:eastAsia="zh-CN" w:bidi="ar-SA"/>
        </w:rPr>
      </w:pPr>
      <w:r>
        <w:rPr>
          <w:rStyle w:val="61"/>
          <w:rFonts w:hint="eastAsia" w:ascii="Times New Roman" w:hAnsi="Times New Roman" w:eastAsia="宋体" w:cs="Times New Roman"/>
          <w:b w:val="0"/>
          <w:i w:val="0"/>
          <w:caps w:val="0"/>
          <w:color w:val="auto"/>
          <w:spacing w:val="0"/>
          <w:w w:val="100"/>
          <w:kern w:val="2"/>
          <w:sz w:val="24"/>
          <w:szCs w:val="24"/>
          <w:lang w:val="en-US" w:eastAsia="zh-CN" w:bidi="ar-SA"/>
        </w:rPr>
        <w:t>特殊管线（跨河段）施工工艺：</w:t>
      </w:r>
      <w:r>
        <w:rPr>
          <w:rStyle w:val="61"/>
          <w:rFonts w:hint="default" w:ascii="Times New Roman" w:hAnsi="Times New Roman" w:eastAsia="宋体" w:cs="Times New Roman"/>
          <w:b w:val="0"/>
          <w:i w:val="0"/>
          <w:caps w:val="0"/>
          <w:color w:val="auto"/>
          <w:spacing w:val="0"/>
          <w:w w:val="100"/>
          <w:kern w:val="2"/>
          <w:sz w:val="24"/>
          <w:szCs w:val="24"/>
          <w:lang w:val="en-US" w:eastAsia="zh-CN" w:bidi="ar-SA"/>
        </w:rPr>
        <w:t>本项目管道共有</w:t>
      </w:r>
      <w:r>
        <w:rPr>
          <w:rStyle w:val="61"/>
          <w:rFonts w:hint="eastAsia" w:ascii="Times New Roman" w:hAnsi="Times New Roman" w:cs="Times New Roman"/>
          <w:b w:val="0"/>
          <w:i w:val="0"/>
          <w:caps w:val="0"/>
          <w:color w:val="auto"/>
          <w:spacing w:val="0"/>
          <w:w w:val="100"/>
          <w:kern w:val="2"/>
          <w:sz w:val="24"/>
          <w:szCs w:val="24"/>
          <w:lang w:val="en-US" w:eastAsia="zh-CN" w:bidi="ar-SA"/>
        </w:rPr>
        <w:t>2</w:t>
      </w:r>
      <w:r>
        <w:rPr>
          <w:rStyle w:val="61"/>
          <w:rFonts w:hint="default" w:ascii="Times New Roman" w:hAnsi="Times New Roman" w:eastAsia="宋体" w:cs="Times New Roman"/>
          <w:b w:val="0"/>
          <w:i w:val="0"/>
          <w:caps w:val="0"/>
          <w:color w:val="auto"/>
          <w:spacing w:val="0"/>
          <w:w w:val="100"/>
          <w:kern w:val="2"/>
          <w:sz w:val="24"/>
          <w:szCs w:val="24"/>
          <w:lang w:val="en-US" w:eastAsia="zh-CN" w:bidi="ar-SA"/>
        </w:rPr>
        <w:t>处跨越河流</w:t>
      </w:r>
      <w:r>
        <w:rPr>
          <w:rStyle w:val="61"/>
          <w:rFonts w:hint="eastAsia" w:ascii="Times New Roman" w:hAnsi="Times New Roman" w:cs="Times New Roman"/>
          <w:b w:val="0"/>
          <w:i w:val="0"/>
          <w:caps w:val="0"/>
          <w:color w:val="auto"/>
          <w:spacing w:val="0"/>
          <w:w w:val="100"/>
          <w:kern w:val="2"/>
          <w:sz w:val="24"/>
          <w:szCs w:val="24"/>
          <w:lang w:val="en-US" w:eastAsia="zh-CN" w:bidi="ar-SA"/>
        </w:rPr>
        <w:t>：北干管K7+845~K7+940管段跨姜驿河；金马分干管K1+711~K1+720段跨沙沟箐。</w:t>
      </w:r>
      <w:r>
        <w:rPr>
          <w:rStyle w:val="61"/>
          <w:rFonts w:hint="default" w:ascii="Times New Roman" w:hAnsi="Times New Roman" w:eastAsia="宋体" w:cs="Times New Roman"/>
          <w:b w:val="0"/>
          <w:i w:val="0"/>
          <w:caps w:val="0"/>
          <w:color w:val="auto"/>
          <w:spacing w:val="0"/>
          <w:w w:val="100"/>
          <w:kern w:val="2"/>
          <w:sz w:val="24"/>
          <w:szCs w:val="24"/>
          <w:lang w:val="en-US" w:eastAsia="zh-CN" w:bidi="ar-SA"/>
        </w:rPr>
        <w:t>采用DN300钢管跨越。</w:t>
      </w:r>
      <w:r>
        <w:rPr>
          <w:rStyle w:val="61"/>
          <w:rFonts w:hint="eastAsia" w:ascii="Times New Roman" w:hAnsi="Times New Roman" w:eastAsia="宋体" w:cs="Times New Roman"/>
          <w:b w:val="0"/>
          <w:i w:val="0"/>
          <w:caps w:val="0"/>
          <w:color w:val="auto"/>
          <w:spacing w:val="0"/>
          <w:w w:val="100"/>
          <w:kern w:val="2"/>
          <w:sz w:val="24"/>
          <w:szCs w:val="24"/>
          <w:lang w:val="en-US" w:eastAsia="zh-CN" w:bidi="ar-SA"/>
        </w:rPr>
        <w:t>采用高空管架桥架空方式</w:t>
      </w:r>
      <w:r>
        <w:rPr>
          <w:rStyle w:val="61"/>
          <w:rFonts w:hint="default" w:ascii="Times New Roman" w:hAnsi="Times New Roman" w:eastAsia="宋体" w:cs="Times New Roman"/>
          <w:b w:val="0"/>
          <w:i w:val="0"/>
          <w:caps w:val="0"/>
          <w:color w:val="auto"/>
          <w:spacing w:val="0"/>
          <w:w w:val="100"/>
          <w:kern w:val="2"/>
          <w:sz w:val="24"/>
          <w:szCs w:val="24"/>
          <w:lang w:val="en-US" w:eastAsia="zh-CN" w:bidi="ar-SA"/>
        </w:rPr>
        <w:t>，在河岸岸堤两侧设置支墩，其上设置钢结构支柱，在支柱上方设置钢架，管道沿</w:t>
      </w:r>
      <w:r>
        <w:rPr>
          <w:rStyle w:val="61"/>
          <w:rFonts w:hint="eastAsia" w:ascii="Times New Roman" w:hAnsi="Times New Roman" w:cs="Times New Roman"/>
          <w:b w:val="0"/>
          <w:i w:val="0"/>
          <w:caps w:val="0"/>
          <w:color w:val="auto"/>
          <w:spacing w:val="0"/>
          <w:w w:val="100"/>
          <w:kern w:val="2"/>
          <w:sz w:val="24"/>
          <w:szCs w:val="24"/>
          <w:lang w:val="en-US" w:eastAsia="zh-CN" w:bidi="ar-SA"/>
        </w:rPr>
        <w:t>钢</w:t>
      </w:r>
      <w:r>
        <w:rPr>
          <w:rStyle w:val="61"/>
          <w:rFonts w:hint="default" w:ascii="Times New Roman" w:hAnsi="Times New Roman" w:eastAsia="宋体" w:cs="Times New Roman"/>
          <w:b w:val="0"/>
          <w:i w:val="0"/>
          <w:caps w:val="0"/>
          <w:color w:val="auto"/>
          <w:spacing w:val="0"/>
          <w:w w:val="100"/>
          <w:kern w:val="2"/>
          <w:sz w:val="24"/>
          <w:szCs w:val="24"/>
          <w:lang w:val="en-US" w:eastAsia="zh-CN" w:bidi="ar-SA"/>
        </w:rPr>
        <w:t>架布设。</w:t>
      </w:r>
      <w:r>
        <w:rPr>
          <w:rStyle w:val="61"/>
          <w:rFonts w:hint="eastAsia" w:ascii="Times New Roman" w:hAnsi="Times New Roman" w:cs="Times New Roman"/>
          <w:b w:val="0"/>
          <w:i w:val="0"/>
          <w:caps w:val="0"/>
          <w:color w:val="auto"/>
          <w:spacing w:val="0"/>
          <w:w w:val="100"/>
          <w:kern w:val="2"/>
          <w:sz w:val="24"/>
          <w:szCs w:val="24"/>
          <w:lang w:val="en-US" w:eastAsia="zh-CN" w:bidi="ar-SA"/>
        </w:rPr>
        <w:t>主要</w:t>
      </w:r>
      <w:r>
        <w:rPr>
          <w:rStyle w:val="61"/>
          <w:rFonts w:hint="default" w:ascii="Times New Roman" w:hAnsi="Times New Roman" w:eastAsia="宋体" w:cs="Times New Roman"/>
          <w:b w:val="0"/>
          <w:i w:val="0"/>
          <w:caps w:val="0"/>
          <w:color w:val="auto"/>
          <w:spacing w:val="0"/>
          <w:w w:val="100"/>
          <w:kern w:val="2"/>
          <w:sz w:val="24"/>
          <w:szCs w:val="24"/>
          <w:lang w:val="en-US" w:eastAsia="zh-CN" w:bidi="ar-SA"/>
        </w:rPr>
        <w:t>施工工艺</w:t>
      </w:r>
      <w:r>
        <w:rPr>
          <w:rStyle w:val="61"/>
          <w:rFonts w:hint="eastAsia" w:ascii="Times New Roman" w:hAnsi="Times New Roman" w:cs="Times New Roman"/>
          <w:b w:val="0"/>
          <w:i w:val="0"/>
          <w:caps w:val="0"/>
          <w:color w:val="auto"/>
          <w:spacing w:val="0"/>
          <w:w w:val="100"/>
          <w:kern w:val="2"/>
          <w:sz w:val="24"/>
          <w:szCs w:val="24"/>
          <w:lang w:val="en-US" w:eastAsia="zh-CN" w:bidi="ar-SA"/>
        </w:rPr>
        <w:t>为：测量放线→沟槽开挖→镇墩浇筑→管道固定</w:t>
      </w:r>
      <w:bookmarkStart w:id="395" w:name="OLE_LINK2"/>
      <w:r>
        <w:rPr>
          <w:rStyle w:val="61"/>
          <w:rFonts w:hint="eastAsia" w:ascii="Times New Roman" w:hAnsi="Times New Roman" w:cs="Times New Roman"/>
          <w:b w:val="0"/>
          <w:i w:val="0"/>
          <w:caps w:val="0"/>
          <w:color w:val="auto"/>
          <w:spacing w:val="0"/>
          <w:w w:val="100"/>
          <w:kern w:val="2"/>
          <w:sz w:val="24"/>
          <w:szCs w:val="24"/>
          <w:lang w:val="en-US" w:eastAsia="zh-CN" w:bidi="ar-SA"/>
        </w:rPr>
        <w:t>→</w:t>
      </w:r>
      <w:bookmarkEnd w:id="395"/>
      <w:r>
        <w:rPr>
          <w:rStyle w:val="61"/>
          <w:rFonts w:hint="eastAsia" w:ascii="Times New Roman" w:hAnsi="Times New Roman" w:cs="Times New Roman"/>
          <w:b w:val="0"/>
          <w:i w:val="0"/>
          <w:caps w:val="0"/>
          <w:color w:val="auto"/>
          <w:spacing w:val="0"/>
          <w:w w:val="100"/>
          <w:kern w:val="2"/>
          <w:sz w:val="24"/>
          <w:szCs w:val="24"/>
          <w:lang w:val="en-US" w:eastAsia="zh-CN" w:bidi="ar-SA"/>
        </w:rPr>
        <w:t>管道安装→试压投产。</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80" w:firstLineChars="200"/>
        <w:jc w:val="left"/>
        <w:textAlignment w:val="baseline"/>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③泵站工程</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80" w:firstLineChars="200"/>
        <w:jc w:val="left"/>
        <w:textAlignment w:val="baseline"/>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泵站施工工艺为：场地平整、基础开挖→建筑物构建→场地硬化→设备安装调试→竣工验收。</w:t>
      </w:r>
    </w:p>
    <w:p>
      <w:pPr>
        <w:pStyle w:val="3"/>
        <w:numPr>
          <w:ilvl w:val="1"/>
          <w:numId w:val="1"/>
        </w:numPr>
        <w:bidi w:val="0"/>
        <w:rPr>
          <w:rFonts w:hint="default"/>
          <w:color w:val="auto"/>
          <w:highlight w:val="none"/>
          <w:lang w:val="en-US" w:eastAsia="zh-CN"/>
        </w:rPr>
      </w:pPr>
      <w:bookmarkStart w:id="396" w:name="_Toc10034"/>
      <w:bookmarkStart w:id="397" w:name="_Toc1969"/>
      <w:bookmarkStart w:id="398" w:name="_Toc4955"/>
      <w:bookmarkStart w:id="399" w:name="_Toc20642"/>
      <w:bookmarkStart w:id="400" w:name="_Toc12712"/>
      <w:r>
        <w:rPr>
          <w:rFonts w:hint="default"/>
          <w:color w:val="auto"/>
          <w:highlight w:val="none"/>
          <w:lang w:val="en-US" w:eastAsia="zh-CN"/>
        </w:rPr>
        <w:t>工程</w:t>
      </w:r>
      <w:bookmarkEnd w:id="396"/>
      <w:r>
        <w:rPr>
          <w:rFonts w:hint="eastAsia"/>
          <w:color w:val="auto"/>
          <w:highlight w:val="none"/>
          <w:lang w:val="en-US" w:eastAsia="zh-CN"/>
        </w:rPr>
        <w:t>运行管理</w:t>
      </w:r>
      <w:bookmarkEnd w:id="397"/>
      <w:bookmarkEnd w:id="398"/>
      <w:bookmarkEnd w:id="399"/>
      <w:bookmarkEnd w:id="400"/>
    </w:p>
    <w:p>
      <w:pPr>
        <w:pStyle w:val="4"/>
        <w:numPr>
          <w:ilvl w:val="2"/>
          <w:numId w:val="1"/>
        </w:numPr>
        <w:bidi w:val="0"/>
        <w:rPr>
          <w:rFonts w:hint="eastAsia"/>
          <w:color w:val="auto"/>
          <w:highlight w:val="none"/>
          <w:lang w:val="en-US" w:eastAsia="zh-CN"/>
        </w:rPr>
      </w:pPr>
      <w:bookmarkStart w:id="401" w:name="_Toc8159"/>
      <w:bookmarkStart w:id="402" w:name="_Toc21638"/>
      <w:bookmarkStart w:id="403" w:name="_Toc20260"/>
      <w:r>
        <w:rPr>
          <w:rFonts w:hint="eastAsia"/>
          <w:color w:val="auto"/>
          <w:highlight w:val="none"/>
          <w:lang w:val="en-US" w:eastAsia="zh-CN"/>
        </w:rPr>
        <w:t>施工进度计划</w:t>
      </w:r>
      <w:bookmarkEnd w:id="401"/>
      <w:bookmarkEnd w:id="402"/>
      <w:bookmarkEnd w:id="403"/>
    </w:p>
    <w:p>
      <w:pPr>
        <w:ind w:firstLine="480" w:firstLineChars="200"/>
        <w:rPr>
          <w:rFonts w:hint="eastAsia"/>
          <w:color w:val="auto"/>
          <w:highlight w:val="none"/>
          <w:lang w:val="en-US" w:eastAsia="zh-CN"/>
        </w:rPr>
      </w:pPr>
      <w:r>
        <w:rPr>
          <w:rFonts w:hint="eastAsia"/>
          <w:color w:val="auto"/>
          <w:highlight w:val="none"/>
          <w:lang w:val="en-US" w:eastAsia="zh-CN"/>
        </w:rPr>
        <w:t>施工总进度计划主要依据施工规划要求，充分考虑地方工程施工特点，合理安排各项工程施工工期。工程建设全过程可划分为：工程筹建期、工程施工准备期、主体工程施工期和工程完建期，工程施工总工期为后三项工期之和。总施工工期为24个月，跨3个年度。</w:t>
      </w:r>
    </w:p>
    <w:p>
      <w:pPr>
        <w:ind w:firstLine="480" w:firstLineChars="200"/>
        <w:rPr>
          <w:rFonts w:hint="eastAsia"/>
          <w:color w:val="auto"/>
          <w:highlight w:val="none"/>
          <w:lang w:val="en-US" w:eastAsia="zh-CN"/>
        </w:rPr>
      </w:pPr>
      <w:r>
        <w:rPr>
          <w:rFonts w:hint="eastAsia"/>
          <w:color w:val="auto"/>
          <w:highlight w:val="none"/>
          <w:lang w:val="en-US" w:eastAsia="zh-CN"/>
        </w:rPr>
        <w:t>本工程施工进度关键线路为北干管输水管施工：施工准备（2个月）→土石方明挖（16个月）→混凝土浇筑（16个月占直线工期1个月）→土石方回填（占直线工期1个月）→收尾工程（3个月）。</w:t>
      </w:r>
    </w:p>
    <w:p>
      <w:pPr>
        <w:rPr>
          <w:rFonts w:hint="eastAsia"/>
          <w:color w:val="auto"/>
          <w:highlight w:val="none"/>
          <w:lang w:val="en-US" w:eastAsia="zh-CN"/>
        </w:rPr>
      </w:pPr>
      <w:r>
        <w:rPr>
          <w:rFonts w:hint="eastAsia"/>
          <w:color w:val="auto"/>
          <w:highlight w:val="none"/>
          <w:lang w:val="en-US" w:eastAsia="zh-CN"/>
        </w:rPr>
        <w:t>一、工程筹建期</w:t>
      </w:r>
    </w:p>
    <w:p>
      <w:pPr>
        <w:ind w:firstLine="480" w:firstLineChars="200"/>
        <w:rPr>
          <w:rFonts w:hint="eastAsia"/>
          <w:color w:val="auto"/>
          <w:highlight w:val="none"/>
          <w:lang w:val="en-US" w:eastAsia="zh-CN"/>
        </w:rPr>
      </w:pPr>
      <w:r>
        <w:rPr>
          <w:rFonts w:hint="eastAsia"/>
          <w:color w:val="auto"/>
          <w:highlight w:val="none"/>
          <w:lang w:val="en-US" w:eastAsia="zh-CN"/>
        </w:rPr>
        <w:t>工程筹建期主要由业主完成三通一平、工程征地以及施工招标、评标、签约等工作，该部分在开工前完成（3个月）。</w:t>
      </w:r>
    </w:p>
    <w:p>
      <w:pPr>
        <w:rPr>
          <w:rFonts w:hint="eastAsia"/>
          <w:color w:val="auto"/>
          <w:highlight w:val="none"/>
          <w:lang w:val="en-US" w:eastAsia="zh-CN"/>
        </w:rPr>
      </w:pPr>
      <w:r>
        <w:rPr>
          <w:rFonts w:hint="eastAsia"/>
          <w:color w:val="auto"/>
          <w:highlight w:val="none"/>
          <w:lang w:val="en-US" w:eastAsia="zh-CN"/>
        </w:rPr>
        <w:t>二、工程施工准备期</w:t>
      </w:r>
    </w:p>
    <w:p>
      <w:pPr>
        <w:ind w:firstLine="480" w:firstLineChars="200"/>
        <w:rPr>
          <w:rFonts w:hint="eastAsia"/>
          <w:color w:val="auto"/>
          <w:highlight w:val="none"/>
          <w:lang w:val="en-US" w:eastAsia="zh-CN"/>
        </w:rPr>
      </w:pPr>
      <w:r>
        <w:rPr>
          <w:rFonts w:hint="eastAsia"/>
          <w:color w:val="auto"/>
          <w:highlight w:val="none"/>
          <w:lang w:val="en-US" w:eastAsia="zh-CN"/>
        </w:rPr>
        <w:t>准备期施工项目有：场内道路施工、场地平整、供水、场内供电系统及施工通讯，混凝土拌和系统、临时房建的建设，计划工期为2个月。该部分开始于第一年9月初，完成于10月底。</w:t>
      </w:r>
    </w:p>
    <w:p>
      <w:pPr>
        <w:rPr>
          <w:rFonts w:hint="eastAsia"/>
          <w:color w:val="auto"/>
          <w:highlight w:val="none"/>
          <w:lang w:val="en-US" w:eastAsia="zh-CN"/>
        </w:rPr>
      </w:pPr>
      <w:r>
        <w:rPr>
          <w:rFonts w:hint="eastAsia"/>
          <w:color w:val="auto"/>
          <w:highlight w:val="none"/>
          <w:lang w:val="en-US" w:eastAsia="zh-CN"/>
        </w:rPr>
        <w:t>三、主体工程施工期</w:t>
      </w:r>
    </w:p>
    <w:p>
      <w:pPr>
        <w:rPr>
          <w:rFonts w:hint="eastAsia"/>
          <w:color w:val="auto"/>
          <w:highlight w:val="none"/>
          <w:lang w:val="en-US" w:eastAsia="zh-CN"/>
        </w:rPr>
      </w:pPr>
      <w:r>
        <w:rPr>
          <w:rFonts w:hint="eastAsia"/>
          <w:color w:val="auto"/>
          <w:highlight w:val="none"/>
          <w:lang w:val="en-US" w:eastAsia="zh-CN"/>
        </w:rPr>
        <w:t>1、管首工程</w:t>
      </w:r>
    </w:p>
    <w:p>
      <w:pPr>
        <w:ind w:firstLine="480" w:firstLineChars="200"/>
        <w:rPr>
          <w:rFonts w:hint="eastAsia"/>
          <w:color w:val="auto"/>
          <w:highlight w:val="none"/>
          <w:lang w:val="en-US" w:eastAsia="zh-CN"/>
        </w:rPr>
      </w:pPr>
      <w:r>
        <w:rPr>
          <w:rFonts w:hint="eastAsia"/>
          <w:color w:val="auto"/>
          <w:highlight w:val="none"/>
          <w:lang w:val="en-US" w:eastAsia="zh-CN"/>
        </w:rPr>
        <w:t>第一年11月开始，第二年3月底完成开挖，3月至5月完成混凝土浇筑，6月至8月底完成剩余工程。</w:t>
      </w:r>
    </w:p>
    <w:p>
      <w:pPr>
        <w:rPr>
          <w:rFonts w:hint="eastAsia"/>
          <w:color w:val="auto"/>
          <w:highlight w:val="none"/>
          <w:lang w:val="en-US" w:eastAsia="zh-CN"/>
        </w:rPr>
      </w:pPr>
      <w:r>
        <w:rPr>
          <w:rFonts w:hint="eastAsia"/>
          <w:color w:val="auto"/>
          <w:highlight w:val="none"/>
          <w:lang w:val="en-US" w:eastAsia="zh-CN"/>
        </w:rPr>
        <w:t>2、输水管道工程</w:t>
      </w:r>
    </w:p>
    <w:p>
      <w:pPr>
        <w:ind w:firstLine="480" w:firstLineChars="200"/>
        <w:rPr>
          <w:rFonts w:hint="eastAsia"/>
          <w:color w:val="auto"/>
          <w:highlight w:val="none"/>
          <w:lang w:val="en-US" w:eastAsia="zh-CN"/>
        </w:rPr>
      </w:pPr>
      <w:r>
        <w:rPr>
          <w:rFonts w:hint="eastAsia"/>
          <w:color w:val="auto"/>
          <w:highlight w:val="none"/>
          <w:lang w:val="en-US" w:eastAsia="zh-CN"/>
        </w:rPr>
        <w:t>（1）北干管输水管</w:t>
      </w:r>
    </w:p>
    <w:p>
      <w:pPr>
        <w:ind w:firstLine="480" w:firstLineChars="200"/>
        <w:rPr>
          <w:rFonts w:hint="eastAsia"/>
          <w:color w:val="auto"/>
          <w:highlight w:val="none"/>
          <w:lang w:val="en-US" w:eastAsia="zh-CN"/>
        </w:rPr>
      </w:pPr>
      <w:r>
        <w:rPr>
          <w:rFonts w:hint="eastAsia"/>
          <w:color w:val="auto"/>
          <w:highlight w:val="none"/>
          <w:lang w:val="en-US" w:eastAsia="zh-CN"/>
        </w:rPr>
        <w:t>第一年11月开始，第三年1月底完成管道铺设施工，第三年2月至第三年5月底完成闸阀井施工以及灌区信息化设备安装、调试。</w:t>
      </w:r>
    </w:p>
    <w:p>
      <w:pPr>
        <w:ind w:firstLine="480" w:firstLineChars="200"/>
        <w:rPr>
          <w:rFonts w:hint="eastAsia"/>
          <w:color w:val="auto"/>
          <w:highlight w:val="none"/>
          <w:lang w:val="en-US" w:eastAsia="zh-CN"/>
        </w:rPr>
      </w:pPr>
      <w:r>
        <w:rPr>
          <w:rFonts w:hint="eastAsia"/>
          <w:color w:val="auto"/>
          <w:highlight w:val="none"/>
          <w:lang w:val="en-US" w:eastAsia="zh-CN"/>
        </w:rPr>
        <w:t>（2）金马分干管</w:t>
      </w:r>
    </w:p>
    <w:p>
      <w:pPr>
        <w:ind w:firstLine="480" w:firstLineChars="200"/>
        <w:rPr>
          <w:rFonts w:hint="eastAsia"/>
          <w:color w:val="auto"/>
          <w:highlight w:val="none"/>
          <w:lang w:val="en-US" w:eastAsia="zh-CN"/>
        </w:rPr>
      </w:pPr>
      <w:r>
        <w:rPr>
          <w:rFonts w:hint="eastAsia"/>
          <w:color w:val="auto"/>
          <w:highlight w:val="none"/>
          <w:lang w:val="en-US" w:eastAsia="zh-CN"/>
        </w:rPr>
        <w:t>第一年11月开始，第二年9月底完成管道铺设施工，第二年9月至12月底完成闸阀井施工以及灌区信息化设备安装、调试。</w:t>
      </w:r>
    </w:p>
    <w:p>
      <w:pPr>
        <w:rPr>
          <w:rFonts w:hint="eastAsia"/>
          <w:color w:val="auto"/>
          <w:highlight w:val="none"/>
          <w:lang w:val="en-US" w:eastAsia="zh-CN"/>
        </w:rPr>
      </w:pPr>
      <w:r>
        <w:rPr>
          <w:rFonts w:hint="eastAsia"/>
          <w:color w:val="auto"/>
          <w:highlight w:val="none"/>
          <w:lang w:val="en-US" w:eastAsia="zh-CN"/>
        </w:rPr>
        <w:t>3、提水泵站及提水管</w:t>
      </w:r>
    </w:p>
    <w:p>
      <w:pPr>
        <w:ind w:firstLine="480" w:firstLineChars="200"/>
        <w:rPr>
          <w:rFonts w:hint="eastAsia"/>
          <w:color w:val="auto"/>
          <w:highlight w:val="none"/>
          <w:lang w:val="en-US" w:eastAsia="zh-CN"/>
        </w:rPr>
      </w:pPr>
      <w:r>
        <w:rPr>
          <w:rFonts w:hint="eastAsia"/>
          <w:color w:val="auto"/>
          <w:highlight w:val="none"/>
          <w:lang w:val="en-US" w:eastAsia="zh-CN"/>
        </w:rPr>
        <w:t>第二年11月开始，第三年4月底完成管道铺设及泵房建设施工，第三年4月至5月底完成剩余工程。</w:t>
      </w:r>
    </w:p>
    <w:p>
      <w:pPr>
        <w:numPr>
          <w:ilvl w:val="0"/>
          <w:numId w:val="13"/>
        </w:numPr>
        <w:rPr>
          <w:rFonts w:hint="eastAsia"/>
          <w:color w:val="auto"/>
          <w:highlight w:val="none"/>
          <w:lang w:val="en-US" w:eastAsia="zh-CN"/>
        </w:rPr>
      </w:pPr>
      <w:r>
        <w:rPr>
          <w:rFonts w:hint="eastAsia"/>
          <w:color w:val="auto"/>
          <w:highlight w:val="none"/>
          <w:lang w:val="en-US" w:eastAsia="zh-CN"/>
        </w:rPr>
        <w:t>工程完建期</w:t>
      </w:r>
    </w:p>
    <w:p>
      <w:pPr>
        <w:numPr>
          <w:ilvl w:val="0"/>
          <w:numId w:val="0"/>
        </w:numPr>
        <w:ind w:firstLine="480" w:firstLineChars="200"/>
        <w:rPr>
          <w:rFonts w:hint="eastAsia"/>
          <w:color w:val="auto"/>
          <w:highlight w:val="none"/>
          <w:lang w:val="en-US" w:eastAsia="zh-CN"/>
        </w:rPr>
      </w:pPr>
      <w:r>
        <w:rPr>
          <w:rFonts w:hint="eastAsia"/>
          <w:color w:val="auto"/>
          <w:highlight w:val="none"/>
          <w:lang w:val="en-US" w:eastAsia="zh-CN"/>
        </w:rPr>
        <w:t>第三年6月初至第三年8月底完成工程建设施工场地清理退场，竣工资料整编，组织竣工验收，并安排好投入运行的项目的建后管理。</w:t>
      </w:r>
    </w:p>
    <w:p>
      <w:pPr>
        <w:pStyle w:val="4"/>
        <w:numPr>
          <w:ilvl w:val="2"/>
          <w:numId w:val="1"/>
        </w:numPr>
        <w:bidi w:val="0"/>
        <w:rPr>
          <w:rFonts w:hint="eastAsia"/>
          <w:color w:val="auto"/>
          <w:highlight w:val="none"/>
          <w:lang w:val="en-US" w:eastAsia="zh-CN"/>
        </w:rPr>
      </w:pPr>
      <w:bookmarkStart w:id="404" w:name="_Toc4799"/>
      <w:bookmarkStart w:id="405" w:name="_Toc22170"/>
      <w:bookmarkStart w:id="406" w:name="_Toc8778"/>
      <w:r>
        <w:rPr>
          <w:rFonts w:hint="eastAsia"/>
          <w:color w:val="auto"/>
          <w:highlight w:val="none"/>
          <w:lang w:val="en-US" w:eastAsia="zh-CN"/>
        </w:rPr>
        <w:t>劳动定员及工作时间</w:t>
      </w:r>
      <w:bookmarkEnd w:id="404"/>
      <w:bookmarkEnd w:id="405"/>
      <w:bookmarkEnd w:id="406"/>
    </w:p>
    <w:p>
      <w:pPr>
        <w:bidi w:val="0"/>
        <w:ind w:firstLine="480" w:firstLineChars="200"/>
        <w:rPr>
          <w:rFonts w:hint="eastAsia"/>
          <w:color w:val="auto"/>
          <w:highlight w:val="none"/>
          <w:lang w:val="en-US" w:eastAsia="zh-CN"/>
        </w:rPr>
      </w:pPr>
      <w:r>
        <w:rPr>
          <w:rFonts w:hint="eastAsia"/>
          <w:color w:val="auto"/>
          <w:highlight w:val="none"/>
          <w:lang w:val="en-US" w:eastAsia="zh-CN"/>
        </w:rPr>
        <w:t>本工程施工期平均约有50人，每日工作时间为8小时，夜间不施工。</w:t>
      </w:r>
      <w:r>
        <w:rPr>
          <w:rFonts w:hint="default"/>
          <w:color w:val="auto"/>
          <w:highlight w:val="none"/>
          <w:lang w:val="en-US" w:eastAsia="zh-CN"/>
        </w:rPr>
        <w:t>灌区现状主要由元谋县姜驿乡水管站负责管理，</w:t>
      </w:r>
      <w:r>
        <w:rPr>
          <w:rFonts w:hint="eastAsia"/>
          <w:color w:val="auto"/>
          <w:highlight w:val="none"/>
          <w:lang w:val="en-US" w:eastAsia="zh-CN"/>
        </w:rPr>
        <w:t>工作人员有2名。</w:t>
      </w:r>
    </w:p>
    <w:p>
      <w:pPr>
        <w:pStyle w:val="4"/>
        <w:numPr>
          <w:ilvl w:val="2"/>
          <w:numId w:val="1"/>
        </w:numPr>
        <w:bidi w:val="0"/>
        <w:rPr>
          <w:rFonts w:hint="eastAsia"/>
          <w:color w:val="auto"/>
          <w:highlight w:val="none"/>
          <w:lang w:val="en-US" w:eastAsia="zh-CN"/>
        </w:rPr>
      </w:pPr>
      <w:bookmarkStart w:id="407" w:name="_Toc4694"/>
      <w:bookmarkStart w:id="408" w:name="_Toc12922"/>
      <w:bookmarkStart w:id="409" w:name="_Toc6276"/>
      <w:r>
        <w:rPr>
          <w:rFonts w:hint="eastAsia"/>
          <w:color w:val="auto"/>
          <w:highlight w:val="none"/>
          <w:lang w:val="en-US" w:eastAsia="zh-CN"/>
        </w:rPr>
        <w:t>运行管理</w:t>
      </w:r>
      <w:bookmarkEnd w:id="407"/>
      <w:bookmarkEnd w:id="408"/>
      <w:bookmarkEnd w:id="409"/>
    </w:p>
    <w:p>
      <w:pPr>
        <w:bidi w:val="0"/>
        <w:rPr>
          <w:color w:val="auto"/>
        </w:rPr>
      </w:pPr>
      <w:r>
        <w:rPr>
          <w:rFonts w:hint="eastAsia"/>
          <w:color w:val="auto"/>
          <w:lang w:val="en-US" w:eastAsia="zh-CN"/>
        </w:rPr>
        <w:t>成立灌区管理局对项目运行调度进行管控，另外管理所配备2名管理人员实时监控管理灌区。</w:t>
      </w:r>
      <w:r>
        <w:rPr>
          <w:color w:val="auto"/>
        </w:rPr>
        <w:t>灌区实行用水总量控制与用水定额管理，严格按计划供水，灌区内各用水单位（户）根据具体情况向灌区管理局提出用水申请，与水库管理所签订供用水合同，明确责、权、利关系。每年初由各用水户协会汇总各用水户年度用水量计划，上报供水单位，并与供水单位签订供水合同，明确双方权利和义务，用水户需要灌溉时，按供水计划由协会统一向供水单位提前申请，供水单位向协会开闸放水，再由协会分配给用水户。对超量用水的，水库管理所有权限制供水，直至停止供水；任何单位或个人不得干预或阻挠灌区管理人员履行职责，破坏用水秩序。灌溉期间，灌区管理人员对用水单位（户）进行技 术指导，掌握进度，及时处理水事纠纷。灌溉期间如遇降雨或出现工程重大险情事故，灌区管理单位有权临时决定减水、退水或停水，必要时召开灌区用水单位（户） 代表大会通报情况。</w:t>
      </w:r>
    </w:p>
    <w:p>
      <w:pPr>
        <w:rPr>
          <w:rFonts w:hint="eastAsia"/>
          <w:color w:val="auto"/>
          <w:highlight w:val="none"/>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p>
    <w:p>
      <w:pPr>
        <w:rPr>
          <w:rFonts w:hint="eastAsia"/>
          <w:color w:val="auto"/>
          <w:lang w:val="en-US" w:eastAsia="zh-CN"/>
        </w:rPr>
      </w:pPr>
    </w:p>
    <w:bookmarkEnd w:id="378"/>
    <w:bookmarkEnd w:id="379"/>
    <w:p>
      <w:pPr>
        <w:pStyle w:val="2"/>
        <w:numPr>
          <w:ilvl w:val="0"/>
          <w:numId w:val="1"/>
        </w:numPr>
        <w:bidi w:val="0"/>
        <w:rPr>
          <w:rFonts w:hint="default"/>
          <w:color w:val="auto"/>
          <w:highlight w:val="none"/>
        </w:rPr>
      </w:pPr>
      <w:bookmarkStart w:id="410" w:name="_Toc25628"/>
      <w:bookmarkStart w:id="411" w:name="_Toc8379"/>
      <w:bookmarkStart w:id="412" w:name="_Toc3716"/>
      <w:bookmarkStart w:id="413" w:name="_Toc26783"/>
      <w:bookmarkStart w:id="414" w:name="_Toc26805"/>
      <w:bookmarkStart w:id="415" w:name="_Toc30763"/>
      <w:bookmarkStart w:id="416" w:name="_Toc16110"/>
      <w:bookmarkStart w:id="417" w:name="_Toc27141"/>
      <w:bookmarkStart w:id="418" w:name="_Toc9192"/>
      <w:r>
        <w:rPr>
          <w:rFonts w:hint="default"/>
          <w:color w:val="auto"/>
          <w:highlight w:val="none"/>
        </w:rPr>
        <w:t>工程分析</w:t>
      </w:r>
      <w:bookmarkEnd w:id="410"/>
      <w:bookmarkEnd w:id="411"/>
      <w:bookmarkEnd w:id="412"/>
      <w:bookmarkEnd w:id="413"/>
      <w:bookmarkEnd w:id="414"/>
      <w:bookmarkEnd w:id="415"/>
      <w:bookmarkEnd w:id="416"/>
      <w:bookmarkEnd w:id="417"/>
      <w:bookmarkEnd w:id="418"/>
    </w:p>
    <w:p>
      <w:pPr>
        <w:pStyle w:val="3"/>
        <w:bidi w:val="0"/>
        <w:rPr>
          <w:rFonts w:hint="eastAsia"/>
          <w:color w:val="auto"/>
          <w:highlight w:val="none"/>
          <w:lang w:val="en-US" w:eastAsia="zh-CN"/>
        </w:rPr>
      </w:pPr>
      <w:bookmarkStart w:id="419" w:name="_Toc15527"/>
      <w:bookmarkStart w:id="420" w:name="_Toc28608"/>
      <w:bookmarkStart w:id="421" w:name="_Toc1694"/>
      <w:bookmarkStart w:id="422" w:name="_Toc28013"/>
      <w:bookmarkStart w:id="423" w:name="_Toc9892"/>
      <w:bookmarkStart w:id="424" w:name="_Toc7931"/>
      <w:r>
        <w:rPr>
          <w:rFonts w:hint="eastAsia"/>
          <w:color w:val="auto"/>
          <w:highlight w:val="none"/>
          <w:lang w:val="en-US" w:eastAsia="zh-CN"/>
        </w:rPr>
        <w:t>施工</w:t>
      </w:r>
      <w:r>
        <w:rPr>
          <w:rFonts w:hint="default"/>
          <w:color w:val="auto"/>
          <w:highlight w:val="none"/>
        </w:rPr>
        <w:t>工艺流程</w:t>
      </w:r>
      <w:r>
        <w:rPr>
          <w:rFonts w:hint="eastAsia"/>
          <w:color w:val="auto"/>
          <w:highlight w:val="none"/>
          <w:lang w:val="en-US" w:eastAsia="zh-CN"/>
        </w:rPr>
        <w:t>及</w:t>
      </w:r>
      <w:r>
        <w:rPr>
          <w:rFonts w:hint="default"/>
          <w:color w:val="auto"/>
          <w:highlight w:val="none"/>
        </w:rPr>
        <w:t>产</w:t>
      </w:r>
      <w:r>
        <w:rPr>
          <w:rFonts w:hint="eastAsia"/>
          <w:color w:val="auto"/>
          <w:highlight w:val="none"/>
          <w:lang w:val="en-US" w:eastAsia="zh-CN"/>
        </w:rPr>
        <w:t>污</w:t>
      </w:r>
      <w:r>
        <w:rPr>
          <w:rFonts w:hint="default"/>
          <w:color w:val="auto"/>
          <w:highlight w:val="none"/>
        </w:rPr>
        <w:t>节点分析</w:t>
      </w:r>
      <w:bookmarkEnd w:id="419"/>
    </w:p>
    <w:p>
      <w:pPr>
        <w:snapToGrid w:val="0"/>
        <w:spacing w:before="0" w:beforeAutospacing="0" w:after="0" w:afterAutospacing="0" w:line="360" w:lineRule="auto"/>
        <w:ind w:firstLine="480" w:firstLineChars="200"/>
        <w:jc w:val="left"/>
        <w:textAlignment w:val="baseline"/>
        <w:rPr>
          <w:rStyle w:val="61"/>
          <w:rFonts w:ascii="Times New Roman" w:hAnsi="Times New Roman" w:eastAsia="宋体"/>
          <w:b w:val="0"/>
          <w:i w:val="0"/>
          <w:caps w:val="0"/>
          <w:color w:val="auto"/>
          <w:spacing w:val="0"/>
          <w:w w:val="100"/>
          <w:kern w:val="2"/>
          <w:sz w:val="24"/>
          <w:szCs w:val="24"/>
          <w:lang w:val="en-US" w:eastAsia="zh-CN" w:bidi="ar-SA"/>
        </w:rPr>
      </w:pPr>
      <w:r>
        <w:rPr>
          <w:rStyle w:val="61"/>
          <w:rFonts w:ascii="Times New Roman" w:hAnsi="Times New Roman" w:eastAsia="宋体"/>
          <w:b w:val="0"/>
          <w:i w:val="0"/>
          <w:caps w:val="0"/>
          <w:color w:val="auto"/>
          <w:spacing w:val="0"/>
          <w:w w:val="100"/>
          <w:kern w:val="2"/>
          <w:sz w:val="24"/>
          <w:szCs w:val="24"/>
          <w:lang w:val="en-US" w:eastAsia="zh-CN" w:bidi="ar-SA"/>
        </w:rPr>
        <w:t>本工程施工项目主要包括</w:t>
      </w:r>
      <w:r>
        <w:rPr>
          <w:rStyle w:val="61"/>
          <w:rFonts w:hint="eastAsia"/>
          <w:b w:val="0"/>
          <w:i w:val="0"/>
          <w:caps w:val="0"/>
          <w:color w:val="auto"/>
          <w:spacing w:val="0"/>
          <w:w w:val="100"/>
          <w:kern w:val="2"/>
          <w:sz w:val="24"/>
          <w:szCs w:val="24"/>
          <w:lang w:val="en-US" w:eastAsia="zh-CN" w:bidi="ar-SA"/>
        </w:rPr>
        <w:t>水池、泵站、管道</w:t>
      </w:r>
      <w:r>
        <w:rPr>
          <w:rStyle w:val="61"/>
          <w:rFonts w:ascii="Times New Roman" w:hAnsi="Times New Roman" w:eastAsia="宋体"/>
          <w:b w:val="0"/>
          <w:i w:val="0"/>
          <w:caps w:val="0"/>
          <w:color w:val="auto"/>
          <w:spacing w:val="0"/>
          <w:w w:val="100"/>
          <w:kern w:val="2"/>
          <w:sz w:val="24"/>
          <w:szCs w:val="24"/>
          <w:lang w:val="en-US" w:eastAsia="zh-CN" w:bidi="ar-SA"/>
        </w:rPr>
        <w:t>，具体施工期工艺流程和产污环节如下所述。</w:t>
      </w:r>
    </w:p>
    <w:p>
      <w:pPr>
        <w:snapToGrid w:val="0"/>
        <w:spacing w:before="0" w:beforeAutospacing="0" w:after="0" w:afterAutospacing="0" w:line="360" w:lineRule="auto"/>
        <w:ind w:firstLine="482" w:firstLineChars="200"/>
        <w:jc w:val="left"/>
        <w:textAlignment w:val="baseline"/>
        <w:rPr>
          <w:rStyle w:val="61"/>
          <w:rFonts w:hint="default"/>
          <w:b/>
          <w:bCs/>
          <w:i w:val="0"/>
          <w:caps w:val="0"/>
          <w:color w:val="auto"/>
          <w:spacing w:val="0"/>
          <w:w w:val="100"/>
          <w:kern w:val="2"/>
          <w:sz w:val="24"/>
          <w:szCs w:val="24"/>
          <w:lang w:val="en-US" w:eastAsia="zh-CN" w:bidi="ar-SA"/>
        </w:rPr>
      </w:pPr>
      <w:r>
        <w:rPr>
          <w:rStyle w:val="61"/>
          <w:rFonts w:hint="eastAsia"/>
          <w:b/>
          <w:bCs/>
          <w:i w:val="0"/>
          <w:caps w:val="0"/>
          <w:color w:val="auto"/>
          <w:spacing w:val="0"/>
          <w:w w:val="100"/>
          <w:kern w:val="2"/>
          <w:sz w:val="24"/>
          <w:szCs w:val="24"/>
          <w:lang w:val="en-US" w:eastAsia="zh-CN" w:bidi="ar-SA"/>
        </w:rPr>
        <w:t xml:space="preserve">1、水池施工工艺 </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Times New Roman" w:hAnsi="Times New Roman" w:eastAsia="宋体" w:cs="Times New Roman"/>
          <w:snapToGrid w:val="0"/>
          <w:color w:val="auto"/>
          <w:sz w:val="24"/>
          <w:szCs w:val="24"/>
          <w:lang w:eastAsia="zh-CN"/>
        </w:rPr>
      </w:pPr>
      <w:r>
        <w:rPr>
          <w:rFonts w:hint="eastAsia" w:ascii="Times New Roman" w:hAnsi="Times New Roman" w:cs="Times New Roman"/>
          <w:snapToGrid w:val="0"/>
          <w:color w:val="auto"/>
          <w:sz w:val="24"/>
          <w:szCs w:val="24"/>
          <w:lang w:val="en-US" w:eastAsia="zh-CN"/>
        </w:rPr>
        <w:t>本项目水池的施工工艺主要为：</w:t>
      </w:r>
      <w:r>
        <w:rPr>
          <w:rFonts w:hint="default" w:ascii="Times New Roman" w:hAnsi="Times New Roman" w:cs="Times New Roman"/>
          <w:snapToGrid w:val="0"/>
          <w:color w:val="auto"/>
          <w:sz w:val="24"/>
          <w:szCs w:val="24"/>
        </w:rPr>
        <w:t>水池土方</w:t>
      </w:r>
      <w:r>
        <w:rPr>
          <w:rFonts w:hint="eastAsia" w:cs="Times New Roman"/>
          <w:snapToGrid w:val="0"/>
          <w:color w:val="auto"/>
          <w:sz w:val="24"/>
          <w:szCs w:val="24"/>
          <w:lang w:val="en-US" w:eastAsia="zh-CN"/>
        </w:rPr>
        <w:t>开</w:t>
      </w:r>
      <w:r>
        <w:rPr>
          <w:rFonts w:hint="default" w:ascii="Times New Roman" w:hAnsi="Times New Roman" w:cs="Times New Roman"/>
          <w:snapToGrid w:val="0"/>
          <w:color w:val="auto"/>
          <w:sz w:val="24"/>
          <w:szCs w:val="24"/>
        </w:rPr>
        <w:t>挖</w:t>
      </w:r>
      <w:r>
        <w:rPr>
          <w:rFonts w:hint="eastAsia" w:ascii="Times New Roman" w:hAnsi="Times New Roman" w:cs="Times New Roman"/>
          <w:snapToGrid w:val="0"/>
          <w:color w:val="auto"/>
          <w:sz w:val="24"/>
          <w:szCs w:val="24"/>
          <w:lang w:eastAsia="zh-CN"/>
        </w:rPr>
        <w:t>、</w:t>
      </w:r>
      <w:r>
        <w:rPr>
          <w:rFonts w:hint="eastAsia" w:cs="Times New Roman"/>
          <w:snapToGrid w:val="0"/>
          <w:color w:val="auto"/>
          <w:sz w:val="24"/>
          <w:szCs w:val="24"/>
          <w:lang w:val="en-US" w:eastAsia="zh-CN"/>
        </w:rPr>
        <w:t>坑体平整、池壁池底混凝土浇筑</w:t>
      </w:r>
      <w:r>
        <w:rPr>
          <w:rFonts w:hint="eastAsia" w:ascii="Times New Roman" w:hAnsi="Times New Roman" w:cs="Times New Roman"/>
          <w:snapToGrid w:val="0"/>
          <w:color w:val="auto"/>
          <w:sz w:val="24"/>
          <w:szCs w:val="24"/>
          <w:lang w:eastAsia="zh-CN"/>
        </w:rPr>
        <w:t>、</w:t>
      </w:r>
      <w:r>
        <w:rPr>
          <w:rFonts w:hint="eastAsia" w:cs="Times New Roman"/>
          <w:snapToGrid w:val="0"/>
          <w:color w:val="auto"/>
          <w:sz w:val="24"/>
          <w:szCs w:val="24"/>
          <w:lang w:val="en-US" w:eastAsia="zh-CN"/>
        </w:rPr>
        <w:t>进行进出水管安装、满水实验</w:t>
      </w:r>
      <w:r>
        <w:rPr>
          <w:rFonts w:hint="eastAsia" w:ascii="Times New Roman" w:hAnsi="Times New Roman" w:eastAsia="宋体" w:cs="Times New Roman"/>
          <w:snapToGrid w:val="0"/>
          <w:color w:val="auto"/>
          <w:sz w:val="24"/>
          <w:szCs w:val="24"/>
          <w:lang w:val="en-US" w:eastAsia="zh-CN"/>
        </w:rPr>
        <w:t>、</w:t>
      </w:r>
      <w:r>
        <w:rPr>
          <w:rFonts w:hint="default" w:ascii="Times New Roman" w:hAnsi="Times New Roman" w:cs="Times New Roman"/>
          <w:snapToGrid w:val="0"/>
          <w:color w:val="auto"/>
          <w:sz w:val="24"/>
          <w:szCs w:val="24"/>
        </w:rPr>
        <w:t>土石方回填</w:t>
      </w:r>
      <w:r>
        <w:rPr>
          <w:rFonts w:hint="eastAsia" w:ascii="Times New Roman" w:hAnsi="Times New Roman" w:cs="Times New Roman"/>
          <w:snapToGrid w:val="0"/>
          <w:color w:val="auto"/>
          <w:sz w:val="24"/>
          <w:szCs w:val="24"/>
          <w:lang w:val="en-US" w:eastAsia="zh-CN"/>
        </w:rPr>
        <w:t>等。</w:t>
      </w:r>
      <w:r>
        <w:rPr>
          <w:rStyle w:val="61"/>
          <w:rFonts w:ascii="Times New Roman" w:hAnsi="Times New Roman" w:eastAsia="宋体"/>
          <w:b w:val="0"/>
          <w:i w:val="0"/>
          <w:caps w:val="0"/>
          <w:color w:val="auto"/>
          <w:spacing w:val="0"/>
          <w:w w:val="100"/>
          <w:kern w:val="2"/>
          <w:sz w:val="24"/>
          <w:szCs w:val="24"/>
          <w:lang w:val="en-US" w:eastAsia="zh-CN" w:bidi="ar-SA"/>
        </w:rPr>
        <w:t>工艺流程及产污节点示意图如下：</w:t>
      </w:r>
    </w:p>
    <w:p>
      <w:pPr>
        <w:rPr>
          <w:rStyle w:val="61"/>
          <w:rFonts w:ascii="Times New Roman" w:hAnsi="Times New Roman" w:eastAsia="宋体"/>
          <w:b w:val="0"/>
          <w:i w:val="0"/>
          <w:caps w:val="0"/>
          <w:color w:val="auto"/>
          <w:spacing w:val="0"/>
          <w:w w:val="100"/>
          <w:kern w:val="2"/>
          <w:sz w:val="24"/>
          <w:szCs w:val="24"/>
          <w:lang w:val="en-US" w:eastAsia="zh-CN" w:bidi="ar-SA"/>
        </w:rPr>
      </w:pPr>
      <w:r>
        <w:rPr>
          <w:rStyle w:val="61"/>
          <w:rFonts w:hint="eastAsia" w:ascii="Times New Roman" w:hAnsi="Times New Roman" w:eastAsia="宋体" w:cs="Times New Roman"/>
          <w:b/>
          <w:bCs/>
          <w:i w:val="0"/>
          <w:caps w:val="0"/>
          <w:color w:val="auto"/>
          <w:spacing w:val="0"/>
          <w:w w:val="100"/>
          <w:kern w:val="2"/>
          <w:sz w:val="24"/>
          <w:szCs w:val="24"/>
          <w:lang w:val="en-US" w:eastAsia="zh-CN" w:bidi="ar-SA"/>
        </w:rPr>
        <w:object>
          <v:shape id="_x0000_i1026" o:spt="75" type="#_x0000_t75" style="height:117.75pt;width:386.25pt;" o:ole="t" filled="f" o:preferrelative="t" stroked="f" coordsize="21600,21600">
            <v:path/>
            <v:fill on="f" focussize="0,0"/>
            <v:stroke on="f"/>
            <v:imagedata r:id="rId49" cropright="6003f" o:title=""/>
            <o:lock v:ext="edit" aspectratio="f"/>
            <w10:wrap type="none"/>
            <w10:anchorlock/>
          </v:shape>
          <o:OLEObject Type="Embed" ProgID="Visio.Drawing.11" ShapeID="_x0000_i1026" DrawAspect="Content" ObjectID="_1468075726" r:id="rId48">
            <o:LockedField>false</o:LockedField>
          </o:OLEObject>
        </w:object>
      </w:r>
    </w:p>
    <w:p>
      <w:pPr>
        <w:snapToGrid w:val="0"/>
        <w:spacing w:before="0" w:beforeAutospacing="0" w:after="0" w:afterAutospacing="0" w:line="360" w:lineRule="auto"/>
        <w:jc w:val="center"/>
        <w:textAlignment w:val="baseline"/>
        <w:rPr>
          <w:rStyle w:val="61"/>
          <w:rFonts w:ascii="Times New Roman" w:hAnsi="Times New Roman" w:eastAsia="宋体" w:cs="Times New Roman"/>
          <w:b/>
          <w:bCs/>
          <w:i w:val="0"/>
          <w:caps w:val="0"/>
          <w:color w:val="auto"/>
          <w:spacing w:val="0"/>
          <w:w w:val="100"/>
          <w:kern w:val="2"/>
          <w:sz w:val="21"/>
          <w:szCs w:val="21"/>
          <w:lang w:val="en-US" w:eastAsia="zh-CN" w:bidi="ar-SA"/>
        </w:rPr>
      </w:pPr>
      <w:r>
        <w:rPr>
          <w:rStyle w:val="61"/>
          <w:rFonts w:ascii="Times New Roman" w:hAnsi="Times New Roman" w:eastAsia="宋体" w:cs="Times New Roman"/>
          <w:b/>
          <w:bCs/>
          <w:i w:val="0"/>
          <w:caps w:val="0"/>
          <w:color w:val="auto"/>
          <w:spacing w:val="0"/>
          <w:w w:val="100"/>
          <w:kern w:val="2"/>
          <w:sz w:val="21"/>
          <w:szCs w:val="21"/>
          <w:lang w:val="en-US" w:eastAsia="zh-CN" w:bidi="ar-SA"/>
        </w:rPr>
        <w:t>图</w:t>
      </w:r>
      <w:r>
        <w:rPr>
          <w:rStyle w:val="61"/>
          <w:rFonts w:hint="eastAsia" w:cs="Times New Roman"/>
          <w:b/>
          <w:bCs/>
          <w:i w:val="0"/>
          <w:caps w:val="0"/>
          <w:color w:val="auto"/>
          <w:spacing w:val="0"/>
          <w:w w:val="100"/>
          <w:kern w:val="2"/>
          <w:sz w:val="21"/>
          <w:szCs w:val="21"/>
          <w:lang w:val="en-US" w:eastAsia="zh-CN" w:bidi="ar-SA"/>
        </w:rPr>
        <w:t>3.1.1-1</w:t>
      </w:r>
      <w:r>
        <w:rPr>
          <w:rStyle w:val="61"/>
          <w:rFonts w:ascii="Times New Roman" w:hAnsi="Times New Roman" w:eastAsia="宋体" w:cs="Times New Roman"/>
          <w:b/>
          <w:bCs/>
          <w:i w:val="0"/>
          <w:caps w:val="0"/>
          <w:color w:val="auto"/>
          <w:spacing w:val="0"/>
          <w:w w:val="100"/>
          <w:kern w:val="2"/>
          <w:sz w:val="21"/>
          <w:szCs w:val="21"/>
          <w:lang w:val="en-US" w:eastAsia="zh-CN" w:bidi="ar-SA"/>
        </w:rPr>
        <w:t xml:space="preserve">   </w:t>
      </w:r>
      <w:r>
        <w:rPr>
          <w:rStyle w:val="61"/>
          <w:rFonts w:hint="eastAsia" w:ascii="Times New Roman" w:hAnsi="Times New Roman" w:eastAsia="宋体" w:cs="Times New Roman"/>
          <w:b/>
          <w:bCs/>
          <w:i w:val="0"/>
          <w:caps w:val="0"/>
          <w:color w:val="auto"/>
          <w:spacing w:val="0"/>
          <w:w w:val="100"/>
          <w:kern w:val="2"/>
          <w:sz w:val="21"/>
          <w:szCs w:val="21"/>
          <w:lang w:val="en-US" w:eastAsia="zh-CN" w:bidi="ar-SA"/>
        </w:rPr>
        <w:t>水池</w:t>
      </w:r>
      <w:r>
        <w:rPr>
          <w:rStyle w:val="61"/>
          <w:rFonts w:ascii="Times New Roman" w:hAnsi="Times New Roman" w:eastAsia="宋体" w:cs="Times New Roman"/>
          <w:b/>
          <w:bCs/>
          <w:i w:val="0"/>
          <w:caps w:val="0"/>
          <w:color w:val="auto"/>
          <w:spacing w:val="0"/>
          <w:w w:val="100"/>
          <w:kern w:val="2"/>
          <w:sz w:val="21"/>
          <w:szCs w:val="21"/>
          <w:lang w:val="en-US" w:eastAsia="zh-CN" w:bidi="ar-SA"/>
        </w:rPr>
        <w:t>施工期工艺流程及产污环节示意图</w:t>
      </w:r>
    </w:p>
    <w:p>
      <w:pPr>
        <w:snapToGrid w:val="0"/>
        <w:spacing w:before="0" w:beforeAutospacing="0" w:after="0" w:afterAutospacing="0" w:line="360" w:lineRule="auto"/>
        <w:ind w:firstLine="482" w:firstLineChars="200"/>
        <w:jc w:val="left"/>
        <w:textAlignment w:val="baseline"/>
        <w:rPr>
          <w:rStyle w:val="61"/>
          <w:rFonts w:ascii="Times New Roman" w:hAnsi="Times New Roman" w:eastAsia="宋体" w:cs="Times New Roman"/>
          <w:b/>
          <w:bCs/>
          <w:i w:val="0"/>
          <w:caps w:val="0"/>
          <w:color w:val="auto"/>
          <w:spacing w:val="0"/>
          <w:w w:val="100"/>
          <w:kern w:val="2"/>
          <w:sz w:val="24"/>
          <w:szCs w:val="24"/>
          <w:lang w:val="en-US" w:eastAsia="zh-CN" w:bidi="ar-SA"/>
        </w:rPr>
      </w:pPr>
      <w:r>
        <w:rPr>
          <w:rStyle w:val="61"/>
          <w:rFonts w:hint="eastAsia" w:cs="Times New Roman"/>
          <w:b/>
          <w:bCs/>
          <w:i w:val="0"/>
          <w:caps w:val="0"/>
          <w:color w:val="auto"/>
          <w:spacing w:val="0"/>
          <w:w w:val="100"/>
          <w:kern w:val="2"/>
          <w:sz w:val="24"/>
          <w:szCs w:val="24"/>
          <w:lang w:val="en-US" w:eastAsia="zh-CN" w:bidi="ar-SA"/>
        </w:rPr>
        <w:t>2</w:t>
      </w:r>
      <w:r>
        <w:rPr>
          <w:rStyle w:val="61"/>
          <w:rFonts w:ascii="Times New Roman" w:hAnsi="Times New Roman" w:eastAsia="宋体" w:cs="Times New Roman"/>
          <w:b/>
          <w:bCs/>
          <w:i w:val="0"/>
          <w:caps w:val="0"/>
          <w:color w:val="auto"/>
          <w:spacing w:val="0"/>
          <w:w w:val="100"/>
          <w:kern w:val="2"/>
          <w:sz w:val="24"/>
          <w:szCs w:val="24"/>
          <w:lang w:val="en-US" w:eastAsia="zh-CN" w:bidi="ar-SA"/>
        </w:rPr>
        <w:t>、泵站施工工艺</w:t>
      </w:r>
    </w:p>
    <w:p>
      <w:pPr>
        <w:tabs>
          <w:tab w:val="left" w:pos="892"/>
        </w:tabs>
        <w:snapToGrid w:val="0"/>
        <w:spacing w:before="0" w:beforeAutospacing="0" w:after="0" w:afterAutospacing="0" w:line="360" w:lineRule="auto"/>
        <w:ind w:firstLine="480" w:firstLineChars="200"/>
        <w:jc w:val="left"/>
        <w:textAlignment w:val="baseline"/>
        <w:rPr>
          <w:rStyle w:val="61"/>
          <w:rFonts w:ascii="Times New Roman" w:hAnsi="Times New Roman" w:eastAsia="宋体"/>
          <w:b w:val="0"/>
          <w:i w:val="0"/>
          <w:caps w:val="0"/>
          <w:color w:val="auto"/>
          <w:spacing w:val="0"/>
          <w:w w:val="100"/>
          <w:kern w:val="2"/>
          <w:sz w:val="24"/>
          <w:szCs w:val="24"/>
          <w:lang w:val="en-US" w:eastAsia="zh-CN" w:bidi="ar-SA"/>
        </w:rPr>
      </w:pPr>
      <w:r>
        <w:rPr>
          <w:rStyle w:val="61"/>
          <w:rFonts w:ascii="Times New Roman" w:hAnsi="Times New Roman" w:eastAsia="宋体"/>
          <w:b w:val="0"/>
          <w:i w:val="0"/>
          <w:caps w:val="0"/>
          <w:color w:val="auto"/>
          <w:spacing w:val="0"/>
          <w:w w:val="100"/>
          <w:kern w:val="2"/>
          <w:sz w:val="24"/>
          <w:szCs w:val="24"/>
          <w:lang w:val="en-US" w:eastAsia="zh-CN" w:bidi="ar-SA"/>
        </w:rPr>
        <w:t>泵站施工工艺为：场地平整、基础开挖→建筑物构建→场地硬化→设备安装调试→竣工验收。工艺流程及产污节点示意图如下：</w:t>
      </w:r>
    </w:p>
    <w:p>
      <w:pPr>
        <w:snapToGrid w:val="0"/>
        <w:spacing w:before="0" w:beforeAutospacing="0" w:after="0" w:afterAutospacing="0" w:line="360" w:lineRule="auto"/>
        <w:jc w:val="center"/>
        <w:textAlignment w:val="baseline"/>
        <w:rPr>
          <w:rStyle w:val="61"/>
          <w:rFonts w:ascii="Times New Roman" w:hAnsi="Times New Roman" w:eastAsia="宋体"/>
          <w:b w:val="0"/>
          <w:i w:val="0"/>
          <w:caps w:val="0"/>
          <w:color w:val="auto"/>
          <w:spacing w:val="0"/>
          <w:w w:val="100"/>
          <w:kern w:val="2"/>
          <w:sz w:val="24"/>
          <w:szCs w:val="24"/>
          <w:lang w:val="en-US" w:eastAsia="zh-CN" w:bidi="ar-SA"/>
        </w:rPr>
      </w:pPr>
      <w:r>
        <w:rPr>
          <w:rStyle w:val="61"/>
          <w:rFonts w:ascii="Times New Roman" w:hAnsi="Times New Roman" w:eastAsia="宋体"/>
          <w:b w:val="0"/>
          <w:i w:val="0"/>
          <w:caps w:val="0"/>
          <w:color w:val="auto"/>
          <w:spacing w:val="0"/>
          <w:w w:val="100"/>
          <w:kern w:val="2"/>
          <w:sz w:val="24"/>
          <w:szCs w:val="24"/>
          <w:lang w:val="en-US" w:eastAsia="zh-CN" w:bidi="ar-SA"/>
        </w:rPr>
        <w:drawing>
          <wp:inline distT="0" distB="0" distL="114300" distR="114300">
            <wp:extent cx="5579745" cy="1360170"/>
            <wp:effectExtent l="0" t="0" r="0" b="0"/>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50"/>
                    <a:srcRect t="6047" r="4253" b="27757"/>
                    <a:stretch>
                      <a:fillRect/>
                    </a:stretch>
                  </pic:blipFill>
                  <pic:spPr>
                    <a:xfrm>
                      <a:off x="0" y="0"/>
                      <a:ext cx="5579745" cy="1360170"/>
                    </a:xfrm>
                    <a:prstGeom prst="rect">
                      <a:avLst/>
                    </a:prstGeom>
                    <a:noFill/>
                    <a:ln>
                      <a:noFill/>
                    </a:ln>
                  </pic:spPr>
                </pic:pic>
              </a:graphicData>
            </a:graphic>
          </wp:inline>
        </w:drawing>
      </w:r>
    </w:p>
    <w:p>
      <w:pPr>
        <w:snapToGrid w:val="0"/>
        <w:spacing w:before="0" w:beforeAutospacing="0" w:after="0" w:afterAutospacing="0" w:line="360" w:lineRule="auto"/>
        <w:jc w:val="center"/>
        <w:textAlignment w:val="baseline"/>
        <w:rPr>
          <w:rStyle w:val="61"/>
          <w:rFonts w:ascii="Times New Roman" w:hAnsi="Times New Roman" w:eastAsia="宋体" w:cs="Times New Roman"/>
          <w:b/>
          <w:bCs/>
          <w:i w:val="0"/>
          <w:caps w:val="0"/>
          <w:color w:val="auto"/>
          <w:spacing w:val="0"/>
          <w:w w:val="100"/>
          <w:kern w:val="2"/>
          <w:sz w:val="21"/>
          <w:szCs w:val="21"/>
          <w:lang w:val="en-US" w:eastAsia="zh-CN" w:bidi="ar-SA"/>
        </w:rPr>
      </w:pPr>
      <w:r>
        <w:rPr>
          <w:rStyle w:val="61"/>
          <w:rFonts w:ascii="Times New Roman" w:hAnsi="Times New Roman" w:eastAsia="宋体" w:cs="Times New Roman"/>
          <w:b/>
          <w:bCs/>
          <w:i w:val="0"/>
          <w:caps w:val="0"/>
          <w:color w:val="auto"/>
          <w:spacing w:val="0"/>
          <w:w w:val="100"/>
          <w:kern w:val="2"/>
          <w:sz w:val="21"/>
          <w:szCs w:val="21"/>
          <w:lang w:val="en-US" w:eastAsia="zh-CN" w:bidi="ar-SA"/>
        </w:rPr>
        <w:t>图</w:t>
      </w:r>
      <w:r>
        <w:rPr>
          <w:rStyle w:val="61"/>
          <w:rFonts w:hint="eastAsia" w:cs="Times New Roman"/>
          <w:b/>
          <w:bCs/>
          <w:i w:val="0"/>
          <w:caps w:val="0"/>
          <w:color w:val="auto"/>
          <w:spacing w:val="0"/>
          <w:w w:val="100"/>
          <w:kern w:val="2"/>
          <w:sz w:val="21"/>
          <w:szCs w:val="21"/>
          <w:lang w:val="en-US" w:eastAsia="zh-CN" w:bidi="ar-SA"/>
        </w:rPr>
        <w:t>3.1.1-2</w:t>
      </w:r>
      <w:r>
        <w:rPr>
          <w:rStyle w:val="61"/>
          <w:rFonts w:ascii="Times New Roman" w:hAnsi="Times New Roman" w:eastAsia="宋体" w:cs="Times New Roman"/>
          <w:b/>
          <w:bCs/>
          <w:i w:val="0"/>
          <w:caps w:val="0"/>
          <w:color w:val="auto"/>
          <w:spacing w:val="0"/>
          <w:w w:val="100"/>
          <w:kern w:val="2"/>
          <w:sz w:val="21"/>
          <w:szCs w:val="21"/>
          <w:lang w:val="en-US" w:eastAsia="zh-CN" w:bidi="ar-SA"/>
        </w:rPr>
        <w:t xml:space="preserve">   泵站施工期工艺流程及产污环节示意图</w:t>
      </w:r>
    </w:p>
    <w:p>
      <w:pPr>
        <w:snapToGrid w:val="0"/>
        <w:spacing w:before="0" w:beforeAutospacing="0" w:after="0" w:afterAutospacing="0" w:line="360" w:lineRule="auto"/>
        <w:ind w:firstLine="482" w:firstLineChars="200"/>
        <w:jc w:val="left"/>
        <w:textAlignment w:val="baseline"/>
        <w:rPr>
          <w:rStyle w:val="61"/>
          <w:rFonts w:ascii="Times New Roman" w:hAnsi="Times New Roman" w:eastAsia="宋体" w:cs="Times New Roman"/>
          <w:b/>
          <w:bCs/>
          <w:i w:val="0"/>
          <w:caps w:val="0"/>
          <w:color w:val="auto"/>
          <w:spacing w:val="0"/>
          <w:w w:val="100"/>
          <w:kern w:val="2"/>
          <w:sz w:val="24"/>
          <w:szCs w:val="24"/>
          <w:lang w:val="en-US" w:eastAsia="zh-CN" w:bidi="ar-SA"/>
        </w:rPr>
      </w:pPr>
      <w:r>
        <w:rPr>
          <w:rStyle w:val="61"/>
          <w:rFonts w:hint="eastAsia" w:cs="Times New Roman"/>
          <w:b/>
          <w:bCs/>
          <w:i w:val="0"/>
          <w:caps w:val="0"/>
          <w:color w:val="auto"/>
          <w:spacing w:val="0"/>
          <w:w w:val="100"/>
          <w:kern w:val="2"/>
          <w:sz w:val="24"/>
          <w:szCs w:val="24"/>
          <w:lang w:val="en-US" w:eastAsia="zh-CN" w:bidi="ar-SA"/>
        </w:rPr>
        <w:t>3</w:t>
      </w:r>
      <w:r>
        <w:rPr>
          <w:rStyle w:val="61"/>
          <w:rFonts w:ascii="Times New Roman" w:hAnsi="Times New Roman" w:eastAsia="宋体" w:cs="Times New Roman"/>
          <w:b/>
          <w:bCs/>
          <w:i w:val="0"/>
          <w:caps w:val="0"/>
          <w:color w:val="auto"/>
          <w:spacing w:val="0"/>
          <w:w w:val="100"/>
          <w:kern w:val="2"/>
          <w:sz w:val="24"/>
          <w:szCs w:val="24"/>
          <w:lang w:val="en-US" w:eastAsia="zh-CN" w:bidi="ar-SA"/>
        </w:rPr>
        <w:t>、管道工程施工工艺</w:t>
      </w:r>
    </w:p>
    <w:p>
      <w:pPr>
        <w:snapToGrid w:val="0"/>
        <w:spacing w:before="0" w:beforeAutospacing="0" w:after="0" w:afterAutospacing="0" w:line="360" w:lineRule="auto"/>
        <w:ind w:firstLine="480"/>
        <w:jc w:val="left"/>
        <w:textAlignment w:val="baseline"/>
        <w:rPr>
          <w:rStyle w:val="61"/>
          <w:rFonts w:hint="default" w:ascii="Times New Roman" w:hAnsi="Times New Roman" w:eastAsia="宋体"/>
          <w:b w:val="0"/>
          <w:i w:val="0"/>
          <w:caps w:val="0"/>
          <w:color w:val="auto"/>
          <w:spacing w:val="0"/>
          <w:w w:val="100"/>
          <w:kern w:val="2"/>
          <w:sz w:val="24"/>
          <w:szCs w:val="24"/>
          <w:lang w:val="en-US" w:eastAsia="zh-CN" w:bidi="ar-SA"/>
        </w:rPr>
      </w:pPr>
      <w:r>
        <w:rPr>
          <w:rStyle w:val="61"/>
          <w:rFonts w:ascii="Times New Roman" w:hAnsi="Times New Roman" w:eastAsia="宋体"/>
          <w:b w:val="0"/>
          <w:i w:val="0"/>
          <w:caps w:val="0"/>
          <w:color w:val="auto"/>
          <w:spacing w:val="0"/>
          <w:w w:val="100"/>
          <w:kern w:val="2"/>
          <w:sz w:val="24"/>
          <w:szCs w:val="24"/>
          <w:lang w:val="en-US" w:eastAsia="zh-CN" w:bidi="ar-SA"/>
        </w:rPr>
        <w:t>项目管道</w:t>
      </w:r>
      <w:r>
        <w:rPr>
          <w:rStyle w:val="61"/>
          <w:rFonts w:hint="eastAsia"/>
          <w:b w:val="0"/>
          <w:i w:val="0"/>
          <w:caps w:val="0"/>
          <w:color w:val="auto"/>
          <w:spacing w:val="0"/>
          <w:w w:val="100"/>
          <w:kern w:val="2"/>
          <w:sz w:val="24"/>
          <w:szCs w:val="24"/>
          <w:lang w:val="en-US" w:eastAsia="zh-CN" w:bidi="ar-SA"/>
        </w:rPr>
        <w:t>主要为埋管敷设，部分设计特殊管段（陡坡段）施工。</w:t>
      </w:r>
    </w:p>
    <w:p>
      <w:pPr>
        <w:snapToGrid w:val="0"/>
        <w:spacing w:before="0" w:beforeAutospacing="0" w:after="0" w:afterAutospacing="0" w:line="360" w:lineRule="auto"/>
        <w:ind w:firstLine="480"/>
        <w:jc w:val="left"/>
        <w:textAlignment w:val="baseline"/>
        <w:rPr>
          <w:rStyle w:val="61"/>
          <w:rFonts w:hint="default" w:ascii="Times New Roman" w:hAnsi="Times New Roman" w:eastAsia="宋体"/>
          <w:b/>
          <w:bCs/>
          <w:i w:val="0"/>
          <w:caps w:val="0"/>
          <w:color w:val="auto"/>
          <w:spacing w:val="0"/>
          <w:w w:val="100"/>
          <w:kern w:val="2"/>
          <w:sz w:val="24"/>
          <w:szCs w:val="24"/>
          <w:lang w:val="en-US" w:eastAsia="zh-CN" w:bidi="ar-SA"/>
        </w:rPr>
      </w:pPr>
      <w:r>
        <w:rPr>
          <w:rStyle w:val="61"/>
          <w:rFonts w:hint="eastAsia" w:ascii="Times New Roman" w:hAnsi="Times New Roman" w:eastAsia="宋体"/>
          <w:b/>
          <w:bCs/>
          <w:i w:val="0"/>
          <w:caps w:val="0"/>
          <w:color w:val="auto"/>
          <w:spacing w:val="0"/>
          <w:w w:val="100"/>
          <w:kern w:val="2"/>
          <w:sz w:val="24"/>
          <w:szCs w:val="24"/>
          <w:lang w:val="en-US" w:eastAsia="zh-CN" w:bidi="ar-SA"/>
        </w:rPr>
        <w:t>（1）埋管施工工艺</w:t>
      </w:r>
    </w:p>
    <w:p>
      <w:pPr>
        <w:snapToGrid w:val="0"/>
        <w:spacing w:before="0" w:beforeAutospacing="0" w:after="0" w:afterAutospacing="0" w:line="360" w:lineRule="auto"/>
        <w:ind w:firstLine="480"/>
        <w:jc w:val="left"/>
        <w:textAlignment w:val="baseline"/>
        <w:rPr>
          <w:rStyle w:val="61"/>
          <w:rFonts w:ascii="Times New Roman" w:hAnsi="Times New Roman" w:eastAsia="宋体"/>
          <w:b w:val="0"/>
          <w:i w:val="0"/>
          <w:caps w:val="0"/>
          <w:color w:val="auto"/>
          <w:spacing w:val="0"/>
          <w:w w:val="100"/>
          <w:kern w:val="2"/>
          <w:sz w:val="24"/>
          <w:szCs w:val="24"/>
          <w:lang w:val="en-US" w:eastAsia="zh-CN" w:bidi="ar-SA"/>
        </w:rPr>
      </w:pPr>
      <w:r>
        <w:rPr>
          <w:rStyle w:val="61"/>
          <w:rFonts w:ascii="Times New Roman" w:hAnsi="Times New Roman" w:eastAsia="宋体"/>
          <w:b w:val="0"/>
          <w:i w:val="0"/>
          <w:caps w:val="0"/>
          <w:color w:val="auto"/>
          <w:spacing w:val="0"/>
          <w:w w:val="100"/>
          <w:kern w:val="2"/>
          <w:sz w:val="24"/>
          <w:szCs w:val="24"/>
          <w:lang w:val="en-US" w:eastAsia="zh-CN" w:bidi="ar-SA"/>
        </w:rPr>
        <w:t>埋管管线施工工艺包括：场地清理→管沟开挖→焊接→下管→清管试压→回填→植被恢复→投产，具体工艺流程及产污节点图详见下图。</w:t>
      </w:r>
    </w:p>
    <w:p>
      <w:pPr>
        <w:snapToGrid w:val="0"/>
        <w:spacing w:before="0" w:beforeAutospacing="0" w:after="0" w:afterAutospacing="0" w:line="360" w:lineRule="auto"/>
        <w:ind w:firstLineChars="0"/>
        <w:jc w:val="center"/>
        <w:textAlignment w:val="baseline"/>
        <w:rPr>
          <w:rStyle w:val="61"/>
          <w:rFonts w:ascii="Times New Roman" w:hAnsi="Times New Roman" w:eastAsia="宋体"/>
          <w:b w:val="0"/>
          <w:i w:val="0"/>
          <w:caps w:val="0"/>
          <w:color w:val="auto"/>
          <w:spacing w:val="0"/>
          <w:w w:val="100"/>
          <w:kern w:val="2"/>
          <w:sz w:val="21"/>
          <w:szCs w:val="21"/>
          <w:lang w:val="en-US" w:eastAsia="zh-CN" w:bidi="ar-SA"/>
        </w:rPr>
      </w:pPr>
      <w:r>
        <w:rPr>
          <w:rStyle w:val="61"/>
          <w:rFonts w:ascii="Times New Roman" w:hAnsi="Times New Roman" w:eastAsia="宋体"/>
          <w:b w:val="0"/>
          <w:i w:val="0"/>
          <w:caps w:val="0"/>
          <w:color w:val="auto"/>
          <w:spacing w:val="0"/>
          <w:w w:val="100"/>
          <w:kern w:val="2"/>
          <w:sz w:val="21"/>
          <w:szCs w:val="21"/>
          <w:lang w:val="en-US" w:eastAsia="zh-CN" w:bidi="ar-SA"/>
        </w:rPr>
        <w:drawing>
          <wp:inline distT="0" distB="0" distL="114300" distR="114300">
            <wp:extent cx="5579745" cy="1625600"/>
            <wp:effectExtent l="0" t="0" r="8255" b="0"/>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51"/>
                    <a:srcRect l="4919"/>
                    <a:stretch>
                      <a:fillRect/>
                    </a:stretch>
                  </pic:blipFill>
                  <pic:spPr>
                    <a:xfrm>
                      <a:off x="0" y="0"/>
                      <a:ext cx="5579745" cy="1625600"/>
                    </a:xfrm>
                    <a:prstGeom prst="rect">
                      <a:avLst/>
                    </a:prstGeom>
                    <a:noFill/>
                    <a:ln>
                      <a:noFill/>
                    </a:ln>
                  </pic:spPr>
                </pic:pic>
              </a:graphicData>
            </a:graphic>
          </wp:inline>
        </w:drawing>
      </w:r>
    </w:p>
    <w:p>
      <w:pPr>
        <w:snapToGrid w:val="0"/>
        <w:spacing w:before="0" w:beforeAutospacing="0" w:after="0" w:afterAutospacing="0" w:line="360" w:lineRule="auto"/>
        <w:ind w:firstLineChars="0"/>
        <w:jc w:val="center"/>
        <w:textAlignment w:val="baseline"/>
        <w:rPr>
          <w:rStyle w:val="61"/>
          <w:rFonts w:ascii="Times New Roman" w:hAnsi="Times New Roman" w:eastAsia="宋体" w:cs="Times New Roman"/>
          <w:b/>
          <w:bCs/>
          <w:i w:val="0"/>
          <w:caps w:val="0"/>
          <w:color w:val="auto"/>
          <w:spacing w:val="0"/>
          <w:w w:val="100"/>
          <w:kern w:val="2"/>
          <w:sz w:val="21"/>
          <w:szCs w:val="21"/>
          <w:lang w:val="en-US" w:eastAsia="zh-CN" w:bidi="ar-SA"/>
        </w:rPr>
      </w:pPr>
      <w:r>
        <w:rPr>
          <w:rStyle w:val="61"/>
          <w:rFonts w:hint="eastAsia" w:ascii="Times New Roman" w:hAnsi="Times New Roman" w:eastAsia="宋体" w:cs="Times New Roman"/>
          <w:b/>
          <w:bCs/>
          <w:i w:val="0"/>
          <w:caps w:val="0"/>
          <w:color w:val="auto"/>
          <w:spacing w:val="0"/>
          <w:w w:val="100"/>
          <w:kern w:val="2"/>
          <w:sz w:val="21"/>
          <w:szCs w:val="21"/>
          <w:lang w:val="en-US" w:eastAsia="zh-CN" w:bidi="ar-SA"/>
        </w:rPr>
        <w:t>图3.1.1-</w:t>
      </w:r>
      <w:r>
        <w:rPr>
          <w:rStyle w:val="61"/>
          <w:rFonts w:hint="eastAsia" w:cs="Times New Roman"/>
          <w:b/>
          <w:bCs/>
          <w:i w:val="0"/>
          <w:caps w:val="0"/>
          <w:color w:val="auto"/>
          <w:spacing w:val="0"/>
          <w:w w:val="100"/>
          <w:kern w:val="2"/>
          <w:sz w:val="21"/>
          <w:szCs w:val="21"/>
          <w:lang w:val="en-US" w:eastAsia="zh-CN" w:bidi="ar-SA"/>
        </w:rPr>
        <w:t>3</w:t>
      </w:r>
      <w:r>
        <w:rPr>
          <w:rStyle w:val="61"/>
          <w:rFonts w:ascii="Times New Roman" w:hAnsi="Times New Roman" w:eastAsia="宋体" w:cs="Times New Roman"/>
          <w:b/>
          <w:bCs/>
          <w:i w:val="0"/>
          <w:caps w:val="0"/>
          <w:color w:val="auto"/>
          <w:spacing w:val="0"/>
          <w:w w:val="100"/>
          <w:kern w:val="2"/>
          <w:sz w:val="21"/>
          <w:szCs w:val="21"/>
          <w:lang w:val="en-US" w:eastAsia="zh-CN" w:bidi="ar-SA"/>
        </w:rPr>
        <w:t xml:space="preserve">   埋管管线工程施工工艺流程及产污节点图</w:t>
      </w:r>
    </w:p>
    <w:p>
      <w:pPr>
        <w:keepNext w:val="0"/>
        <w:keepLines w:val="0"/>
        <w:pageBreakBefore w:val="0"/>
        <w:widowControl w:val="0"/>
        <w:numPr>
          <w:ilvl w:val="0"/>
          <w:numId w:val="0"/>
        </w:numPr>
        <w:kinsoku/>
        <w:wordWrap/>
        <w:overflowPunct/>
        <w:topLinePunct w:val="0"/>
        <w:autoSpaceDE/>
        <w:autoSpaceDN/>
        <w:bidi w:val="0"/>
        <w:adjustRightInd/>
        <w:snapToGrid w:val="0"/>
        <w:spacing w:before="0" w:beforeAutospacing="0" w:after="0" w:afterAutospacing="0" w:line="360" w:lineRule="auto"/>
        <w:ind w:firstLine="482" w:firstLineChars="200"/>
        <w:jc w:val="left"/>
        <w:textAlignment w:val="baseline"/>
        <w:rPr>
          <w:rStyle w:val="61"/>
          <w:rFonts w:hint="eastAsia" w:ascii="Times New Roman" w:hAnsi="Times New Roman" w:eastAsia="宋体" w:cs="Times New Roman"/>
          <w:b/>
          <w:bCs/>
          <w:i w:val="0"/>
          <w:caps w:val="0"/>
          <w:color w:val="auto"/>
          <w:spacing w:val="0"/>
          <w:w w:val="100"/>
          <w:kern w:val="2"/>
          <w:sz w:val="24"/>
          <w:szCs w:val="24"/>
          <w:lang w:val="en-US" w:eastAsia="zh-CN" w:bidi="ar-SA"/>
        </w:rPr>
      </w:pPr>
      <w:r>
        <w:rPr>
          <w:rStyle w:val="61"/>
          <w:rFonts w:hint="eastAsia" w:cs="Times New Roman"/>
          <w:b/>
          <w:bCs/>
          <w:i w:val="0"/>
          <w:caps w:val="0"/>
          <w:color w:val="auto"/>
          <w:spacing w:val="0"/>
          <w:w w:val="100"/>
          <w:kern w:val="2"/>
          <w:sz w:val="24"/>
          <w:szCs w:val="24"/>
          <w:lang w:val="en-US" w:eastAsia="zh-CN" w:bidi="ar-SA"/>
        </w:rPr>
        <w:t>（2）</w:t>
      </w:r>
      <w:r>
        <w:rPr>
          <w:rStyle w:val="61"/>
          <w:rFonts w:hint="eastAsia" w:ascii="Times New Roman" w:hAnsi="Times New Roman" w:eastAsia="宋体" w:cs="Times New Roman"/>
          <w:b/>
          <w:bCs/>
          <w:i w:val="0"/>
          <w:caps w:val="0"/>
          <w:color w:val="auto"/>
          <w:spacing w:val="0"/>
          <w:w w:val="100"/>
          <w:kern w:val="2"/>
          <w:sz w:val="24"/>
          <w:szCs w:val="24"/>
          <w:lang w:val="en-US" w:eastAsia="zh-CN" w:bidi="ar-SA"/>
        </w:rPr>
        <w:t>特殊管段施工工艺</w:t>
      </w:r>
    </w:p>
    <w:p>
      <w:pPr>
        <w:keepNext w:val="0"/>
        <w:keepLines w:val="0"/>
        <w:pageBreakBefore w:val="0"/>
        <w:widowControl w:val="0"/>
        <w:numPr>
          <w:ilvl w:val="0"/>
          <w:numId w:val="0"/>
        </w:numPr>
        <w:kinsoku/>
        <w:wordWrap/>
        <w:overflowPunct/>
        <w:topLinePunct w:val="0"/>
        <w:autoSpaceDE/>
        <w:autoSpaceDN/>
        <w:bidi w:val="0"/>
        <w:adjustRightInd/>
        <w:snapToGrid w:val="0"/>
        <w:spacing w:before="0" w:beforeAutospacing="0" w:after="0" w:afterAutospacing="0" w:line="360" w:lineRule="auto"/>
        <w:ind w:firstLine="480" w:firstLineChars="200"/>
        <w:jc w:val="left"/>
        <w:textAlignment w:val="baseline"/>
        <w:rPr>
          <w:rStyle w:val="61"/>
          <w:rFonts w:hint="default" w:ascii="Times New Roman" w:hAnsi="Times New Roman" w:eastAsia="宋体" w:cs="Times New Roman"/>
          <w:b w:val="0"/>
          <w:bCs w:val="0"/>
          <w:i w:val="0"/>
          <w:caps w:val="0"/>
          <w:color w:val="auto"/>
          <w:spacing w:val="0"/>
          <w:w w:val="100"/>
          <w:kern w:val="2"/>
          <w:sz w:val="24"/>
          <w:szCs w:val="24"/>
          <w:lang w:val="en-US" w:eastAsia="zh-CN" w:bidi="ar-SA"/>
        </w:rPr>
      </w:pPr>
      <w:r>
        <w:rPr>
          <w:rStyle w:val="61"/>
          <w:rFonts w:hint="eastAsia" w:cs="Times New Roman"/>
          <w:b w:val="0"/>
          <w:bCs w:val="0"/>
          <w:i w:val="0"/>
          <w:caps w:val="0"/>
          <w:color w:val="auto"/>
          <w:spacing w:val="0"/>
          <w:w w:val="100"/>
          <w:kern w:val="2"/>
          <w:sz w:val="24"/>
          <w:szCs w:val="24"/>
          <w:lang w:val="en-US" w:eastAsia="zh-CN" w:bidi="ar-SA"/>
        </w:rPr>
        <w:t>①陡坡管段</w:t>
      </w:r>
    </w:p>
    <w:p>
      <w:pPr>
        <w:keepNext w:val="0"/>
        <w:keepLines w:val="0"/>
        <w:pageBreakBefore w:val="0"/>
        <w:widowControl w:val="0"/>
        <w:numPr>
          <w:ilvl w:val="0"/>
          <w:numId w:val="0"/>
        </w:numPr>
        <w:kinsoku/>
        <w:wordWrap/>
        <w:overflowPunct/>
        <w:topLinePunct w:val="0"/>
        <w:autoSpaceDE/>
        <w:autoSpaceDN/>
        <w:bidi w:val="0"/>
        <w:adjustRightInd/>
        <w:snapToGrid w:val="0"/>
        <w:spacing w:before="0" w:beforeAutospacing="0" w:after="0" w:afterAutospacing="0" w:line="360" w:lineRule="auto"/>
        <w:ind w:firstLine="480" w:firstLineChars="200"/>
        <w:jc w:val="left"/>
        <w:textAlignment w:val="baseline"/>
        <w:rPr>
          <w:rStyle w:val="61"/>
          <w:rFonts w:hint="default" w:ascii="Times New Roman" w:hAnsi="Times New Roman" w:eastAsia="宋体" w:cs="Times New Roman"/>
          <w:b w:val="0"/>
          <w:bCs w:val="0"/>
          <w:i w:val="0"/>
          <w:caps w:val="0"/>
          <w:color w:val="auto"/>
          <w:spacing w:val="0"/>
          <w:w w:val="100"/>
          <w:kern w:val="2"/>
          <w:sz w:val="24"/>
          <w:szCs w:val="24"/>
          <w:lang w:val="en-US" w:eastAsia="zh-CN" w:bidi="ar-SA"/>
        </w:rPr>
      </w:pPr>
      <w:r>
        <w:rPr>
          <w:rStyle w:val="61"/>
          <w:rFonts w:hint="eastAsia" w:ascii="Times New Roman" w:hAnsi="Times New Roman" w:eastAsia="宋体" w:cs="Times New Roman"/>
          <w:b w:val="0"/>
          <w:bCs w:val="0"/>
          <w:i w:val="0"/>
          <w:caps w:val="0"/>
          <w:color w:val="auto"/>
          <w:spacing w:val="0"/>
          <w:w w:val="100"/>
          <w:kern w:val="2"/>
          <w:sz w:val="24"/>
          <w:szCs w:val="24"/>
          <w:lang w:val="en-US" w:eastAsia="zh-CN" w:bidi="ar-SA"/>
        </w:rPr>
        <w:t>本工程中特殊管段（主要是陡坡段）施工工艺流程如下所示：</w:t>
      </w:r>
    </w:p>
    <w:p>
      <w:pPr>
        <w:keepNext w:val="0"/>
        <w:keepLines w:val="0"/>
        <w:pageBreakBefore w:val="0"/>
        <w:widowControl w:val="0"/>
        <w:numPr>
          <w:ilvl w:val="0"/>
          <w:numId w:val="0"/>
        </w:numPr>
        <w:kinsoku/>
        <w:wordWrap/>
        <w:overflowPunct/>
        <w:topLinePunct w:val="0"/>
        <w:autoSpaceDE/>
        <w:autoSpaceDN/>
        <w:bidi w:val="0"/>
        <w:adjustRightInd/>
        <w:snapToGrid w:val="0"/>
        <w:spacing w:before="0" w:beforeAutospacing="0" w:after="0" w:afterAutospacing="0" w:line="360" w:lineRule="auto"/>
        <w:jc w:val="center"/>
        <w:textAlignment w:val="baseline"/>
        <w:rPr>
          <w:rStyle w:val="61"/>
          <w:rFonts w:hint="eastAsia" w:ascii="Times New Roman" w:hAnsi="Times New Roman" w:eastAsia="宋体" w:cs="Times New Roman"/>
          <w:b/>
          <w:bCs/>
          <w:i w:val="0"/>
          <w:caps w:val="0"/>
          <w:color w:val="auto"/>
          <w:spacing w:val="0"/>
          <w:w w:val="100"/>
          <w:kern w:val="2"/>
          <w:sz w:val="21"/>
          <w:szCs w:val="21"/>
          <w:lang w:val="en-US" w:eastAsia="zh-CN" w:bidi="ar-SA"/>
        </w:rPr>
      </w:pPr>
      <w:r>
        <w:rPr>
          <w:rStyle w:val="61"/>
          <w:rFonts w:hint="eastAsia" w:ascii="Times New Roman" w:hAnsi="Times New Roman" w:eastAsia="宋体" w:cs="Times New Roman"/>
          <w:b/>
          <w:bCs/>
          <w:i w:val="0"/>
          <w:caps w:val="0"/>
          <w:color w:val="auto"/>
          <w:spacing w:val="0"/>
          <w:w w:val="100"/>
          <w:kern w:val="2"/>
          <w:sz w:val="24"/>
          <w:szCs w:val="24"/>
          <w:lang w:val="en-US" w:eastAsia="zh-CN" w:bidi="ar-SA"/>
        </w:rPr>
        <w:object>
          <v:shape id="_x0000_i1027" o:spt="75" type="#_x0000_t75" style="height:119pt;width:439.35pt;" o:ole="t" filled="f" o:preferrelative="t" stroked="f" coordsize="21600,21600">
            <v:path/>
            <v:fill on="f" focussize="0,0"/>
            <v:stroke on="f"/>
            <v:imagedata r:id="rId53" cropbottom="4465f" o:title=""/>
            <o:lock v:ext="edit" aspectratio="f"/>
            <w10:wrap type="none"/>
            <w10:anchorlock/>
          </v:shape>
          <o:OLEObject Type="Embed" ProgID="Visio.Drawing.11" ShapeID="_x0000_i1027" DrawAspect="Content" ObjectID="_1468075727" r:id="rId52">
            <o:LockedField>false</o:LockedField>
          </o:OLEObject>
        </w:object>
      </w:r>
      <w:r>
        <w:rPr>
          <w:rStyle w:val="61"/>
          <w:rFonts w:hint="eastAsia" w:ascii="Times New Roman" w:hAnsi="Times New Roman" w:eastAsia="宋体" w:cs="Times New Roman"/>
          <w:b/>
          <w:bCs/>
          <w:i w:val="0"/>
          <w:caps w:val="0"/>
          <w:color w:val="auto"/>
          <w:spacing w:val="0"/>
          <w:w w:val="100"/>
          <w:kern w:val="2"/>
          <w:sz w:val="21"/>
          <w:szCs w:val="21"/>
          <w:lang w:val="en-US" w:eastAsia="zh-CN" w:bidi="ar-SA"/>
        </w:rPr>
        <w:t>图3.1.1-</w:t>
      </w:r>
      <w:r>
        <w:rPr>
          <w:rStyle w:val="61"/>
          <w:rFonts w:hint="eastAsia" w:cs="Times New Roman"/>
          <w:b/>
          <w:bCs/>
          <w:i w:val="0"/>
          <w:caps w:val="0"/>
          <w:color w:val="auto"/>
          <w:spacing w:val="0"/>
          <w:w w:val="100"/>
          <w:kern w:val="2"/>
          <w:sz w:val="21"/>
          <w:szCs w:val="21"/>
          <w:lang w:val="en-US" w:eastAsia="zh-CN" w:bidi="ar-SA"/>
        </w:rPr>
        <w:t>4</w:t>
      </w:r>
      <w:r>
        <w:rPr>
          <w:rStyle w:val="61"/>
          <w:rFonts w:hint="eastAsia" w:ascii="Times New Roman" w:hAnsi="Times New Roman" w:eastAsia="宋体" w:cs="Times New Roman"/>
          <w:b/>
          <w:bCs/>
          <w:i w:val="0"/>
          <w:caps w:val="0"/>
          <w:color w:val="auto"/>
          <w:spacing w:val="0"/>
          <w:w w:val="100"/>
          <w:kern w:val="2"/>
          <w:sz w:val="21"/>
          <w:szCs w:val="21"/>
          <w:lang w:val="en-US" w:eastAsia="zh-CN" w:bidi="ar-SA"/>
        </w:rPr>
        <w:t xml:space="preserve">   </w:t>
      </w:r>
      <w:r>
        <w:rPr>
          <w:rStyle w:val="61"/>
          <w:rFonts w:hint="eastAsia" w:cs="Times New Roman"/>
          <w:b/>
          <w:bCs/>
          <w:i w:val="0"/>
          <w:caps w:val="0"/>
          <w:color w:val="auto"/>
          <w:spacing w:val="0"/>
          <w:w w:val="100"/>
          <w:kern w:val="2"/>
          <w:sz w:val="21"/>
          <w:szCs w:val="21"/>
          <w:lang w:val="en-US" w:eastAsia="zh-CN" w:bidi="ar-SA"/>
        </w:rPr>
        <w:t>陡坡</w:t>
      </w:r>
      <w:r>
        <w:rPr>
          <w:rStyle w:val="61"/>
          <w:rFonts w:hint="eastAsia" w:ascii="Times New Roman" w:hAnsi="Times New Roman" w:eastAsia="宋体" w:cs="Times New Roman"/>
          <w:b/>
          <w:bCs/>
          <w:i w:val="0"/>
          <w:caps w:val="0"/>
          <w:color w:val="auto"/>
          <w:spacing w:val="0"/>
          <w:w w:val="100"/>
          <w:kern w:val="2"/>
          <w:sz w:val="21"/>
          <w:szCs w:val="21"/>
          <w:lang w:val="en-US" w:eastAsia="zh-CN" w:bidi="ar-SA"/>
        </w:rPr>
        <w:t>管段工程施工工艺流程及产污节点图</w:t>
      </w:r>
    </w:p>
    <w:p>
      <w:pPr>
        <w:outlineLvl w:val="9"/>
        <w:rPr>
          <w:rFonts w:hint="eastAsia"/>
          <w:color w:val="auto"/>
          <w:lang w:val="en-US" w:eastAsia="zh-CN"/>
        </w:rPr>
      </w:pPr>
      <w:r>
        <w:rPr>
          <w:rFonts w:hint="eastAsia"/>
          <w:color w:val="auto"/>
          <w:lang w:val="en-US" w:eastAsia="zh-CN"/>
        </w:rPr>
        <w:t>②跨河管段</w:t>
      </w:r>
    </w:p>
    <w:p>
      <w:pPr>
        <w:outlineLvl w:val="9"/>
        <w:rPr>
          <w:rFonts w:hint="eastAsia"/>
          <w:color w:val="auto"/>
          <w:highlight w:val="none"/>
          <w:lang w:val="en-US" w:eastAsia="zh-CN"/>
        </w:rPr>
      </w:pPr>
      <w:r>
        <w:rPr>
          <w:rFonts w:hint="default"/>
          <w:color w:val="auto"/>
          <w:lang w:val="en-US" w:eastAsia="zh-CN"/>
        </w:rPr>
        <w:t>本项目管道共有2处跨越河流</w:t>
      </w:r>
      <w:r>
        <w:rPr>
          <w:rFonts w:hint="default"/>
          <w:color w:val="auto"/>
          <w:highlight w:val="none"/>
          <w:lang w:val="en-US" w:eastAsia="zh-CN"/>
        </w:rPr>
        <w:t>：北干管K7+845~K7+</w:t>
      </w:r>
      <w:r>
        <w:rPr>
          <w:rFonts w:hint="eastAsia"/>
          <w:color w:val="auto"/>
          <w:highlight w:val="none"/>
          <w:lang w:val="en-US" w:eastAsia="zh-CN"/>
        </w:rPr>
        <w:t>855</w:t>
      </w:r>
      <w:r>
        <w:rPr>
          <w:rFonts w:hint="default"/>
          <w:color w:val="auto"/>
          <w:highlight w:val="none"/>
          <w:lang w:val="en-US" w:eastAsia="zh-CN"/>
        </w:rPr>
        <w:t>管段跨姜驿河；金马分干管K1+711~K1+720段跨沙沟箐。</w:t>
      </w:r>
    </w:p>
    <w:p>
      <w:pPr>
        <w:keepNext w:val="0"/>
        <w:keepLines w:val="0"/>
        <w:pageBreakBefore w:val="0"/>
        <w:widowControl w:val="0"/>
        <w:kinsoku/>
        <w:wordWrap/>
        <w:overflowPunct/>
        <w:topLinePunct w:val="0"/>
        <w:autoSpaceDE/>
        <w:autoSpaceDN/>
        <w:bidi w:val="0"/>
        <w:adjustRightInd w:val="0"/>
        <w:snapToGrid w:val="0"/>
        <w:ind w:firstLine="520"/>
        <w:textAlignment w:val="auto"/>
        <w:rPr>
          <w:rFonts w:hint="eastAsia"/>
          <w:color w:val="auto"/>
          <w:highlight w:val="none"/>
          <w:lang w:val="en-US" w:eastAsia="zh-CN"/>
        </w:rPr>
      </w:pPr>
      <w:r>
        <w:rPr>
          <w:rFonts w:hint="eastAsia"/>
          <w:color w:val="auto"/>
          <w:highlight w:val="none"/>
          <w:lang w:val="en-US" w:eastAsia="zh-CN"/>
        </w:rPr>
        <w:t>跨河管段选择枯水期进行施工，</w:t>
      </w:r>
      <w:r>
        <w:rPr>
          <w:rFonts w:hint="default" w:ascii="Times New Roman" w:hAnsi="Times New Roman" w:cs="Times New Roman"/>
          <w:color w:val="auto"/>
          <w:lang w:val="en-US" w:eastAsia="zh-CN"/>
        </w:rPr>
        <w:t>施工工艺</w:t>
      </w:r>
      <w:r>
        <w:rPr>
          <w:rFonts w:hint="eastAsia" w:cs="Times New Roman"/>
          <w:color w:val="auto"/>
          <w:lang w:val="en-US" w:eastAsia="zh-CN"/>
        </w:rPr>
        <w:t>采用高空管架桥架空方式</w:t>
      </w:r>
      <w:r>
        <w:rPr>
          <w:rFonts w:hint="default" w:ascii="Times New Roman" w:hAnsi="Times New Roman" w:cs="Times New Roman"/>
          <w:color w:val="auto"/>
          <w:lang w:val="en-US" w:eastAsia="zh-CN"/>
        </w:rPr>
        <w:t>，在河岸岸堤两侧设置支墩，其上设置钢结构支柱，在支柱上方设置钢架桥，管道沿高架桥布设。施工中跨越段两端需进行河岸岸堤开挖，在河提上设置支墩，跨</w:t>
      </w:r>
      <w:r>
        <w:rPr>
          <w:rFonts w:hint="eastAsia" w:ascii="Times New Roman" w:hAnsi="Times New Roman" w:cs="Times New Roman"/>
          <w:color w:val="auto"/>
          <w:lang w:val="en-US" w:eastAsia="zh-CN"/>
        </w:rPr>
        <w:t>河</w:t>
      </w:r>
      <w:r>
        <w:rPr>
          <w:rFonts w:hint="default" w:ascii="Times New Roman" w:hAnsi="Times New Roman" w:cs="Times New Roman"/>
          <w:color w:val="auto"/>
          <w:lang w:val="en-US" w:eastAsia="zh-CN"/>
        </w:rPr>
        <w:t>管施工过程中不建设水中墩及桥梁。</w:t>
      </w:r>
    </w:p>
    <w:p>
      <w:pPr>
        <w:outlineLvl w:val="9"/>
        <w:rPr>
          <w:rFonts w:hint="default"/>
          <w:color w:val="auto"/>
          <w:highlight w:val="none"/>
          <w:lang w:val="en-US" w:eastAsia="zh-CN"/>
        </w:rPr>
      </w:pPr>
      <w:r>
        <w:rPr>
          <w:rFonts w:hint="eastAsia"/>
          <w:color w:val="auto"/>
          <w:highlight w:val="none"/>
          <w:lang w:val="en-US" w:eastAsia="zh-CN"/>
        </w:rPr>
        <w:t>要施工工艺如下图所示：</w:t>
      </w:r>
    </w:p>
    <w:p>
      <w:pPr>
        <w:jc w:val="center"/>
        <w:rPr>
          <w:rStyle w:val="61"/>
          <w:rFonts w:hint="eastAsia" w:ascii="Times New Roman" w:hAnsi="Times New Roman" w:eastAsia="宋体" w:cs="Times New Roman"/>
          <w:b/>
          <w:bCs/>
          <w:i w:val="0"/>
          <w:caps w:val="0"/>
          <w:color w:val="auto"/>
          <w:spacing w:val="0"/>
          <w:w w:val="100"/>
          <w:kern w:val="2"/>
          <w:sz w:val="21"/>
          <w:szCs w:val="21"/>
          <w:lang w:val="en-US" w:eastAsia="zh-CN" w:bidi="ar-SA"/>
        </w:rPr>
      </w:pPr>
      <w:r>
        <w:rPr>
          <w:rStyle w:val="61"/>
          <w:rFonts w:hint="eastAsia" w:ascii="Times New Roman" w:hAnsi="Times New Roman" w:eastAsia="宋体" w:cs="Times New Roman"/>
          <w:b/>
          <w:bCs/>
          <w:i w:val="0"/>
          <w:caps w:val="0"/>
          <w:color w:val="auto"/>
          <w:spacing w:val="0"/>
          <w:w w:val="100"/>
          <w:kern w:val="2"/>
          <w:sz w:val="24"/>
          <w:szCs w:val="24"/>
          <w:lang w:val="en-US" w:eastAsia="zh-CN" w:bidi="ar-SA"/>
        </w:rPr>
        <w:object>
          <v:shape id="_x0000_i1028" o:spt="75" type="#_x0000_t75" style="height:106.95pt;width:397.25pt;" o:ole="t" filled="f" o:preferrelative="t" stroked="f" coordsize="21600,21600">
            <v:path/>
            <v:fill on="f" focussize="0,0"/>
            <v:stroke on="f"/>
            <v:imagedata r:id="rId55" cropbottom="6011f" o:title=""/>
            <o:lock v:ext="edit" aspectratio="f"/>
            <w10:wrap type="none"/>
            <w10:anchorlock/>
          </v:shape>
          <o:OLEObject Type="Embed" ProgID="Visio.Drawing.11" ShapeID="_x0000_i1028" DrawAspect="Content" ObjectID="_1468075728" r:id="rId54">
            <o:LockedField>false</o:LockedField>
          </o:OLEObject>
        </w:object>
      </w:r>
      <w:r>
        <w:rPr>
          <w:rStyle w:val="61"/>
          <w:rFonts w:hint="eastAsia" w:ascii="Times New Roman" w:hAnsi="Times New Roman" w:eastAsia="宋体" w:cs="Times New Roman"/>
          <w:b/>
          <w:bCs/>
          <w:i w:val="0"/>
          <w:caps w:val="0"/>
          <w:color w:val="auto"/>
          <w:spacing w:val="0"/>
          <w:w w:val="100"/>
          <w:kern w:val="2"/>
          <w:sz w:val="21"/>
          <w:szCs w:val="21"/>
          <w:lang w:val="en-US" w:eastAsia="zh-CN" w:bidi="ar-SA"/>
        </w:rPr>
        <w:t>图3.1.1-</w:t>
      </w:r>
      <w:r>
        <w:rPr>
          <w:rStyle w:val="61"/>
          <w:rFonts w:hint="eastAsia" w:cs="Times New Roman"/>
          <w:b/>
          <w:bCs/>
          <w:i w:val="0"/>
          <w:caps w:val="0"/>
          <w:color w:val="auto"/>
          <w:spacing w:val="0"/>
          <w:w w:val="100"/>
          <w:kern w:val="2"/>
          <w:sz w:val="21"/>
          <w:szCs w:val="21"/>
          <w:lang w:val="en-US" w:eastAsia="zh-CN" w:bidi="ar-SA"/>
        </w:rPr>
        <w:t>5</w:t>
      </w:r>
      <w:r>
        <w:rPr>
          <w:rStyle w:val="61"/>
          <w:rFonts w:hint="eastAsia" w:ascii="Times New Roman" w:hAnsi="Times New Roman" w:eastAsia="宋体" w:cs="Times New Roman"/>
          <w:b/>
          <w:bCs/>
          <w:i w:val="0"/>
          <w:caps w:val="0"/>
          <w:color w:val="auto"/>
          <w:spacing w:val="0"/>
          <w:w w:val="100"/>
          <w:kern w:val="2"/>
          <w:sz w:val="21"/>
          <w:szCs w:val="21"/>
          <w:lang w:val="en-US" w:eastAsia="zh-CN" w:bidi="ar-SA"/>
        </w:rPr>
        <w:t xml:space="preserve">   跨河管段工程施工工艺流程及产污节点图</w:t>
      </w:r>
    </w:p>
    <w:p>
      <w:pPr>
        <w:pStyle w:val="3"/>
        <w:bidi w:val="0"/>
        <w:rPr>
          <w:rFonts w:hint="eastAsia"/>
          <w:color w:val="auto"/>
          <w:lang w:val="en-US" w:eastAsia="zh-CN"/>
        </w:rPr>
      </w:pPr>
      <w:bookmarkStart w:id="425" w:name="_Toc19282"/>
      <w:r>
        <w:rPr>
          <w:rFonts w:hint="eastAsia"/>
          <w:color w:val="auto"/>
          <w:lang w:val="en-US" w:eastAsia="zh-CN"/>
        </w:rPr>
        <w:t>影响源分析</w:t>
      </w:r>
      <w:bookmarkEnd w:id="425"/>
    </w:p>
    <w:p>
      <w:pPr>
        <w:pStyle w:val="4"/>
        <w:bidi w:val="0"/>
        <w:rPr>
          <w:rFonts w:hint="default"/>
          <w:color w:val="auto"/>
          <w:lang w:val="en-US" w:eastAsia="zh-CN"/>
        </w:rPr>
      </w:pPr>
      <w:r>
        <w:rPr>
          <w:rFonts w:hint="eastAsia"/>
          <w:color w:val="auto"/>
          <w:lang w:val="en-US" w:eastAsia="zh-CN"/>
        </w:rPr>
        <w:t>施工期影响源分析</w:t>
      </w:r>
    </w:p>
    <w:bookmarkEnd w:id="420"/>
    <w:bookmarkEnd w:id="421"/>
    <w:bookmarkEnd w:id="422"/>
    <w:bookmarkEnd w:id="423"/>
    <w:bookmarkEnd w:id="424"/>
    <w:p>
      <w:pPr>
        <w:bidi w:val="0"/>
        <w:rPr>
          <w:rFonts w:hint="default"/>
          <w:color w:val="auto"/>
          <w:lang w:eastAsia="zh-CN"/>
        </w:rPr>
      </w:pPr>
      <w:r>
        <w:rPr>
          <w:rFonts w:hint="default"/>
          <w:color w:val="auto"/>
          <w:lang w:eastAsia="zh-CN"/>
        </w:rPr>
        <w:t>工程施工期产生的废气主要为土方开挖、物料堆存装卸、覆土回填等产生的扬尘、施工机械燃油废气。本项目施工人员均为附近居民，施工生活区不设置食堂，无食堂油烟产生。</w:t>
      </w:r>
    </w:p>
    <w:p>
      <w:pPr>
        <w:pStyle w:val="5"/>
        <w:tabs>
          <w:tab w:val="clear" w:pos="420"/>
        </w:tabs>
        <w:bidi w:val="0"/>
        <w:ind w:left="480" w:leftChars="0" w:firstLineChars="0"/>
        <w:rPr>
          <w:rFonts w:hint="eastAsia"/>
          <w:color w:val="auto"/>
          <w:lang w:val="en-US" w:eastAsia="zh-CN"/>
        </w:rPr>
      </w:pPr>
      <w:r>
        <w:rPr>
          <w:rFonts w:hint="eastAsia"/>
          <w:color w:val="auto"/>
          <w:lang w:val="en-US" w:eastAsia="zh-CN"/>
        </w:rPr>
        <w:t>废气</w:t>
      </w:r>
    </w:p>
    <w:p>
      <w:pPr>
        <w:widowControl w:val="0"/>
        <w:kinsoku/>
        <w:autoSpaceDE/>
        <w:autoSpaceDN/>
        <w:adjustRightInd/>
        <w:spacing w:line="360" w:lineRule="auto"/>
        <w:ind w:firstLine="480" w:firstLineChars="200"/>
        <w:jc w:val="both"/>
        <w:textAlignment w:val="auto"/>
        <w:rPr>
          <w:rFonts w:hint="default" w:ascii="Times New Roman" w:hAnsi="Times New Roman" w:eastAsia="宋体" w:cs="Times New Roman"/>
          <w:bCs/>
          <w:snapToGrid/>
          <w:color w:val="0000FF"/>
          <w:kern w:val="2"/>
          <w:sz w:val="24"/>
          <w:highlight w:val="none"/>
          <w:lang w:eastAsia="zh-CN" w:bidi="ar"/>
        </w:rPr>
      </w:pPr>
      <w:r>
        <w:rPr>
          <w:rFonts w:hint="default" w:ascii="Times New Roman" w:hAnsi="Times New Roman" w:eastAsia="宋体" w:cs="Times New Roman"/>
          <w:bCs/>
          <w:snapToGrid/>
          <w:color w:val="0000FF"/>
          <w:kern w:val="2"/>
          <w:sz w:val="24"/>
          <w:highlight w:val="none"/>
          <w:lang w:eastAsia="zh-CN" w:bidi="ar"/>
        </w:rPr>
        <w:t>施工期产生的废气主要来源于施工机械、运输车辆排放的尾气、施工及运输过程中产生的扬尘、弃渣场扬尘等。</w:t>
      </w:r>
    </w:p>
    <w:p>
      <w:pPr>
        <w:widowControl w:val="0"/>
        <w:kinsoku/>
        <w:autoSpaceDE/>
        <w:autoSpaceDN/>
        <w:adjustRightInd/>
        <w:spacing w:line="360" w:lineRule="auto"/>
        <w:ind w:firstLine="480" w:firstLineChars="200"/>
        <w:jc w:val="both"/>
        <w:textAlignment w:val="auto"/>
        <w:rPr>
          <w:rFonts w:hint="default" w:ascii="Times New Roman" w:hAnsi="Times New Roman" w:eastAsia="宋体" w:cs="Times New Roman"/>
          <w:bCs/>
          <w:snapToGrid/>
          <w:color w:val="0000FF"/>
          <w:kern w:val="2"/>
          <w:sz w:val="24"/>
          <w:highlight w:val="none"/>
          <w:lang w:eastAsia="zh-CN" w:bidi="ar"/>
        </w:rPr>
      </w:pPr>
      <w:r>
        <w:rPr>
          <w:rFonts w:hint="eastAsia" w:cs="Times New Roman"/>
          <w:bCs/>
          <w:snapToGrid/>
          <w:color w:val="0000FF"/>
          <w:kern w:val="2"/>
          <w:sz w:val="24"/>
          <w:highlight w:val="none"/>
          <w:lang w:val="en-US" w:eastAsia="zh-CN" w:bidi="ar"/>
        </w:rPr>
        <w:t>1、</w:t>
      </w:r>
      <w:r>
        <w:rPr>
          <w:rFonts w:hint="default" w:ascii="Times New Roman" w:hAnsi="Times New Roman" w:eastAsia="宋体" w:cs="Times New Roman"/>
          <w:bCs/>
          <w:snapToGrid/>
          <w:color w:val="0000FF"/>
          <w:kern w:val="2"/>
          <w:sz w:val="24"/>
          <w:highlight w:val="none"/>
          <w:lang w:eastAsia="zh-CN" w:bidi="ar"/>
        </w:rPr>
        <w:t>机械车辆尾气</w:t>
      </w:r>
    </w:p>
    <w:p>
      <w:pPr>
        <w:widowControl w:val="0"/>
        <w:kinsoku/>
        <w:autoSpaceDE/>
        <w:autoSpaceDN/>
        <w:adjustRightInd/>
        <w:spacing w:line="360" w:lineRule="auto"/>
        <w:ind w:firstLine="480" w:firstLineChars="200"/>
        <w:jc w:val="both"/>
        <w:textAlignment w:val="auto"/>
        <w:rPr>
          <w:rFonts w:hint="default" w:ascii="Times New Roman" w:hAnsi="Times New Roman" w:eastAsia="宋体" w:cs="Times New Roman"/>
          <w:bCs/>
          <w:snapToGrid/>
          <w:color w:val="0000FF"/>
          <w:kern w:val="2"/>
          <w:sz w:val="24"/>
          <w:highlight w:val="none"/>
          <w:lang w:eastAsia="zh-CN" w:bidi="ar"/>
        </w:rPr>
      </w:pPr>
      <w:r>
        <w:rPr>
          <w:rFonts w:hint="default" w:ascii="Times New Roman" w:hAnsi="Times New Roman" w:eastAsia="宋体" w:cs="Times New Roman"/>
          <w:bCs/>
          <w:snapToGrid/>
          <w:color w:val="0000FF"/>
          <w:kern w:val="2"/>
          <w:sz w:val="24"/>
          <w:highlight w:val="none"/>
          <w:lang w:eastAsia="zh-CN" w:bidi="ar"/>
        </w:rPr>
        <w:t>工程施工机械及运输车辆所用燃料主要为柴油、汽油，机械车辆排放的尾气主要含有SO</w:t>
      </w:r>
      <w:r>
        <w:rPr>
          <w:rFonts w:hint="default" w:ascii="Times New Roman" w:hAnsi="Times New Roman" w:eastAsia="宋体" w:cs="Times New Roman"/>
          <w:bCs/>
          <w:snapToGrid/>
          <w:color w:val="0000FF"/>
          <w:kern w:val="2"/>
          <w:sz w:val="24"/>
          <w:highlight w:val="none"/>
          <w:vertAlign w:val="subscript"/>
          <w:lang w:eastAsia="zh-CN" w:bidi="ar"/>
        </w:rPr>
        <w:t>2</w:t>
      </w:r>
      <w:r>
        <w:rPr>
          <w:rFonts w:hint="default" w:ascii="Times New Roman" w:hAnsi="Times New Roman" w:eastAsia="宋体" w:cs="Times New Roman"/>
          <w:bCs/>
          <w:snapToGrid/>
          <w:color w:val="0000FF"/>
          <w:kern w:val="2"/>
          <w:sz w:val="24"/>
          <w:highlight w:val="none"/>
          <w:lang w:eastAsia="zh-CN" w:bidi="ar"/>
        </w:rPr>
        <w:t>、NOx、CO、碳氢化合物（HC）等污染物。根据项目</w:t>
      </w:r>
      <w:r>
        <w:rPr>
          <w:rFonts w:hint="eastAsia" w:cs="Times New Roman"/>
          <w:bCs/>
          <w:snapToGrid/>
          <w:color w:val="0000FF"/>
          <w:kern w:val="2"/>
          <w:sz w:val="24"/>
          <w:highlight w:val="none"/>
          <w:lang w:val="en-US" w:eastAsia="zh-CN" w:bidi="ar"/>
        </w:rPr>
        <w:t>实施方案</w:t>
      </w:r>
      <w:r>
        <w:rPr>
          <w:rFonts w:hint="default" w:ascii="Times New Roman" w:hAnsi="Times New Roman" w:eastAsia="宋体" w:cs="Times New Roman"/>
          <w:bCs/>
          <w:snapToGrid/>
          <w:color w:val="0000FF"/>
          <w:kern w:val="2"/>
          <w:sz w:val="24"/>
          <w:highlight w:val="none"/>
          <w:lang w:eastAsia="zh-CN" w:bidi="ar"/>
        </w:rPr>
        <w:t>，工程施工期共需使用柴油约323.59t（</w:t>
      </w:r>
      <w:r>
        <w:rPr>
          <w:rFonts w:hint="eastAsia" w:ascii="Times New Roman" w:hAnsi="Times New Roman" w:eastAsia="宋体" w:cs="Times New Roman"/>
          <w:bCs/>
          <w:snapToGrid/>
          <w:color w:val="0000FF"/>
          <w:kern w:val="2"/>
          <w:sz w:val="24"/>
          <w:highlight w:val="none"/>
          <w:lang w:val="en-US" w:eastAsia="zh-CN" w:bidi="ar"/>
        </w:rPr>
        <w:t>275.05</w:t>
      </w:r>
      <w:r>
        <w:rPr>
          <w:rFonts w:hint="default" w:ascii="Times New Roman" w:hAnsi="Times New Roman" w:eastAsia="宋体" w:cs="Times New Roman"/>
          <w:bCs/>
          <w:snapToGrid/>
          <w:color w:val="0000FF"/>
          <w:kern w:val="2"/>
          <w:sz w:val="24"/>
          <w:highlight w:val="none"/>
          <w:lang w:eastAsia="zh-CN" w:bidi="ar"/>
        </w:rPr>
        <w:t>m</w:t>
      </w:r>
      <w:r>
        <w:rPr>
          <w:rFonts w:hint="default" w:ascii="Times New Roman" w:hAnsi="Times New Roman" w:eastAsia="宋体" w:cs="Times New Roman"/>
          <w:bCs/>
          <w:snapToGrid/>
          <w:color w:val="0000FF"/>
          <w:kern w:val="2"/>
          <w:sz w:val="24"/>
          <w:highlight w:val="none"/>
          <w:vertAlign w:val="superscript"/>
          <w:lang w:eastAsia="zh-CN" w:bidi="ar"/>
        </w:rPr>
        <w:t>3</w:t>
      </w:r>
      <w:r>
        <w:rPr>
          <w:rFonts w:hint="default" w:ascii="Times New Roman" w:hAnsi="Times New Roman" w:eastAsia="宋体" w:cs="Times New Roman"/>
          <w:bCs/>
          <w:snapToGrid/>
          <w:color w:val="0000FF"/>
          <w:kern w:val="2"/>
          <w:sz w:val="24"/>
          <w:highlight w:val="none"/>
          <w:lang w:eastAsia="zh-CN" w:bidi="ar"/>
        </w:rPr>
        <w:t>），汽油</w:t>
      </w:r>
      <w:r>
        <w:rPr>
          <w:rFonts w:hint="eastAsia" w:ascii="Times New Roman" w:hAnsi="Times New Roman" w:eastAsia="宋体" w:cs="Times New Roman"/>
          <w:bCs/>
          <w:snapToGrid/>
          <w:color w:val="0000FF"/>
          <w:kern w:val="2"/>
          <w:sz w:val="24"/>
          <w:highlight w:val="none"/>
          <w:lang w:val="en-US" w:eastAsia="zh-CN" w:bidi="ar"/>
        </w:rPr>
        <w:t>18</w:t>
      </w:r>
      <w:r>
        <w:rPr>
          <w:rFonts w:hint="default" w:ascii="Times New Roman" w:hAnsi="Times New Roman" w:eastAsia="宋体" w:cs="Times New Roman"/>
          <w:bCs/>
          <w:snapToGrid/>
          <w:color w:val="0000FF"/>
          <w:kern w:val="2"/>
          <w:sz w:val="24"/>
          <w:highlight w:val="none"/>
          <w:lang w:eastAsia="zh-CN" w:bidi="ar"/>
        </w:rPr>
        <w:t>t（</w:t>
      </w:r>
      <w:r>
        <w:rPr>
          <w:rFonts w:hint="eastAsia" w:ascii="Times New Roman" w:hAnsi="Times New Roman" w:eastAsia="宋体" w:cs="Times New Roman"/>
          <w:bCs/>
          <w:snapToGrid/>
          <w:color w:val="0000FF"/>
          <w:kern w:val="2"/>
          <w:sz w:val="24"/>
          <w:highlight w:val="none"/>
          <w:lang w:val="en-US" w:eastAsia="zh-CN" w:bidi="ar"/>
        </w:rPr>
        <w:t>13.5</w:t>
      </w:r>
      <w:r>
        <w:rPr>
          <w:rFonts w:hint="default" w:ascii="Times New Roman" w:hAnsi="Times New Roman" w:eastAsia="宋体" w:cs="Times New Roman"/>
          <w:bCs/>
          <w:snapToGrid/>
          <w:color w:val="0000FF"/>
          <w:kern w:val="2"/>
          <w:sz w:val="24"/>
          <w:highlight w:val="none"/>
          <w:lang w:eastAsia="zh-CN" w:bidi="ar"/>
        </w:rPr>
        <w:t>m</w:t>
      </w:r>
      <w:r>
        <w:rPr>
          <w:rFonts w:hint="default" w:ascii="Times New Roman" w:hAnsi="Times New Roman" w:eastAsia="宋体" w:cs="Times New Roman"/>
          <w:bCs/>
          <w:snapToGrid/>
          <w:color w:val="0000FF"/>
          <w:kern w:val="2"/>
          <w:sz w:val="24"/>
          <w:highlight w:val="none"/>
          <w:vertAlign w:val="superscript"/>
          <w:lang w:eastAsia="zh-CN" w:bidi="ar"/>
        </w:rPr>
        <w:t>3</w:t>
      </w:r>
      <w:r>
        <w:rPr>
          <w:rFonts w:hint="default" w:ascii="Times New Roman" w:hAnsi="Times New Roman" w:eastAsia="宋体" w:cs="Times New Roman"/>
          <w:bCs/>
          <w:snapToGrid/>
          <w:color w:val="0000FF"/>
          <w:kern w:val="2"/>
          <w:sz w:val="24"/>
          <w:highlight w:val="none"/>
          <w:lang w:eastAsia="zh-CN" w:bidi="ar"/>
        </w:rPr>
        <w:t>）。施工期为24个月，施工天数按720天计。根据《工业污染物产生及排放系数手册》中</w:t>
      </w:r>
      <w:r>
        <w:rPr>
          <w:rFonts w:hint="eastAsia" w:ascii="Times New Roman" w:hAnsi="Times New Roman" w:eastAsia="宋体" w:cs="Times New Roman"/>
          <w:bCs/>
          <w:snapToGrid/>
          <w:color w:val="0000FF"/>
          <w:kern w:val="2"/>
          <w:sz w:val="24"/>
          <w:highlight w:val="none"/>
          <w:lang w:eastAsia="zh-CN" w:bidi="ar"/>
        </w:rPr>
        <w:t>“</w:t>
      </w:r>
      <w:r>
        <w:rPr>
          <w:rFonts w:hint="default" w:ascii="Times New Roman" w:hAnsi="Times New Roman" w:eastAsia="宋体" w:cs="Times New Roman"/>
          <w:bCs/>
          <w:snapToGrid/>
          <w:color w:val="0000FF"/>
          <w:kern w:val="2"/>
          <w:sz w:val="24"/>
          <w:highlight w:val="none"/>
          <w:lang w:eastAsia="zh-CN" w:bidi="ar"/>
        </w:rPr>
        <w:t>机动车污染排放系数</w:t>
      </w:r>
      <w:r>
        <w:rPr>
          <w:rFonts w:hint="eastAsia" w:ascii="Times New Roman" w:hAnsi="Times New Roman" w:eastAsia="宋体" w:cs="Times New Roman"/>
          <w:bCs/>
          <w:snapToGrid/>
          <w:color w:val="0000FF"/>
          <w:kern w:val="2"/>
          <w:sz w:val="24"/>
          <w:highlight w:val="none"/>
          <w:lang w:eastAsia="zh-CN" w:bidi="ar"/>
        </w:rPr>
        <w:t>”</w:t>
      </w:r>
      <w:r>
        <w:rPr>
          <w:rFonts w:hint="default" w:ascii="Times New Roman" w:hAnsi="Times New Roman" w:eastAsia="宋体" w:cs="Times New Roman"/>
          <w:bCs/>
          <w:snapToGrid/>
          <w:color w:val="0000FF"/>
          <w:kern w:val="2"/>
          <w:sz w:val="24"/>
          <w:highlight w:val="none"/>
          <w:lang w:eastAsia="zh-CN" w:bidi="ar"/>
        </w:rPr>
        <w:t>估算施工期间机械车辆尾气排放情况见下表。</w:t>
      </w:r>
    </w:p>
    <w:p>
      <w:pPr>
        <w:widowControl w:val="0"/>
        <w:kinsoku/>
        <w:autoSpaceDE/>
        <w:autoSpaceDN/>
        <w:adjustRightInd/>
        <w:spacing w:line="240" w:lineRule="auto"/>
        <w:ind w:firstLine="482" w:firstLineChars="200"/>
        <w:jc w:val="center"/>
        <w:textAlignment w:val="auto"/>
        <w:rPr>
          <w:rFonts w:hint="default" w:ascii="Times New Roman" w:hAnsi="Times New Roman" w:eastAsia="宋体" w:cs="Times New Roman"/>
          <w:b/>
          <w:bCs w:val="0"/>
          <w:snapToGrid/>
          <w:color w:val="0000FF"/>
          <w:kern w:val="2"/>
          <w:sz w:val="24"/>
          <w:highlight w:val="none"/>
          <w:lang w:eastAsia="zh-CN" w:bidi="ar"/>
        </w:rPr>
      </w:pPr>
      <w:r>
        <w:rPr>
          <w:rFonts w:hint="default" w:ascii="Times New Roman" w:hAnsi="Times New Roman" w:eastAsia="宋体" w:cs="Times New Roman"/>
          <w:b/>
          <w:bCs w:val="0"/>
          <w:snapToGrid/>
          <w:color w:val="0000FF"/>
          <w:kern w:val="2"/>
          <w:sz w:val="24"/>
          <w:highlight w:val="none"/>
          <w:lang w:eastAsia="zh-CN" w:bidi="ar"/>
        </w:rPr>
        <w:t>表3.1-2施工期机械车辆尾气排放情况表</w:t>
      </w:r>
    </w:p>
    <w:tbl>
      <w:tblPr>
        <w:tblStyle w:val="57"/>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259"/>
        <w:gridCol w:w="1628"/>
        <w:gridCol w:w="1263"/>
        <w:gridCol w:w="1932"/>
        <w:gridCol w:w="222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58" w:type="pct"/>
            <w:vMerge w:val="restart"/>
            <w:tcBorders>
              <w:bottom w:val="nil"/>
            </w:tcBorders>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污染物</w:t>
            </w:r>
          </w:p>
        </w:tc>
        <w:tc>
          <w:tcPr>
            <w:tcW w:w="1740" w:type="pct"/>
            <w:gridSpan w:val="2"/>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污染物排放系数（</w:t>
            </w:r>
            <w:r>
              <w:rPr>
                <w:rFonts w:hint="default" w:ascii="Times New Roman" w:hAnsi="Times New Roman" w:eastAsia="Times New Roman" w:cs="Times New Roman"/>
                <w:color w:val="0000FF"/>
                <w:spacing w:val="-1"/>
                <w:sz w:val="21"/>
                <w:szCs w:val="21"/>
              </w:rPr>
              <w:t>g/L</w:t>
            </w:r>
            <w:r>
              <w:rPr>
                <w:rFonts w:hint="default" w:ascii="Times New Roman" w:hAnsi="Times New Roman" w:eastAsia="宋体" w:cs="Times New Roman"/>
                <w:color w:val="0000FF"/>
                <w:spacing w:val="-1"/>
                <w:sz w:val="21"/>
                <w:szCs w:val="21"/>
              </w:rPr>
              <w:t>）</w:t>
            </w:r>
          </w:p>
        </w:tc>
        <w:tc>
          <w:tcPr>
            <w:tcW w:w="1163" w:type="pct"/>
            <w:vMerge w:val="restart"/>
            <w:tcBorders>
              <w:bottom w:val="nil"/>
            </w:tcBorders>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eastAsia" w:ascii="Times New Roman" w:hAnsi="Times New Roman" w:eastAsia="宋体" w:cs="Times New Roman"/>
                <w:color w:val="0000FF"/>
                <w:sz w:val="21"/>
                <w:szCs w:val="21"/>
                <w:lang w:eastAsia="zh-CN"/>
              </w:rPr>
            </w:pPr>
            <w:r>
              <w:rPr>
                <w:rFonts w:hint="default" w:ascii="Times New Roman" w:hAnsi="Times New Roman" w:eastAsia="宋体" w:cs="Times New Roman"/>
                <w:color w:val="0000FF"/>
                <w:spacing w:val="-1"/>
                <w:sz w:val="21"/>
                <w:szCs w:val="21"/>
              </w:rPr>
              <w:t>施工期总排放量</w:t>
            </w:r>
            <w:r>
              <w:rPr>
                <w:rFonts w:hint="eastAsia" w:ascii="Times New Roman" w:hAnsi="Times New Roman" w:eastAsia="宋体" w:cs="Times New Roman"/>
                <w:color w:val="0000FF"/>
                <w:spacing w:val="-1"/>
                <w:sz w:val="21"/>
                <w:szCs w:val="21"/>
                <w:lang w:eastAsia="zh-CN"/>
              </w:rPr>
              <w:t>（</w:t>
            </w:r>
            <w:r>
              <w:rPr>
                <w:rFonts w:hint="eastAsia" w:ascii="Times New Roman" w:hAnsi="Times New Roman" w:eastAsia="宋体" w:cs="Times New Roman"/>
                <w:color w:val="0000FF"/>
                <w:spacing w:val="-1"/>
                <w:sz w:val="21"/>
                <w:szCs w:val="21"/>
                <w:lang w:val="en-US" w:eastAsia="zh-CN"/>
              </w:rPr>
              <w:t>t</w:t>
            </w:r>
            <w:r>
              <w:rPr>
                <w:rFonts w:hint="eastAsia" w:ascii="Times New Roman" w:hAnsi="Times New Roman" w:eastAsia="宋体" w:cs="Times New Roman"/>
                <w:color w:val="0000FF"/>
                <w:spacing w:val="-1"/>
                <w:sz w:val="21"/>
                <w:szCs w:val="21"/>
                <w:lang w:eastAsia="zh-CN"/>
              </w:rPr>
              <w:t>）</w:t>
            </w:r>
          </w:p>
        </w:tc>
        <w:tc>
          <w:tcPr>
            <w:tcW w:w="1337" w:type="pct"/>
            <w:vMerge w:val="restart"/>
            <w:tcBorders>
              <w:bottom w:val="nil"/>
            </w:tcBorders>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6"/>
                <w:sz w:val="21"/>
                <w:szCs w:val="21"/>
              </w:rPr>
              <w:t>平均日排放总量（</w:t>
            </w:r>
            <w:r>
              <w:rPr>
                <w:rFonts w:hint="default" w:ascii="Times New Roman" w:hAnsi="Times New Roman" w:eastAsia="Times New Roman" w:cs="Times New Roman"/>
                <w:color w:val="0000FF"/>
                <w:spacing w:val="-6"/>
                <w:sz w:val="21"/>
                <w:szCs w:val="21"/>
              </w:rPr>
              <w:t>kg/d</w:t>
            </w:r>
            <w:r>
              <w:rPr>
                <w:rFonts w:hint="default" w:ascii="Times New Roman" w:hAnsi="Times New Roman" w:eastAsia="宋体" w:cs="Times New Roman"/>
                <w:color w:val="0000FF"/>
                <w:spacing w:val="-6"/>
                <w:sz w:val="21"/>
                <w:szCs w:val="21"/>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58" w:type="pct"/>
            <w:vMerge w:val="continue"/>
            <w:tcBorders>
              <w:top w:val="nil"/>
            </w:tcBorders>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cs="Times New Roman"/>
                <w:color w:val="0000FF"/>
                <w:sz w:val="21"/>
                <w:szCs w:val="21"/>
              </w:rPr>
            </w:pPr>
          </w:p>
        </w:tc>
        <w:tc>
          <w:tcPr>
            <w:tcW w:w="980"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汽油</w:t>
            </w:r>
          </w:p>
        </w:tc>
        <w:tc>
          <w:tcPr>
            <w:tcW w:w="759"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柴油</w:t>
            </w:r>
          </w:p>
        </w:tc>
        <w:tc>
          <w:tcPr>
            <w:tcW w:w="1163" w:type="pct"/>
            <w:vMerge w:val="continue"/>
            <w:tcBorders>
              <w:top w:val="nil"/>
            </w:tcBorders>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cs="Times New Roman"/>
                <w:color w:val="0000FF"/>
                <w:sz w:val="21"/>
                <w:szCs w:val="21"/>
              </w:rPr>
            </w:pPr>
          </w:p>
        </w:tc>
        <w:tc>
          <w:tcPr>
            <w:tcW w:w="1337" w:type="pct"/>
            <w:vMerge w:val="continue"/>
            <w:tcBorders>
              <w:top w:val="nil"/>
            </w:tcBorders>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cs="Times New Roman"/>
                <w:color w:val="0000FF"/>
                <w:sz w:val="21"/>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58"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SO</w:t>
            </w:r>
            <w:r>
              <w:rPr>
                <w:rFonts w:hint="default" w:ascii="Times New Roman" w:hAnsi="Times New Roman" w:eastAsia="Times New Roman" w:cs="Times New Roman"/>
                <w:color w:val="0000FF"/>
                <w:spacing w:val="-2"/>
                <w:position w:val="-2"/>
                <w:sz w:val="21"/>
                <w:szCs w:val="21"/>
              </w:rPr>
              <w:t>2</w:t>
            </w:r>
          </w:p>
        </w:tc>
        <w:tc>
          <w:tcPr>
            <w:tcW w:w="980"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0.295</w:t>
            </w:r>
          </w:p>
        </w:tc>
        <w:tc>
          <w:tcPr>
            <w:tcW w:w="759"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3.24</w:t>
            </w:r>
          </w:p>
        </w:tc>
        <w:tc>
          <w:tcPr>
            <w:tcW w:w="1933" w:type="dxa"/>
            <w:vAlign w:val="center"/>
          </w:tcPr>
          <w:p>
            <w:pPr>
              <w:keepNext w:val="0"/>
              <w:keepLines w:val="0"/>
              <w:pageBreakBefore w:val="0"/>
              <w:widowControl/>
              <w:suppressLineNumbers w:val="0"/>
              <w:wordWrap/>
              <w:overflowPunct/>
              <w:topLinePunct w:val="0"/>
              <w:bidi w:val="0"/>
              <w:adjustRightInd/>
              <w:snapToGrid w:val="0"/>
              <w:spacing w:line="240" w:lineRule="auto"/>
              <w:ind w:firstLine="0" w:firstLineChars="0"/>
              <w:jc w:val="center"/>
              <w:textAlignment w:val="center"/>
              <w:rPr>
                <w:rFonts w:hint="default"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0.8951 </w:t>
            </w:r>
          </w:p>
        </w:tc>
        <w:tc>
          <w:tcPr>
            <w:tcW w:w="2224" w:type="dxa"/>
            <w:vAlign w:val="center"/>
          </w:tcPr>
          <w:p>
            <w:pPr>
              <w:keepNext w:val="0"/>
              <w:keepLines w:val="0"/>
              <w:pageBreakBefore w:val="0"/>
              <w:widowControl/>
              <w:suppressLineNumbers w:val="0"/>
              <w:wordWrap/>
              <w:overflowPunct/>
              <w:topLinePunct w:val="0"/>
              <w:bidi w:val="0"/>
              <w:adjustRightInd/>
              <w:snapToGrid w:val="0"/>
              <w:spacing w:line="240" w:lineRule="auto"/>
              <w:ind w:firstLine="0" w:firstLineChars="0"/>
              <w:jc w:val="center"/>
              <w:textAlignment w:val="center"/>
              <w:rPr>
                <w:rFonts w:hint="default"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1.2433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58"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NOx</w:t>
            </w:r>
          </w:p>
        </w:tc>
        <w:tc>
          <w:tcPr>
            <w:tcW w:w="980"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21.1</w:t>
            </w:r>
          </w:p>
        </w:tc>
        <w:tc>
          <w:tcPr>
            <w:tcW w:w="759"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44.4</w:t>
            </w:r>
          </w:p>
        </w:tc>
        <w:tc>
          <w:tcPr>
            <w:tcW w:w="1933" w:type="dxa"/>
            <w:vAlign w:val="center"/>
          </w:tcPr>
          <w:p>
            <w:pPr>
              <w:keepNext w:val="0"/>
              <w:keepLines w:val="0"/>
              <w:pageBreakBefore w:val="0"/>
              <w:widowControl/>
              <w:suppressLineNumbers w:val="0"/>
              <w:wordWrap/>
              <w:overflowPunct/>
              <w:topLinePunct w:val="0"/>
              <w:bidi w:val="0"/>
              <w:adjustRightInd/>
              <w:snapToGrid w:val="0"/>
              <w:spacing w:line="240" w:lineRule="auto"/>
              <w:ind w:firstLine="0" w:firstLineChars="0"/>
              <w:jc w:val="center"/>
              <w:textAlignment w:val="center"/>
              <w:rPr>
                <w:rFonts w:hint="default"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12.4971 </w:t>
            </w:r>
          </w:p>
        </w:tc>
        <w:tc>
          <w:tcPr>
            <w:tcW w:w="2224" w:type="dxa"/>
            <w:vAlign w:val="center"/>
          </w:tcPr>
          <w:p>
            <w:pPr>
              <w:keepNext w:val="0"/>
              <w:keepLines w:val="0"/>
              <w:pageBreakBefore w:val="0"/>
              <w:widowControl/>
              <w:suppressLineNumbers w:val="0"/>
              <w:wordWrap/>
              <w:overflowPunct/>
              <w:topLinePunct w:val="0"/>
              <w:bidi w:val="0"/>
              <w:adjustRightInd/>
              <w:snapToGrid w:val="0"/>
              <w:spacing w:line="240" w:lineRule="auto"/>
              <w:ind w:firstLine="0" w:firstLineChars="0"/>
              <w:jc w:val="center"/>
              <w:textAlignment w:val="center"/>
              <w:rPr>
                <w:rFonts w:hint="default"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17.3570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58"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CO</w:t>
            </w:r>
          </w:p>
        </w:tc>
        <w:tc>
          <w:tcPr>
            <w:tcW w:w="980"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6"/>
                <w:sz w:val="21"/>
                <w:szCs w:val="21"/>
              </w:rPr>
              <w:t>169</w:t>
            </w:r>
          </w:p>
        </w:tc>
        <w:tc>
          <w:tcPr>
            <w:tcW w:w="759"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27</w:t>
            </w:r>
          </w:p>
        </w:tc>
        <w:tc>
          <w:tcPr>
            <w:tcW w:w="1933" w:type="dxa"/>
            <w:vAlign w:val="center"/>
          </w:tcPr>
          <w:p>
            <w:pPr>
              <w:keepNext w:val="0"/>
              <w:keepLines w:val="0"/>
              <w:pageBreakBefore w:val="0"/>
              <w:widowControl/>
              <w:suppressLineNumbers w:val="0"/>
              <w:wordWrap/>
              <w:overflowPunct/>
              <w:topLinePunct w:val="0"/>
              <w:bidi w:val="0"/>
              <w:adjustRightInd/>
              <w:snapToGrid w:val="0"/>
              <w:spacing w:line="240" w:lineRule="auto"/>
              <w:ind w:firstLine="0" w:firstLineChars="0"/>
              <w:jc w:val="center"/>
              <w:textAlignment w:val="center"/>
              <w:rPr>
                <w:rFonts w:hint="default"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9.7079 </w:t>
            </w:r>
          </w:p>
        </w:tc>
        <w:tc>
          <w:tcPr>
            <w:tcW w:w="2224" w:type="dxa"/>
            <w:vAlign w:val="center"/>
          </w:tcPr>
          <w:p>
            <w:pPr>
              <w:keepNext w:val="0"/>
              <w:keepLines w:val="0"/>
              <w:pageBreakBefore w:val="0"/>
              <w:widowControl/>
              <w:suppressLineNumbers w:val="0"/>
              <w:wordWrap/>
              <w:overflowPunct/>
              <w:topLinePunct w:val="0"/>
              <w:bidi w:val="0"/>
              <w:adjustRightInd/>
              <w:snapToGrid w:val="0"/>
              <w:spacing w:line="240" w:lineRule="auto"/>
              <w:ind w:firstLine="0" w:firstLineChars="0"/>
              <w:jc w:val="center"/>
              <w:textAlignment w:val="center"/>
              <w:rPr>
                <w:rFonts w:hint="default"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13.4831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758"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HC</w:t>
            </w:r>
          </w:p>
        </w:tc>
        <w:tc>
          <w:tcPr>
            <w:tcW w:w="980"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33.3</w:t>
            </w:r>
          </w:p>
        </w:tc>
        <w:tc>
          <w:tcPr>
            <w:tcW w:w="759" w:type="pct"/>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firstLine="0" w:firstLineChars="0"/>
              <w:jc w:val="center"/>
              <w:textAlignment w:val="baseline"/>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4.44</w:t>
            </w:r>
          </w:p>
        </w:tc>
        <w:tc>
          <w:tcPr>
            <w:tcW w:w="1933" w:type="dxa"/>
            <w:vAlign w:val="center"/>
          </w:tcPr>
          <w:p>
            <w:pPr>
              <w:keepNext w:val="0"/>
              <w:keepLines w:val="0"/>
              <w:pageBreakBefore w:val="0"/>
              <w:widowControl/>
              <w:suppressLineNumbers w:val="0"/>
              <w:wordWrap/>
              <w:overflowPunct/>
              <w:topLinePunct w:val="0"/>
              <w:bidi w:val="0"/>
              <w:adjustRightInd/>
              <w:snapToGrid w:val="0"/>
              <w:spacing w:line="240" w:lineRule="auto"/>
              <w:ind w:firstLine="0" w:firstLineChars="0"/>
              <w:jc w:val="center"/>
              <w:textAlignment w:val="center"/>
              <w:rPr>
                <w:rFonts w:hint="default"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1.6708 </w:t>
            </w:r>
          </w:p>
        </w:tc>
        <w:tc>
          <w:tcPr>
            <w:tcW w:w="2224" w:type="dxa"/>
            <w:vAlign w:val="center"/>
          </w:tcPr>
          <w:p>
            <w:pPr>
              <w:keepNext w:val="0"/>
              <w:keepLines w:val="0"/>
              <w:pageBreakBefore w:val="0"/>
              <w:widowControl/>
              <w:suppressLineNumbers w:val="0"/>
              <w:wordWrap/>
              <w:overflowPunct/>
              <w:topLinePunct w:val="0"/>
              <w:bidi w:val="0"/>
              <w:adjustRightInd/>
              <w:snapToGrid w:val="0"/>
              <w:spacing w:line="240" w:lineRule="auto"/>
              <w:ind w:firstLine="0" w:firstLineChars="0"/>
              <w:jc w:val="center"/>
              <w:textAlignment w:val="center"/>
              <w:rPr>
                <w:rFonts w:hint="default"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2.3205 </w:t>
            </w:r>
          </w:p>
        </w:tc>
      </w:tr>
    </w:tbl>
    <w:p>
      <w:pPr>
        <w:spacing w:before="30" w:line="412" w:lineRule="exact"/>
        <w:ind w:left="536"/>
        <w:rPr>
          <w:rFonts w:ascii="宋体" w:hAnsi="宋体" w:eastAsia="宋体" w:cs="宋体"/>
          <w:color w:val="0000FF"/>
          <w:sz w:val="21"/>
          <w:szCs w:val="21"/>
        </w:rPr>
      </w:pPr>
      <w:r>
        <w:rPr>
          <w:rFonts w:ascii="宋体" w:hAnsi="宋体" w:eastAsia="宋体" w:cs="宋体"/>
          <w:color w:val="0000FF"/>
          <w:spacing w:val="-3"/>
          <w:position w:val="15"/>
          <w:sz w:val="21"/>
          <w:szCs w:val="21"/>
        </w:rPr>
        <w:t>注：①汽油密度按</w:t>
      </w:r>
      <w:r>
        <w:rPr>
          <w:rFonts w:ascii="Times New Roman" w:hAnsi="Times New Roman" w:eastAsia="Times New Roman" w:cs="Times New Roman"/>
          <w:color w:val="0000FF"/>
          <w:spacing w:val="-3"/>
          <w:position w:val="15"/>
          <w:sz w:val="21"/>
          <w:szCs w:val="21"/>
        </w:rPr>
        <w:t>0.75kg/L</w:t>
      </w:r>
      <w:r>
        <w:rPr>
          <w:rFonts w:ascii="宋体" w:hAnsi="宋体" w:eastAsia="宋体" w:cs="宋体"/>
          <w:color w:val="0000FF"/>
          <w:spacing w:val="-3"/>
          <w:position w:val="15"/>
          <w:sz w:val="21"/>
          <w:szCs w:val="21"/>
        </w:rPr>
        <w:t>，柴油密</w:t>
      </w:r>
      <w:r>
        <w:rPr>
          <w:rFonts w:ascii="宋体" w:hAnsi="宋体" w:eastAsia="宋体" w:cs="宋体"/>
          <w:color w:val="0000FF"/>
          <w:spacing w:val="-4"/>
          <w:position w:val="15"/>
          <w:sz w:val="21"/>
          <w:szCs w:val="21"/>
        </w:rPr>
        <w:t>度按</w:t>
      </w:r>
      <w:r>
        <w:rPr>
          <w:rFonts w:ascii="Times New Roman" w:hAnsi="Times New Roman" w:eastAsia="Times New Roman" w:cs="Times New Roman"/>
          <w:color w:val="0000FF"/>
          <w:spacing w:val="-4"/>
          <w:position w:val="15"/>
          <w:sz w:val="21"/>
          <w:szCs w:val="21"/>
        </w:rPr>
        <w:t>0.85kg/L</w:t>
      </w:r>
      <w:r>
        <w:rPr>
          <w:rFonts w:ascii="宋体" w:hAnsi="宋体" w:eastAsia="宋体" w:cs="宋体"/>
          <w:color w:val="0000FF"/>
          <w:spacing w:val="-4"/>
          <w:position w:val="15"/>
          <w:sz w:val="21"/>
          <w:szCs w:val="21"/>
        </w:rPr>
        <w:t>。</w:t>
      </w:r>
    </w:p>
    <w:p>
      <w:pPr>
        <w:widowControl w:val="0"/>
        <w:kinsoku/>
        <w:autoSpaceDE/>
        <w:autoSpaceDN/>
        <w:adjustRightInd/>
        <w:spacing w:line="360" w:lineRule="auto"/>
        <w:ind w:firstLine="480" w:firstLineChars="200"/>
        <w:jc w:val="both"/>
        <w:textAlignment w:val="auto"/>
        <w:rPr>
          <w:rFonts w:hint="default" w:ascii="Times New Roman" w:hAnsi="Times New Roman" w:eastAsia="宋体" w:cs="Times New Roman"/>
          <w:bCs/>
          <w:snapToGrid/>
          <w:color w:val="0000FF"/>
          <w:kern w:val="2"/>
          <w:sz w:val="24"/>
          <w:highlight w:val="none"/>
          <w:lang w:eastAsia="zh-CN" w:bidi="ar"/>
        </w:rPr>
      </w:pPr>
      <w:r>
        <w:rPr>
          <w:rFonts w:hint="eastAsia" w:cs="Times New Roman"/>
          <w:bCs/>
          <w:snapToGrid/>
          <w:color w:val="0000FF"/>
          <w:kern w:val="2"/>
          <w:sz w:val="24"/>
          <w:highlight w:val="none"/>
          <w:lang w:val="en-US" w:eastAsia="zh-CN" w:bidi="ar"/>
        </w:rPr>
        <w:t>2、</w:t>
      </w:r>
      <w:r>
        <w:rPr>
          <w:rFonts w:hint="default" w:ascii="Times New Roman" w:hAnsi="Times New Roman" w:eastAsia="宋体" w:cs="Times New Roman"/>
          <w:bCs/>
          <w:snapToGrid/>
          <w:color w:val="0000FF"/>
          <w:kern w:val="2"/>
          <w:sz w:val="24"/>
          <w:highlight w:val="none"/>
          <w:lang w:eastAsia="zh-CN" w:bidi="ar"/>
        </w:rPr>
        <w:t>施工扬尘</w:t>
      </w:r>
    </w:p>
    <w:p>
      <w:pPr>
        <w:widowControl w:val="0"/>
        <w:kinsoku/>
        <w:autoSpaceDE/>
        <w:autoSpaceDN/>
        <w:adjustRightInd/>
        <w:spacing w:line="360" w:lineRule="auto"/>
        <w:ind w:firstLine="480" w:firstLineChars="200"/>
        <w:jc w:val="both"/>
        <w:textAlignment w:val="auto"/>
        <w:rPr>
          <w:rFonts w:hint="default" w:ascii="Times New Roman" w:hAnsi="Times New Roman" w:eastAsia="宋体" w:cs="Times New Roman"/>
          <w:bCs/>
          <w:snapToGrid/>
          <w:color w:val="0000FF"/>
          <w:kern w:val="2"/>
          <w:sz w:val="24"/>
          <w:highlight w:val="none"/>
          <w:lang w:eastAsia="zh-CN" w:bidi="ar"/>
        </w:rPr>
      </w:pPr>
      <w:r>
        <w:rPr>
          <w:rFonts w:hint="default" w:ascii="Times New Roman" w:hAnsi="Times New Roman" w:eastAsia="宋体" w:cs="Times New Roman"/>
          <w:bCs/>
          <w:snapToGrid/>
          <w:color w:val="0000FF"/>
          <w:kern w:val="2"/>
          <w:sz w:val="24"/>
          <w:highlight w:val="none"/>
          <w:lang w:eastAsia="zh-CN" w:bidi="ar"/>
        </w:rPr>
        <w:t>施工区粉尘主要由土方开挖回填及弃渣堆放等施工过程产生。根据施工工程的调查资料，工程施工期间施工现场近地面粉尘浓度可达1.5～30mg/Nm³。粉尘产生量和施工方法、作业面积大小、施工机械、天气状况及洒水频率等都有关系。本工程土方开挖在短时间内产尘量较大，局部空气中的粉尘量将加大，对现场环境空气质量将产生不利影响。施工粉尘属间歇性、暂时性的非点源无组织排放源，由于施工区域都在较为空旷的农村地区，其排放对环境空气质量影响很小，但若不采取有效环境保护措施，会对施工作业人员身体健康造成一定不利影响。</w:t>
      </w:r>
    </w:p>
    <w:p>
      <w:pPr>
        <w:widowControl w:val="0"/>
        <w:kinsoku/>
        <w:autoSpaceDE/>
        <w:autoSpaceDN/>
        <w:adjustRightInd/>
        <w:spacing w:line="360" w:lineRule="auto"/>
        <w:ind w:firstLine="480" w:firstLineChars="200"/>
        <w:jc w:val="both"/>
        <w:textAlignment w:val="auto"/>
        <w:rPr>
          <w:rFonts w:ascii="宋体" w:hAnsi="宋体" w:eastAsia="宋体" w:cs="宋体"/>
          <w:color w:val="0000FF"/>
          <w:sz w:val="24"/>
          <w:szCs w:val="24"/>
        </w:rPr>
      </w:pPr>
      <w:r>
        <w:rPr>
          <w:rFonts w:hint="default" w:ascii="Times New Roman" w:hAnsi="Times New Roman" w:eastAsia="宋体" w:cs="Times New Roman"/>
          <w:bCs/>
          <w:snapToGrid/>
          <w:color w:val="0000FF"/>
          <w:kern w:val="2"/>
          <w:sz w:val="24"/>
          <w:highlight w:val="none"/>
          <w:lang w:eastAsia="zh-CN" w:bidi="ar"/>
        </w:rPr>
        <w:t>交通运输扬尘污染源主要包括两部分，一是汽车行驶产生的扬尘，二是水泥、土方等多尘物质运输时，因防护不当导致物料失落和飘散。交通运输扬尘将导致进场道路两侧空气中含尘量的增加，对道路两侧区域环境空气质量产生一定影响。基于相关工程资料，施工过程中车辆行驶产生的扬尘约占施工总扬尘量的60%以上。一般情况车辆行驶产生的扬尘在同样路面清洁程度下，车速越快，扬尘量越大，而在同样车速下，路面越脏扬尘量越大。总体而言，工程施工区域地势开阔，空气自净能力强，污染物比较容易扩散，不会产生较大环</w:t>
      </w:r>
      <w:r>
        <w:rPr>
          <w:rFonts w:ascii="宋体" w:hAnsi="宋体" w:eastAsia="宋体" w:cs="宋体"/>
          <w:color w:val="0000FF"/>
          <w:spacing w:val="-1"/>
          <w:sz w:val="24"/>
          <w:szCs w:val="24"/>
        </w:rPr>
        <w:t>境影响，而且环境空气影响源具有一定临时性</w:t>
      </w:r>
      <w:r>
        <w:rPr>
          <w:rFonts w:ascii="宋体" w:hAnsi="宋体" w:eastAsia="宋体" w:cs="宋体"/>
          <w:color w:val="0000FF"/>
          <w:spacing w:val="-2"/>
          <w:sz w:val="24"/>
          <w:szCs w:val="24"/>
        </w:rPr>
        <w:t>，施工结束后将自行消除。</w:t>
      </w:r>
    </w:p>
    <w:p>
      <w:pPr>
        <w:widowControl w:val="0"/>
        <w:kinsoku/>
        <w:autoSpaceDE/>
        <w:autoSpaceDN/>
        <w:adjustRightInd/>
        <w:spacing w:line="360" w:lineRule="auto"/>
        <w:ind w:firstLine="480" w:firstLineChars="200"/>
        <w:jc w:val="both"/>
        <w:textAlignment w:val="auto"/>
        <w:rPr>
          <w:rFonts w:hint="default" w:ascii="Times New Roman" w:hAnsi="Times New Roman" w:eastAsia="宋体" w:cs="Times New Roman"/>
          <w:bCs/>
          <w:snapToGrid/>
          <w:color w:val="0000FF"/>
          <w:kern w:val="2"/>
          <w:sz w:val="24"/>
          <w:highlight w:val="none"/>
          <w:lang w:eastAsia="zh-CN" w:bidi="ar"/>
        </w:rPr>
      </w:pPr>
      <w:r>
        <w:rPr>
          <w:rFonts w:hint="default" w:ascii="Times New Roman" w:hAnsi="Times New Roman" w:eastAsia="宋体" w:cs="Times New Roman"/>
          <w:bCs/>
          <w:snapToGrid/>
          <w:color w:val="0000FF"/>
          <w:kern w:val="2"/>
          <w:sz w:val="24"/>
          <w:highlight w:val="none"/>
          <w:lang w:eastAsia="zh-CN" w:bidi="ar"/>
        </w:rPr>
        <w:t>施工扬尘主要来自于土石方开挖、土石方临时堆存、物料运输等，对局部</w:t>
      </w:r>
    </w:p>
    <w:p>
      <w:pPr>
        <w:widowControl w:val="0"/>
        <w:kinsoku/>
        <w:autoSpaceDE/>
        <w:autoSpaceDN/>
        <w:adjustRightInd/>
        <w:spacing w:line="360" w:lineRule="auto"/>
        <w:ind w:firstLine="480" w:firstLineChars="200"/>
        <w:jc w:val="both"/>
        <w:textAlignment w:val="auto"/>
        <w:rPr>
          <w:rFonts w:hint="default" w:ascii="Times New Roman" w:hAnsi="Times New Roman" w:eastAsia="宋体" w:cs="Times New Roman"/>
          <w:bCs/>
          <w:snapToGrid/>
          <w:color w:val="0000FF"/>
          <w:kern w:val="2"/>
          <w:sz w:val="24"/>
          <w:highlight w:val="none"/>
          <w:lang w:eastAsia="zh-CN" w:bidi="ar"/>
        </w:rPr>
      </w:pPr>
      <w:r>
        <w:rPr>
          <w:rFonts w:hint="default" w:ascii="Times New Roman" w:hAnsi="Times New Roman" w:eastAsia="宋体" w:cs="Times New Roman"/>
          <w:bCs/>
          <w:snapToGrid/>
          <w:color w:val="0000FF"/>
          <w:kern w:val="2"/>
          <w:sz w:val="24"/>
          <w:highlight w:val="none"/>
          <w:lang w:eastAsia="zh-CN" w:bidi="ar"/>
        </w:rPr>
        <w:t>范围内的空气质量会有影响，会增加空气中悬浮颗粒物的浓度。</w:t>
      </w:r>
    </w:p>
    <w:p>
      <w:pPr>
        <w:widowControl w:val="0"/>
        <w:kinsoku/>
        <w:autoSpaceDE/>
        <w:autoSpaceDN/>
        <w:adjustRightInd/>
        <w:spacing w:line="360" w:lineRule="auto"/>
        <w:ind w:firstLine="480" w:firstLineChars="200"/>
        <w:jc w:val="both"/>
        <w:textAlignment w:val="auto"/>
        <w:rPr>
          <w:rFonts w:hint="default" w:ascii="Times New Roman" w:hAnsi="Times New Roman" w:eastAsia="宋体" w:cs="Times New Roman"/>
          <w:bCs/>
          <w:snapToGrid/>
          <w:color w:val="0000FF"/>
          <w:kern w:val="2"/>
          <w:sz w:val="24"/>
          <w:highlight w:val="none"/>
          <w:lang w:eastAsia="zh-CN" w:bidi="ar"/>
        </w:rPr>
      </w:pPr>
      <w:r>
        <w:rPr>
          <w:rFonts w:hint="default" w:ascii="Times New Roman" w:hAnsi="Times New Roman" w:eastAsia="宋体" w:cs="Times New Roman"/>
          <w:bCs/>
          <w:snapToGrid/>
          <w:color w:val="0000FF"/>
          <w:kern w:val="2"/>
          <w:sz w:val="24"/>
          <w:highlight w:val="none"/>
          <w:lang w:eastAsia="zh-CN" w:bidi="ar"/>
        </w:rPr>
        <w:t>施工扬尘按起尘的原因可分为风力起尘和动力起尘。其中风力起尘主要是由于露天堆放的建材及裸露的施工区表层浮尘由于天气干燥及大风，产生风力扬尘；而动力起尘，主要是建材装御的过程中，由于外力而产生的尘粒再悬浮而造成，其中施工及装卸车辆造成扬尘最为严重。</w:t>
      </w:r>
    </w:p>
    <w:p>
      <w:pPr>
        <w:widowControl w:val="0"/>
        <w:kinsoku/>
        <w:autoSpaceDE/>
        <w:autoSpaceDN/>
        <w:adjustRightInd/>
        <w:spacing w:line="360" w:lineRule="auto"/>
        <w:ind w:firstLine="480" w:firstLineChars="200"/>
        <w:jc w:val="both"/>
        <w:textAlignment w:val="auto"/>
        <w:rPr>
          <w:rFonts w:hint="default" w:ascii="Times New Roman" w:hAnsi="Times New Roman" w:eastAsia="宋体" w:cs="Times New Roman"/>
          <w:bCs/>
          <w:snapToGrid/>
          <w:color w:val="0000FF"/>
          <w:kern w:val="2"/>
          <w:sz w:val="24"/>
          <w:highlight w:val="none"/>
          <w:lang w:eastAsia="zh-CN" w:bidi="ar"/>
        </w:rPr>
      </w:pPr>
      <w:r>
        <w:rPr>
          <w:rFonts w:hint="eastAsia" w:cs="Times New Roman"/>
          <w:bCs/>
          <w:snapToGrid/>
          <w:color w:val="0000FF"/>
          <w:kern w:val="2"/>
          <w:sz w:val="24"/>
          <w:highlight w:val="none"/>
          <w:lang w:val="en-US" w:eastAsia="zh-CN" w:bidi="ar"/>
        </w:rPr>
        <w:t>3、</w:t>
      </w:r>
      <w:r>
        <w:rPr>
          <w:rFonts w:hint="default" w:ascii="Times New Roman" w:hAnsi="Times New Roman" w:eastAsia="宋体" w:cs="Times New Roman"/>
          <w:bCs/>
          <w:snapToGrid/>
          <w:color w:val="0000FF"/>
          <w:kern w:val="2"/>
          <w:sz w:val="24"/>
          <w:highlight w:val="none"/>
          <w:lang w:eastAsia="zh-CN" w:bidi="ar"/>
        </w:rPr>
        <w:t>车辆运输扬尘</w:t>
      </w:r>
    </w:p>
    <w:p>
      <w:pPr>
        <w:widowControl w:val="0"/>
        <w:kinsoku/>
        <w:autoSpaceDE/>
        <w:autoSpaceDN/>
        <w:adjustRightInd/>
        <w:spacing w:line="360" w:lineRule="auto"/>
        <w:ind w:firstLine="480" w:firstLineChars="200"/>
        <w:jc w:val="both"/>
        <w:textAlignment w:val="auto"/>
        <w:rPr>
          <w:rFonts w:hint="default" w:ascii="Times New Roman" w:hAnsi="Times New Roman" w:eastAsia="宋体" w:cs="Times New Roman"/>
          <w:bCs/>
          <w:snapToGrid/>
          <w:color w:val="0000FF"/>
          <w:kern w:val="2"/>
          <w:sz w:val="24"/>
          <w:highlight w:val="none"/>
          <w:lang w:eastAsia="zh-CN" w:bidi="ar"/>
        </w:rPr>
      </w:pPr>
      <w:r>
        <w:rPr>
          <w:rFonts w:hint="default" w:ascii="Times New Roman" w:hAnsi="Times New Roman" w:eastAsia="宋体" w:cs="Times New Roman"/>
          <w:bCs/>
          <w:snapToGrid/>
          <w:color w:val="0000FF"/>
          <w:kern w:val="2"/>
          <w:sz w:val="24"/>
          <w:highlight w:val="none"/>
          <w:lang w:eastAsia="zh-CN" w:bidi="ar"/>
        </w:rPr>
        <w:t>在完全干燥的情况下，车辆行驶产生的扬尘可按下列经验公式估算：</w:t>
      </w:r>
    </w:p>
    <w:p>
      <w:pPr>
        <w:widowControl w:val="0"/>
        <w:kinsoku/>
        <w:autoSpaceDE/>
        <w:autoSpaceDN/>
        <w:adjustRightInd/>
        <w:spacing w:line="360" w:lineRule="auto"/>
        <w:ind w:firstLine="480" w:firstLineChars="200"/>
        <w:jc w:val="center"/>
        <w:textAlignment w:val="auto"/>
        <w:rPr>
          <w:rFonts w:hint="default" w:ascii="Times New Roman" w:hAnsi="Times New Roman" w:eastAsia="宋体" w:cs="Times New Roman"/>
          <w:bCs/>
          <w:snapToGrid/>
          <w:color w:val="0000FF"/>
          <w:kern w:val="2"/>
          <w:sz w:val="24"/>
          <w:highlight w:val="none"/>
          <w:lang w:eastAsia="zh-CN" w:bidi="ar"/>
        </w:rPr>
      </w:pPr>
      <w:r>
        <w:rPr>
          <w:color w:val="0000FF"/>
        </w:rPr>
        <w:drawing>
          <wp:inline distT="0" distB="0" distL="114300" distR="114300">
            <wp:extent cx="3075940" cy="779780"/>
            <wp:effectExtent l="0" t="0" r="0" b="127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56"/>
                    <a:srcRect l="4695" t="8815" b="2593"/>
                    <a:stretch>
                      <a:fillRect/>
                    </a:stretch>
                  </pic:blipFill>
                  <pic:spPr>
                    <a:xfrm>
                      <a:off x="0" y="0"/>
                      <a:ext cx="3075940" cy="779780"/>
                    </a:xfrm>
                    <a:prstGeom prst="rect">
                      <a:avLst/>
                    </a:prstGeom>
                    <a:noFill/>
                    <a:ln>
                      <a:noFill/>
                    </a:ln>
                  </pic:spPr>
                </pic:pic>
              </a:graphicData>
            </a:graphic>
          </wp:inline>
        </w:drawing>
      </w:r>
    </w:p>
    <w:p>
      <w:pPr>
        <w:keepNext w:val="0"/>
        <w:keepLines w:val="0"/>
        <w:pageBreakBefore w:val="0"/>
        <w:widowControl/>
        <w:suppressLineNumbers w:val="0"/>
        <w:kinsoku w:val="0"/>
        <w:wordWrap/>
        <w:overflowPunct/>
        <w:topLinePunct w:val="0"/>
        <w:autoSpaceDE w:val="0"/>
        <w:autoSpaceDN w:val="0"/>
        <w:bidi w:val="0"/>
        <w:adjustRightInd/>
        <w:snapToGrid w:val="0"/>
        <w:spacing w:line="360" w:lineRule="auto"/>
        <w:ind w:left="0" w:firstLine="480" w:firstLineChars="200"/>
        <w:jc w:val="left"/>
        <w:textAlignment w:val="baseline"/>
        <w:rPr>
          <w:color w:val="0000FF"/>
          <w:sz w:val="24"/>
          <w:szCs w:val="24"/>
        </w:rPr>
      </w:pPr>
      <w:r>
        <w:rPr>
          <w:rFonts w:hint="eastAsia" w:ascii="宋体" w:hAnsi="宋体" w:eastAsia="宋体" w:cs="宋体"/>
          <w:snapToGrid w:val="0"/>
          <w:color w:val="0000FF"/>
          <w:kern w:val="0"/>
          <w:sz w:val="24"/>
          <w:szCs w:val="24"/>
          <w:lang w:val="en-US" w:eastAsia="zh-CN" w:bidi="ar"/>
        </w:rPr>
        <w:t>式中：</w:t>
      </w:r>
      <w:r>
        <w:rPr>
          <w:rFonts w:hint="default" w:ascii="Times New Roman" w:hAnsi="Times New Roman" w:eastAsia="宋体" w:cs="Times New Roman"/>
          <w:snapToGrid w:val="0"/>
          <w:color w:val="0000FF"/>
          <w:kern w:val="0"/>
          <w:sz w:val="24"/>
          <w:szCs w:val="24"/>
          <w:lang w:val="en-US" w:eastAsia="zh-CN" w:bidi="ar"/>
        </w:rPr>
        <w:t>Q</w:t>
      </w:r>
      <w:r>
        <w:rPr>
          <w:rFonts w:hint="eastAsia" w:ascii="Times New Roman" w:hAnsi="Times New Roman" w:eastAsia="宋体" w:cs="Times New Roman"/>
          <w:snapToGrid w:val="0"/>
          <w:color w:val="0000FF"/>
          <w:kern w:val="0"/>
          <w:sz w:val="24"/>
          <w:szCs w:val="24"/>
          <w:vertAlign w:val="subscript"/>
          <w:lang w:val="en-US" w:eastAsia="zh-CN" w:bidi="ar"/>
        </w:rPr>
        <w:t>p</w:t>
      </w:r>
      <w:r>
        <w:rPr>
          <w:rFonts w:hint="default" w:ascii="Times New Roman" w:hAnsi="Times New Roman" w:eastAsia="宋体" w:cs="Times New Roman"/>
          <w:snapToGrid w:val="0"/>
          <w:color w:val="0000FF"/>
          <w:kern w:val="0"/>
          <w:sz w:val="24"/>
          <w:szCs w:val="24"/>
          <w:lang w:val="en-US" w:eastAsia="zh-CN" w:bidi="ar"/>
        </w:rPr>
        <w:t>——</w:t>
      </w:r>
      <w:r>
        <w:rPr>
          <w:rFonts w:hint="eastAsia" w:ascii="宋体" w:hAnsi="宋体" w:eastAsia="宋体" w:cs="宋体"/>
          <w:snapToGrid w:val="0"/>
          <w:color w:val="0000FF"/>
          <w:kern w:val="0"/>
          <w:sz w:val="24"/>
          <w:szCs w:val="24"/>
          <w:lang w:val="en-US" w:eastAsia="zh-CN" w:bidi="ar"/>
        </w:rPr>
        <w:t>道路扬尘量（</w:t>
      </w:r>
      <w:r>
        <w:rPr>
          <w:rFonts w:hint="default" w:ascii="Times New Roman" w:hAnsi="Times New Roman" w:eastAsia="宋体" w:cs="Times New Roman"/>
          <w:snapToGrid w:val="0"/>
          <w:color w:val="0000FF"/>
          <w:kern w:val="0"/>
          <w:sz w:val="24"/>
          <w:szCs w:val="24"/>
          <w:lang w:val="en-US" w:eastAsia="zh-CN" w:bidi="ar"/>
        </w:rPr>
        <w:t>kg/km·</w:t>
      </w:r>
      <w:r>
        <w:rPr>
          <w:rFonts w:hint="eastAsia" w:ascii="宋体" w:hAnsi="宋体" w:eastAsia="宋体" w:cs="宋体"/>
          <w:snapToGrid w:val="0"/>
          <w:color w:val="0000FF"/>
          <w:kern w:val="0"/>
          <w:sz w:val="24"/>
          <w:szCs w:val="24"/>
          <w:lang w:val="en-US" w:eastAsia="zh-CN" w:bidi="ar"/>
        </w:rPr>
        <w:t>辆）；</w:t>
      </w:r>
    </w:p>
    <w:p>
      <w:pPr>
        <w:keepNext w:val="0"/>
        <w:keepLines w:val="0"/>
        <w:pageBreakBefore w:val="0"/>
        <w:widowControl/>
        <w:suppressLineNumbers w:val="0"/>
        <w:kinsoku w:val="0"/>
        <w:wordWrap/>
        <w:overflowPunct/>
        <w:topLinePunct w:val="0"/>
        <w:autoSpaceDE w:val="0"/>
        <w:autoSpaceDN w:val="0"/>
        <w:bidi w:val="0"/>
        <w:adjustRightInd/>
        <w:snapToGrid w:val="0"/>
        <w:spacing w:line="360" w:lineRule="auto"/>
        <w:ind w:left="0" w:firstLine="480" w:firstLineChars="200"/>
        <w:jc w:val="left"/>
        <w:textAlignment w:val="baseline"/>
        <w:rPr>
          <w:color w:val="0000FF"/>
          <w:sz w:val="24"/>
          <w:szCs w:val="24"/>
        </w:rPr>
      </w:pPr>
      <w:r>
        <w:rPr>
          <w:rFonts w:hint="default" w:ascii="Times New Roman" w:hAnsi="Times New Roman" w:eastAsia="宋体" w:cs="Times New Roman"/>
          <w:snapToGrid w:val="0"/>
          <w:color w:val="0000FF"/>
          <w:kern w:val="0"/>
          <w:sz w:val="24"/>
          <w:szCs w:val="24"/>
          <w:lang w:val="en-US" w:eastAsia="zh-CN" w:bidi="ar"/>
        </w:rPr>
        <w:t>Q</w:t>
      </w:r>
      <w:r>
        <w:rPr>
          <w:rFonts w:hint="eastAsia" w:ascii="Times New Roman" w:hAnsi="Times New Roman" w:eastAsia="宋体" w:cs="Times New Roman"/>
          <w:snapToGrid w:val="0"/>
          <w:color w:val="0000FF"/>
          <w:kern w:val="0"/>
          <w:sz w:val="24"/>
          <w:szCs w:val="24"/>
          <w:lang w:val="en-US" w:eastAsia="zh-CN" w:bidi="ar"/>
        </w:rPr>
        <w:t>p</w:t>
      </w:r>
      <w:r>
        <w:rPr>
          <w:rFonts w:hint="eastAsia" w:ascii="Times New Roman" w:hAnsi="Times New Roman" w:eastAsia="宋体" w:cs="Times New Roman"/>
          <w:snapToGrid w:val="0"/>
          <w:color w:val="0000FF"/>
          <w:kern w:val="0"/>
          <w:sz w:val="24"/>
          <w:szCs w:val="24"/>
          <w:vertAlign w:val="superscript"/>
          <w:lang w:val="en-US" w:eastAsia="zh-CN" w:bidi="ar"/>
        </w:rPr>
        <w:t>1</w:t>
      </w:r>
      <w:r>
        <w:rPr>
          <w:rFonts w:hint="default" w:ascii="Times New Roman" w:hAnsi="Times New Roman" w:eastAsia="宋体" w:cs="Times New Roman"/>
          <w:snapToGrid w:val="0"/>
          <w:color w:val="0000FF"/>
          <w:kern w:val="0"/>
          <w:sz w:val="24"/>
          <w:szCs w:val="24"/>
          <w:lang w:val="en-US" w:eastAsia="zh-CN" w:bidi="ar"/>
        </w:rPr>
        <w:t>——</w:t>
      </w:r>
      <w:r>
        <w:rPr>
          <w:rFonts w:hint="eastAsia" w:ascii="宋体" w:hAnsi="宋体" w:eastAsia="宋体" w:cs="宋体"/>
          <w:snapToGrid w:val="0"/>
          <w:color w:val="0000FF"/>
          <w:kern w:val="0"/>
          <w:sz w:val="24"/>
          <w:szCs w:val="24"/>
          <w:lang w:val="en-US" w:eastAsia="zh-CN" w:bidi="ar"/>
        </w:rPr>
        <w:t>总扬尘量（</w:t>
      </w:r>
      <w:r>
        <w:rPr>
          <w:rFonts w:hint="default" w:ascii="Times New Roman" w:hAnsi="Times New Roman" w:eastAsia="宋体" w:cs="Times New Roman"/>
          <w:snapToGrid w:val="0"/>
          <w:color w:val="0000FF"/>
          <w:kern w:val="0"/>
          <w:sz w:val="24"/>
          <w:szCs w:val="24"/>
          <w:lang w:val="en-US" w:eastAsia="zh-CN" w:bidi="ar"/>
        </w:rPr>
        <w:t>kg</w:t>
      </w:r>
      <w:r>
        <w:rPr>
          <w:rFonts w:hint="eastAsia" w:ascii="宋体" w:hAnsi="宋体" w:eastAsia="宋体" w:cs="宋体"/>
          <w:snapToGrid w:val="0"/>
          <w:color w:val="0000FF"/>
          <w:kern w:val="0"/>
          <w:sz w:val="24"/>
          <w:szCs w:val="24"/>
          <w:lang w:val="en-US" w:eastAsia="zh-CN" w:bidi="ar"/>
        </w:rPr>
        <w:t>）；</w:t>
      </w:r>
    </w:p>
    <w:p>
      <w:pPr>
        <w:keepNext w:val="0"/>
        <w:keepLines w:val="0"/>
        <w:pageBreakBefore w:val="0"/>
        <w:widowControl/>
        <w:suppressLineNumbers w:val="0"/>
        <w:kinsoku w:val="0"/>
        <w:wordWrap/>
        <w:overflowPunct/>
        <w:topLinePunct w:val="0"/>
        <w:autoSpaceDE w:val="0"/>
        <w:autoSpaceDN w:val="0"/>
        <w:bidi w:val="0"/>
        <w:adjustRightInd/>
        <w:snapToGrid w:val="0"/>
        <w:spacing w:line="360" w:lineRule="auto"/>
        <w:ind w:left="0" w:firstLine="480" w:firstLineChars="200"/>
        <w:jc w:val="left"/>
        <w:textAlignment w:val="baseline"/>
        <w:rPr>
          <w:color w:val="0000FF"/>
          <w:sz w:val="24"/>
          <w:szCs w:val="24"/>
        </w:rPr>
      </w:pPr>
      <w:r>
        <w:rPr>
          <w:rFonts w:hint="default" w:ascii="Times New Roman" w:hAnsi="Times New Roman" w:eastAsia="宋体" w:cs="Times New Roman"/>
          <w:snapToGrid w:val="0"/>
          <w:color w:val="0000FF"/>
          <w:kern w:val="0"/>
          <w:sz w:val="24"/>
          <w:szCs w:val="24"/>
          <w:lang w:val="en-US" w:eastAsia="zh-CN" w:bidi="ar"/>
        </w:rPr>
        <w:t>V——</w:t>
      </w:r>
      <w:r>
        <w:rPr>
          <w:rFonts w:hint="eastAsia" w:ascii="宋体" w:hAnsi="宋体" w:eastAsia="宋体" w:cs="宋体"/>
          <w:snapToGrid w:val="0"/>
          <w:color w:val="0000FF"/>
          <w:kern w:val="0"/>
          <w:sz w:val="24"/>
          <w:szCs w:val="24"/>
          <w:lang w:val="en-US" w:eastAsia="zh-CN" w:bidi="ar"/>
        </w:rPr>
        <w:t>车辆速度（</w:t>
      </w:r>
      <w:r>
        <w:rPr>
          <w:rFonts w:hint="default" w:ascii="Times New Roman" w:hAnsi="Times New Roman" w:eastAsia="宋体" w:cs="Times New Roman"/>
          <w:snapToGrid w:val="0"/>
          <w:color w:val="0000FF"/>
          <w:kern w:val="0"/>
          <w:sz w:val="24"/>
          <w:szCs w:val="24"/>
          <w:lang w:val="en-US" w:eastAsia="zh-CN" w:bidi="ar"/>
        </w:rPr>
        <w:t>km/h</w:t>
      </w:r>
      <w:r>
        <w:rPr>
          <w:rFonts w:hint="eastAsia" w:ascii="宋体" w:hAnsi="宋体" w:eastAsia="宋体" w:cs="宋体"/>
          <w:snapToGrid w:val="0"/>
          <w:color w:val="0000FF"/>
          <w:kern w:val="0"/>
          <w:sz w:val="24"/>
          <w:szCs w:val="24"/>
          <w:lang w:val="en-US" w:eastAsia="zh-CN" w:bidi="ar"/>
        </w:rPr>
        <w:t>）；</w:t>
      </w:r>
    </w:p>
    <w:p>
      <w:pPr>
        <w:keepNext w:val="0"/>
        <w:keepLines w:val="0"/>
        <w:pageBreakBefore w:val="0"/>
        <w:widowControl/>
        <w:kinsoku w:val="0"/>
        <w:wordWrap/>
        <w:overflowPunct/>
        <w:topLinePunct w:val="0"/>
        <w:autoSpaceDE w:val="0"/>
        <w:autoSpaceDN w:val="0"/>
        <w:bidi w:val="0"/>
        <w:adjustRightInd/>
        <w:snapToGrid w:val="0"/>
        <w:spacing w:line="360" w:lineRule="auto"/>
        <w:ind w:left="0" w:firstLine="472" w:firstLineChars="200"/>
        <w:textAlignment w:val="baseline"/>
        <w:rPr>
          <w:rFonts w:ascii="宋体" w:hAnsi="宋体" w:eastAsia="宋体" w:cs="宋体"/>
          <w:color w:val="0000FF"/>
          <w:sz w:val="24"/>
          <w:szCs w:val="24"/>
        </w:rPr>
      </w:pPr>
      <w:r>
        <w:rPr>
          <w:rFonts w:ascii="Times New Roman" w:hAnsi="Times New Roman" w:eastAsia="Times New Roman" w:cs="Times New Roman"/>
          <w:color w:val="0000FF"/>
          <w:spacing w:val="-2"/>
          <w:sz w:val="24"/>
          <w:szCs w:val="24"/>
        </w:rPr>
        <w:t>M——</w:t>
      </w:r>
      <w:r>
        <w:rPr>
          <w:rFonts w:ascii="宋体" w:hAnsi="宋体" w:eastAsia="宋体" w:cs="宋体"/>
          <w:color w:val="0000FF"/>
          <w:spacing w:val="-2"/>
          <w:sz w:val="24"/>
          <w:szCs w:val="24"/>
        </w:rPr>
        <w:t>车辆载重（</w:t>
      </w:r>
      <w:r>
        <w:rPr>
          <w:rFonts w:ascii="Times New Roman" w:hAnsi="Times New Roman" w:eastAsia="Times New Roman" w:cs="Times New Roman"/>
          <w:color w:val="0000FF"/>
          <w:spacing w:val="-2"/>
          <w:sz w:val="24"/>
          <w:szCs w:val="24"/>
        </w:rPr>
        <w:t>t/</w:t>
      </w:r>
      <w:r>
        <w:rPr>
          <w:rFonts w:ascii="宋体" w:hAnsi="宋体" w:eastAsia="宋体" w:cs="宋体"/>
          <w:color w:val="0000FF"/>
          <w:spacing w:val="-2"/>
          <w:sz w:val="24"/>
          <w:szCs w:val="24"/>
        </w:rPr>
        <w:t>辆</w:t>
      </w:r>
      <w:r>
        <w:rPr>
          <w:rFonts w:ascii="宋体" w:hAnsi="宋体" w:eastAsia="宋体" w:cs="宋体"/>
          <w:color w:val="0000FF"/>
          <w:spacing w:val="-10"/>
          <w:sz w:val="24"/>
          <w:szCs w:val="24"/>
        </w:rPr>
        <w:t>）；</w:t>
      </w:r>
    </w:p>
    <w:p>
      <w:pPr>
        <w:keepNext w:val="0"/>
        <w:keepLines w:val="0"/>
        <w:pageBreakBefore w:val="0"/>
        <w:widowControl/>
        <w:kinsoku w:val="0"/>
        <w:wordWrap/>
        <w:overflowPunct/>
        <w:topLinePunct w:val="0"/>
        <w:autoSpaceDE w:val="0"/>
        <w:autoSpaceDN w:val="0"/>
        <w:bidi w:val="0"/>
        <w:adjustRightInd/>
        <w:snapToGrid w:val="0"/>
        <w:spacing w:line="360" w:lineRule="auto"/>
        <w:ind w:left="0" w:firstLine="476" w:firstLineChars="200"/>
        <w:textAlignment w:val="baseline"/>
        <w:rPr>
          <w:rFonts w:ascii="宋体" w:hAnsi="宋体" w:eastAsia="宋体" w:cs="宋体"/>
          <w:color w:val="0000FF"/>
          <w:sz w:val="24"/>
          <w:szCs w:val="24"/>
        </w:rPr>
      </w:pPr>
      <w:r>
        <w:rPr>
          <w:rFonts w:ascii="Times New Roman" w:hAnsi="Times New Roman" w:eastAsia="Times New Roman" w:cs="Times New Roman"/>
          <w:color w:val="0000FF"/>
          <w:spacing w:val="-1"/>
          <w:sz w:val="24"/>
          <w:szCs w:val="24"/>
        </w:rPr>
        <w:t>P——</w:t>
      </w:r>
      <w:r>
        <w:rPr>
          <w:rFonts w:ascii="宋体" w:hAnsi="宋体" w:eastAsia="宋体" w:cs="宋体"/>
          <w:color w:val="0000FF"/>
          <w:spacing w:val="-1"/>
          <w:sz w:val="24"/>
          <w:szCs w:val="24"/>
        </w:rPr>
        <w:t>道路灰尘覆盖量（</w:t>
      </w:r>
      <w:r>
        <w:rPr>
          <w:rFonts w:ascii="Times New Roman" w:hAnsi="Times New Roman" w:eastAsia="Times New Roman" w:cs="Times New Roman"/>
          <w:color w:val="0000FF"/>
          <w:spacing w:val="-1"/>
          <w:sz w:val="24"/>
          <w:szCs w:val="24"/>
        </w:rPr>
        <w:t>kg/m</w:t>
      </w:r>
      <w:r>
        <w:rPr>
          <w:rFonts w:hint="eastAsia" w:ascii="Times New Roman" w:hAnsi="Times New Roman" w:eastAsia="宋体" w:cs="Times New Roman"/>
          <w:color w:val="0000FF"/>
          <w:spacing w:val="-1"/>
          <w:sz w:val="24"/>
          <w:szCs w:val="24"/>
          <w:vertAlign w:val="superscript"/>
          <w:lang w:val="en-US" w:eastAsia="zh-CN"/>
        </w:rPr>
        <w:t>2</w:t>
      </w:r>
      <w:r>
        <w:rPr>
          <w:rFonts w:ascii="宋体" w:hAnsi="宋体" w:eastAsia="宋体" w:cs="宋体"/>
          <w:color w:val="0000FF"/>
          <w:spacing w:val="1"/>
          <w:sz w:val="24"/>
          <w:szCs w:val="24"/>
        </w:rPr>
        <w:t>）；</w:t>
      </w:r>
    </w:p>
    <w:p>
      <w:pPr>
        <w:keepNext w:val="0"/>
        <w:keepLines w:val="0"/>
        <w:pageBreakBefore w:val="0"/>
        <w:widowControl/>
        <w:kinsoku w:val="0"/>
        <w:wordWrap/>
        <w:overflowPunct/>
        <w:topLinePunct w:val="0"/>
        <w:autoSpaceDE w:val="0"/>
        <w:autoSpaceDN w:val="0"/>
        <w:bidi w:val="0"/>
        <w:adjustRightInd/>
        <w:snapToGrid w:val="0"/>
        <w:spacing w:line="360" w:lineRule="auto"/>
        <w:ind w:left="0" w:firstLine="476" w:firstLineChars="200"/>
        <w:textAlignment w:val="baseline"/>
        <w:rPr>
          <w:rFonts w:ascii="宋体" w:hAnsi="宋体" w:eastAsia="宋体" w:cs="宋体"/>
          <w:color w:val="0000FF"/>
          <w:sz w:val="24"/>
          <w:szCs w:val="24"/>
        </w:rPr>
      </w:pPr>
      <w:r>
        <w:rPr>
          <w:rFonts w:ascii="Times New Roman" w:hAnsi="Times New Roman" w:eastAsia="Times New Roman" w:cs="Times New Roman"/>
          <w:color w:val="0000FF"/>
          <w:spacing w:val="-1"/>
          <w:position w:val="10"/>
          <w:sz w:val="24"/>
          <w:szCs w:val="24"/>
        </w:rPr>
        <w:t>L——</w:t>
      </w:r>
      <w:r>
        <w:rPr>
          <w:rFonts w:ascii="宋体" w:hAnsi="宋体" w:eastAsia="宋体" w:cs="宋体"/>
          <w:color w:val="0000FF"/>
          <w:spacing w:val="-1"/>
          <w:position w:val="10"/>
          <w:sz w:val="24"/>
          <w:szCs w:val="24"/>
        </w:rPr>
        <w:t>运输距离（</w:t>
      </w:r>
      <w:r>
        <w:rPr>
          <w:rFonts w:ascii="Times New Roman" w:hAnsi="Times New Roman" w:eastAsia="Times New Roman" w:cs="Times New Roman"/>
          <w:color w:val="0000FF"/>
          <w:spacing w:val="-1"/>
          <w:position w:val="10"/>
          <w:sz w:val="24"/>
          <w:szCs w:val="24"/>
        </w:rPr>
        <w:t>km</w:t>
      </w:r>
      <w:r>
        <w:rPr>
          <w:rFonts w:ascii="宋体" w:hAnsi="宋体" w:eastAsia="宋体" w:cs="宋体"/>
          <w:color w:val="0000FF"/>
          <w:spacing w:val="-13"/>
          <w:position w:val="10"/>
          <w:sz w:val="24"/>
          <w:szCs w:val="24"/>
        </w:rPr>
        <w:t>）；</w:t>
      </w:r>
    </w:p>
    <w:p>
      <w:pPr>
        <w:keepNext w:val="0"/>
        <w:keepLines w:val="0"/>
        <w:pageBreakBefore w:val="0"/>
        <w:widowControl/>
        <w:kinsoku w:val="0"/>
        <w:wordWrap/>
        <w:overflowPunct/>
        <w:topLinePunct w:val="0"/>
        <w:autoSpaceDE w:val="0"/>
        <w:autoSpaceDN w:val="0"/>
        <w:bidi w:val="0"/>
        <w:adjustRightInd/>
        <w:snapToGrid w:val="0"/>
        <w:spacing w:line="360" w:lineRule="auto"/>
        <w:ind w:left="0" w:firstLine="468" w:firstLineChars="200"/>
        <w:textAlignment w:val="baseline"/>
        <w:rPr>
          <w:rFonts w:ascii="宋体" w:hAnsi="宋体" w:eastAsia="宋体" w:cs="宋体"/>
          <w:color w:val="0000FF"/>
          <w:sz w:val="24"/>
          <w:szCs w:val="24"/>
        </w:rPr>
      </w:pPr>
      <w:r>
        <w:rPr>
          <w:rFonts w:ascii="Times New Roman" w:hAnsi="Times New Roman" w:eastAsia="Times New Roman" w:cs="Times New Roman"/>
          <w:color w:val="0000FF"/>
          <w:spacing w:val="-3"/>
          <w:sz w:val="24"/>
          <w:szCs w:val="24"/>
        </w:rPr>
        <w:t>Q——</w:t>
      </w:r>
      <w:r>
        <w:rPr>
          <w:rFonts w:ascii="宋体" w:hAnsi="宋体" w:eastAsia="宋体" w:cs="宋体"/>
          <w:color w:val="0000FF"/>
          <w:spacing w:val="-3"/>
          <w:sz w:val="24"/>
          <w:szCs w:val="24"/>
        </w:rPr>
        <w:t>运输量（</w:t>
      </w:r>
      <w:r>
        <w:rPr>
          <w:rFonts w:ascii="Times New Roman" w:hAnsi="Times New Roman" w:eastAsia="Times New Roman" w:cs="Times New Roman"/>
          <w:color w:val="0000FF"/>
          <w:spacing w:val="-3"/>
          <w:sz w:val="24"/>
          <w:szCs w:val="24"/>
        </w:rPr>
        <w:t>t</w:t>
      </w:r>
      <w:r>
        <w:rPr>
          <w:rFonts w:ascii="宋体" w:hAnsi="宋体" w:eastAsia="宋体" w:cs="宋体"/>
          <w:color w:val="0000FF"/>
          <w:spacing w:val="-3"/>
          <w:sz w:val="24"/>
          <w:szCs w:val="24"/>
        </w:rPr>
        <w:t>）。</w:t>
      </w:r>
    </w:p>
    <w:p>
      <w:pPr>
        <w:widowControl w:val="0"/>
        <w:kinsoku/>
        <w:autoSpaceDE/>
        <w:autoSpaceDN/>
        <w:adjustRightInd/>
        <w:spacing w:line="360" w:lineRule="auto"/>
        <w:ind w:firstLine="480" w:firstLineChars="200"/>
        <w:jc w:val="both"/>
        <w:textAlignment w:val="auto"/>
        <w:rPr>
          <w:rFonts w:hint="default" w:ascii="Times New Roman" w:hAnsi="Times New Roman" w:eastAsia="宋体" w:cs="Times New Roman"/>
          <w:bCs/>
          <w:snapToGrid/>
          <w:color w:val="0000FF"/>
          <w:kern w:val="2"/>
          <w:sz w:val="24"/>
          <w:highlight w:val="none"/>
          <w:lang w:eastAsia="zh-CN" w:bidi="ar"/>
        </w:rPr>
      </w:pPr>
      <w:r>
        <w:rPr>
          <w:rFonts w:hint="default" w:ascii="Times New Roman" w:hAnsi="Times New Roman" w:eastAsia="宋体" w:cs="Times New Roman"/>
          <w:bCs/>
          <w:snapToGrid/>
          <w:color w:val="0000FF"/>
          <w:kern w:val="2"/>
          <w:sz w:val="24"/>
          <w:highlight w:val="none"/>
          <w:lang w:eastAsia="zh-CN" w:bidi="ar"/>
        </w:rPr>
        <w:t>本项目主要采用20t的载重车辆运输，运输车辆时速约10km/h，道路灰尘覆盖量P取0.5kg/m</w:t>
      </w:r>
      <w:r>
        <w:rPr>
          <w:rFonts w:hint="default" w:ascii="Times New Roman" w:hAnsi="Times New Roman" w:eastAsia="宋体" w:cs="Times New Roman"/>
          <w:bCs/>
          <w:snapToGrid/>
          <w:color w:val="0000FF"/>
          <w:kern w:val="2"/>
          <w:sz w:val="24"/>
          <w:highlight w:val="none"/>
          <w:vertAlign w:val="superscript"/>
          <w:lang w:eastAsia="zh-CN" w:bidi="ar"/>
        </w:rPr>
        <w:t>2</w:t>
      </w:r>
      <w:r>
        <w:rPr>
          <w:rFonts w:hint="default" w:ascii="Times New Roman" w:hAnsi="Times New Roman" w:eastAsia="宋体" w:cs="Times New Roman"/>
          <w:bCs/>
          <w:snapToGrid/>
          <w:color w:val="0000FF"/>
          <w:kern w:val="2"/>
          <w:sz w:val="24"/>
          <w:highlight w:val="none"/>
          <w:lang w:eastAsia="zh-CN" w:bidi="ar"/>
        </w:rPr>
        <w:t>，则运输起尘量为0.341kg/km·辆。本项目施工期需运输的各类物料总重量</w:t>
      </w:r>
      <w:r>
        <w:rPr>
          <w:rFonts w:hint="eastAsia" w:ascii="Times New Roman" w:hAnsi="Times New Roman" w:eastAsia="宋体" w:cs="Times New Roman"/>
          <w:bCs/>
          <w:snapToGrid/>
          <w:color w:val="0000FF"/>
          <w:kern w:val="2"/>
          <w:sz w:val="24"/>
          <w:highlight w:val="none"/>
          <w:lang w:val="en-US" w:eastAsia="zh-CN" w:bidi="ar"/>
        </w:rPr>
        <w:t>31171</w:t>
      </w:r>
      <w:r>
        <w:rPr>
          <w:rFonts w:hint="default" w:ascii="Times New Roman" w:hAnsi="Times New Roman" w:eastAsia="宋体" w:cs="Times New Roman"/>
          <w:bCs/>
          <w:snapToGrid/>
          <w:color w:val="0000FF"/>
          <w:kern w:val="2"/>
          <w:sz w:val="24"/>
          <w:highlight w:val="none"/>
          <w:lang w:eastAsia="zh-CN" w:bidi="ar"/>
        </w:rPr>
        <w:t>t</w:t>
      </w:r>
      <w:r>
        <w:rPr>
          <w:rFonts w:hint="eastAsia" w:ascii="Times New Roman" w:hAnsi="Times New Roman" w:eastAsia="宋体" w:cs="Times New Roman"/>
          <w:bCs/>
          <w:snapToGrid/>
          <w:color w:val="0000FF"/>
          <w:kern w:val="2"/>
          <w:sz w:val="24"/>
          <w:highlight w:val="none"/>
          <w:lang w:eastAsia="zh-CN" w:bidi="ar"/>
        </w:rPr>
        <w:t>（</w:t>
      </w:r>
      <w:r>
        <w:rPr>
          <w:rFonts w:hint="eastAsia" w:ascii="Times New Roman" w:hAnsi="Times New Roman" w:eastAsia="宋体" w:cs="Times New Roman"/>
          <w:bCs/>
          <w:snapToGrid/>
          <w:color w:val="0000FF"/>
          <w:kern w:val="2"/>
          <w:sz w:val="24"/>
          <w:highlight w:val="none"/>
          <w:lang w:val="en-US" w:eastAsia="zh-CN" w:bidi="ar"/>
        </w:rPr>
        <w:t>含钢筋、水泥、砂石料、弃渣等</w:t>
      </w:r>
      <w:r>
        <w:rPr>
          <w:rFonts w:hint="eastAsia" w:ascii="Times New Roman" w:hAnsi="Times New Roman" w:eastAsia="宋体" w:cs="Times New Roman"/>
          <w:bCs/>
          <w:snapToGrid/>
          <w:color w:val="0000FF"/>
          <w:kern w:val="2"/>
          <w:sz w:val="24"/>
          <w:highlight w:val="none"/>
          <w:lang w:eastAsia="zh-CN" w:bidi="ar"/>
        </w:rPr>
        <w:t>）</w:t>
      </w:r>
      <w:r>
        <w:rPr>
          <w:rFonts w:hint="default" w:ascii="Times New Roman" w:hAnsi="Times New Roman" w:eastAsia="宋体" w:cs="Times New Roman"/>
          <w:bCs/>
          <w:snapToGrid/>
          <w:color w:val="0000FF"/>
          <w:kern w:val="2"/>
          <w:sz w:val="24"/>
          <w:highlight w:val="none"/>
          <w:lang w:eastAsia="zh-CN" w:bidi="ar"/>
        </w:rPr>
        <w:t>，需运输约</w:t>
      </w:r>
      <w:r>
        <w:rPr>
          <w:rFonts w:hint="eastAsia" w:ascii="Times New Roman" w:hAnsi="Times New Roman" w:eastAsia="宋体" w:cs="Times New Roman"/>
          <w:bCs/>
          <w:snapToGrid/>
          <w:color w:val="0000FF"/>
          <w:kern w:val="2"/>
          <w:sz w:val="24"/>
          <w:highlight w:val="none"/>
          <w:lang w:val="en-US" w:eastAsia="zh-CN" w:bidi="ar"/>
        </w:rPr>
        <w:t>1559</w:t>
      </w:r>
      <w:r>
        <w:rPr>
          <w:rFonts w:hint="default" w:ascii="Times New Roman" w:hAnsi="Times New Roman" w:eastAsia="宋体" w:cs="Times New Roman"/>
          <w:bCs/>
          <w:snapToGrid/>
          <w:color w:val="0000FF"/>
          <w:kern w:val="2"/>
          <w:sz w:val="24"/>
          <w:highlight w:val="none"/>
          <w:lang w:eastAsia="zh-CN" w:bidi="ar"/>
        </w:rPr>
        <w:t>次，进场后平均运距1km，道路总起尘量为</w:t>
      </w:r>
      <w:r>
        <w:rPr>
          <w:rFonts w:hint="eastAsia" w:ascii="Times New Roman" w:hAnsi="Times New Roman" w:eastAsia="宋体" w:cs="Times New Roman"/>
          <w:bCs/>
          <w:snapToGrid/>
          <w:color w:val="0000FF"/>
          <w:kern w:val="2"/>
          <w:sz w:val="24"/>
          <w:highlight w:val="none"/>
          <w:lang w:val="en-US" w:eastAsia="zh-CN" w:bidi="ar"/>
        </w:rPr>
        <w:t>1.594</w:t>
      </w:r>
      <w:r>
        <w:rPr>
          <w:rFonts w:hint="default" w:ascii="Times New Roman" w:hAnsi="Times New Roman" w:eastAsia="宋体" w:cs="Times New Roman"/>
          <w:bCs/>
          <w:snapToGrid/>
          <w:color w:val="0000FF"/>
          <w:kern w:val="2"/>
          <w:sz w:val="24"/>
          <w:highlight w:val="none"/>
          <w:lang w:eastAsia="zh-CN" w:bidi="ar"/>
        </w:rPr>
        <w:t>t，采取洒水降尘、加强道路维护后，降尘率可达70%，则整个施工期道路总起尘量为</w:t>
      </w:r>
      <w:r>
        <w:rPr>
          <w:rFonts w:hint="eastAsia" w:ascii="Times New Roman" w:hAnsi="Times New Roman" w:eastAsia="宋体" w:cs="Times New Roman"/>
          <w:bCs/>
          <w:snapToGrid/>
          <w:color w:val="0000FF"/>
          <w:kern w:val="2"/>
          <w:sz w:val="24"/>
          <w:highlight w:val="none"/>
          <w:lang w:val="en-US" w:eastAsia="zh-CN" w:bidi="ar"/>
        </w:rPr>
        <w:t>0.478</w:t>
      </w:r>
      <w:r>
        <w:rPr>
          <w:rFonts w:hint="default" w:ascii="Times New Roman" w:hAnsi="Times New Roman" w:eastAsia="宋体" w:cs="Times New Roman"/>
          <w:bCs/>
          <w:snapToGrid/>
          <w:color w:val="0000FF"/>
          <w:kern w:val="2"/>
          <w:sz w:val="24"/>
          <w:highlight w:val="none"/>
          <w:lang w:eastAsia="zh-CN" w:bidi="ar"/>
        </w:rPr>
        <w:t>t。</w:t>
      </w:r>
    </w:p>
    <w:p>
      <w:pPr>
        <w:widowControl w:val="0"/>
        <w:kinsoku/>
        <w:autoSpaceDE/>
        <w:autoSpaceDN/>
        <w:adjustRightInd/>
        <w:spacing w:line="360" w:lineRule="auto"/>
        <w:ind w:firstLine="480" w:firstLineChars="200"/>
        <w:jc w:val="both"/>
        <w:textAlignment w:val="auto"/>
        <w:rPr>
          <w:rFonts w:hint="default" w:ascii="Times New Roman" w:hAnsi="Times New Roman" w:eastAsia="宋体" w:cs="Times New Roman"/>
          <w:bCs/>
          <w:snapToGrid/>
          <w:color w:val="0000FF"/>
          <w:kern w:val="2"/>
          <w:sz w:val="24"/>
          <w:highlight w:val="none"/>
          <w:lang w:eastAsia="zh-CN" w:bidi="ar"/>
        </w:rPr>
      </w:pPr>
      <w:r>
        <w:rPr>
          <w:rFonts w:hint="eastAsia" w:cs="Times New Roman"/>
          <w:bCs/>
          <w:snapToGrid/>
          <w:color w:val="0000FF"/>
          <w:kern w:val="2"/>
          <w:sz w:val="24"/>
          <w:highlight w:val="none"/>
          <w:lang w:val="en-US" w:eastAsia="zh-CN" w:bidi="ar"/>
        </w:rPr>
        <w:t>4、</w:t>
      </w:r>
      <w:r>
        <w:rPr>
          <w:rFonts w:hint="default" w:ascii="Times New Roman" w:hAnsi="Times New Roman" w:eastAsia="宋体" w:cs="Times New Roman"/>
          <w:bCs/>
          <w:snapToGrid/>
          <w:color w:val="0000FF"/>
          <w:kern w:val="2"/>
          <w:sz w:val="24"/>
          <w:highlight w:val="none"/>
          <w:lang w:eastAsia="zh-CN" w:bidi="ar"/>
        </w:rPr>
        <w:t>弃渣场风力扬尘</w:t>
      </w:r>
    </w:p>
    <w:p>
      <w:pPr>
        <w:widowControl w:val="0"/>
        <w:kinsoku/>
        <w:autoSpaceDE/>
        <w:autoSpaceDN/>
        <w:adjustRightInd/>
        <w:spacing w:line="360" w:lineRule="auto"/>
        <w:ind w:firstLine="480" w:firstLineChars="200"/>
        <w:jc w:val="both"/>
        <w:textAlignment w:val="auto"/>
        <w:rPr>
          <w:rFonts w:hint="default" w:ascii="Times New Roman" w:hAnsi="Times New Roman" w:eastAsia="宋体" w:cs="Times New Roman"/>
          <w:bCs/>
          <w:snapToGrid/>
          <w:color w:val="0000FF"/>
          <w:kern w:val="2"/>
          <w:sz w:val="24"/>
          <w:highlight w:val="none"/>
          <w:lang w:eastAsia="zh-CN" w:bidi="ar"/>
        </w:rPr>
      </w:pPr>
      <w:r>
        <w:rPr>
          <w:rFonts w:hint="default" w:ascii="Times New Roman" w:hAnsi="Times New Roman" w:eastAsia="宋体" w:cs="Times New Roman"/>
          <w:bCs/>
          <w:snapToGrid/>
          <w:color w:val="0000FF"/>
          <w:kern w:val="2"/>
          <w:sz w:val="24"/>
          <w:highlight w:val="none"/>
          <w:lang w:eastAsia="zh-CN" w:bidi="ar"/>
        </w:rPr>
        <w:t>弃渣场在旱季风大的情况下会产生一定的扬尘，弃渣场压实堆放，排土结束平台及时植被恢复，项目设1个弃渣场，占地面积</w:t>
      </w:r>
      <w:r>
        <w:rPr>
          <w:rFonts w:hint="eastAsia" w:ascii="Times New Roman" w:hAnsi="Times New Roman" w:eastAsia="宋体" w:cs="Times New Roman"/>
          <w:bCs/>
          <w:snapToGrid/>
          <w:color w:val="0000FF"/>
          <w:kern w:val="2"/>
          <w:sz w:val="24"/>
          <w:highlight w:val="none"/>
          <w:lang w:val="en-US" w:eastAsia="zh-CN" w:bidi="ar"/>
        </w:rPr>
        <w:t>15400</w:t>
      </w:r>
      <w:r>
        <w:rPr>
          <w:rFonts w:hint="default" w:ascii="Times New Roman" w:hAnsi="Times New Roman" w:eastAsia="宋体" w:cs="Times New Roman"/>
          <w:bCs/>
          <w:snapToGrid/>
          <w:color w:val="0000FF"/>
          <w:kern w:val="2"/>
          <w:sz w:val="24"/>
          <w:highlight w:val="none"/>
          <w:lang w:eastAsia="zh-CN" w:bidi="ar"/>
        </w:rPr>
        <w:t>m</w:t>
      </w:r>
      <w:r>
        <w:rPr>
          <w:rFonts w:hint="default" w:ascii="Times New Roman" w:hAnsi="Times New Roman" w:eastAsia="宋体" w:cs="Times New Roman"/>
          <w:bCs/>
          <w:snapToGrid/>
          <w:color w:val="0000FF"/>
          <w:kern w:val="2"/>
          <w:sz w:val="24"/>
          <w:highlight w:val="none"/>
          <w:vertAlign w:val="superscript"/>
          <w:lang w:eastAsia="zh-CN" w:bidi="ar"/>
        </w:rPr>
        <w:t>2</w:t>
      </w:r>
      <w:r>
        <w:rPr>
          <w:rFonts w:hint="default" w:ascii="Times New Roman" w:hAnsi="Times New Roman" w:eastAsia="宋体" w:cs="Times New Roman"/>
          <w:bCs/>
          <w:snapToGrid/>
          <w:color w:val="0000FF"/>
          <w:kern w:val="2"/>
          <w:sz w:val="24"/>
          <w:highlight w:val="none"/>
          <w:lang w:eastAsia="zh-CN" w:bidi="ar"/>
        </w:rPr>
        <w:t>。本报告采用西安冶金建筑学院扬尘量计算公式（适用于干灰扬尘、不辗压）：</w:t>
      </w:r>
    </w:p>
    <w:p>
      <w:pPr>
        <w:spacing w:before="104" w:line="360" w:lineRule="auto"/>
        <w:ind w:left="1316"/>
        <w:rPr>
          <w:rFonts w:ascii="Times New Roman" w:hAnsi="Times New Roman" w:eastAsia="Times New Roman" w:cs="Times New Roman"/>
          <w:color w:val="0000FF"/>
          <w:sz w:val="24"/>
          <w:szCs w:val="24"/>
        </w:rPr>
      </w:pPr>
      <w:r>
        <w:rPr>
          <w:rFonts w:ascii="Times New Roman" w:hAnsi="Times New Roman" w:eastAsia="Times New Roman" w:cs="Times New Roman"/>
          <w:color w:val="0000FF"/>
          <w:spacing w:val="-3"/>
          <w:position w:val="17"/>
          <w:sz w:val="24"/>
          <w:szCs w:val="24"/>
        </w:rPr>
        <w:t>Qp</w:t>
      </w:r>
      <w:r>
        <w:rPr>
          <w:rFonts w:ascii="宋体" w:hAnsi="宋体" w:eastAsia="宋体" w:cs="宋体"/>
          <w:color w:val="0000FF"/>
          <w:spacing w:val="-3"/>
          <w:position w:val="17"/>
          <w:sz w:val="24"/>
          <w:szCs w:val="24"/>
        </w:rPr>
        <w:t>＝</w:t>
      </w:r>
      <w:r>
        <w:rPr>
          <w:rFonts w:ascii="Times New Roman" w:hAnsi="Times New Roman" w:eastAsia="Times New Roman" w:cs="Times New Roman"/>
          <w:color w:val="0000FF"/>
          <w:spacing w:val="-3"/>
          <w:position w:val="17"/>
          <w:sz w:val="24"/>
          <w:szCs w:val="24"/>
        </w:rPr>
        <w:t>4.23×10</w:t>
      </w:r>
      <w:r>
        <w:rPr>
          <w:rFonts w:ascii="Times New Roman" w:hAnsi="Times New Roman" w:eastAsia="Times New Roman" w:cs="Times New Roman"/>
          <w:color w:val="0000FF"/>
          <w:spacing w:val="-3"/>
          <w:position w:val="27"/>
          <w:sz w:val="16"/>
          <w:szCs w:val="16"/>
        </w:rPr>
        <w:t>-4</w:t>
      </w:r>
      <w:r>
        <w:rPr>
          <w:rFonts w:ascii="Times New Roman" w:hAnsi="Times New Roman" w:eastAsia="Times New Roman" w:cs="Times New Roman"/>
          <w:color w:val="0000FF"/>
          <w:spacing w:val="-3"/>
          <w:position w:val="17"/>
          <w:sz w:val="24"/>
          <w:szCs w:val="24"/>
        </w:rPr>
        <w:t>×U</w:t>
      </w:r>
      <w:r>
        <w:rPr>
          <w:rFonts w:ascii="Times New Roman" w:hAnsi="Times New Roman" w:eastAsia="Times New Roman" w:cs="Times New Roman"/>
          <w:color w:val="0000FF"/>
          <w:spacing w:val="-3"/>
          <w:position w:val="27"/>
          <w:sz w:val="16"/>
          <w:szCs w:val="16"/>
        </w:rPr>
        <w:t>4.9</w:t>
      </w:r>
      <w:r>
        <w:rPr>
          <w:rFonts w:ascii="Times New Roman" w:hAnsi="Times New Roman" w:eastAsia="Times New Roman" w:cs="Times New Roman"/>
          <w:color w:val="0000FF"/>
          <w:spacing w:val="-3"/>
          <w:position w:val="17"/>
          <w:sz w:val="24"/>
          <w:szCs w:val="24"/>
        </w:rPr>
        <w:t>×Ap</w:t>
      </w:r>
    </w:p>
    <w:p>
      <w:pPr>
        <w:spacing w:before="1" w:line="360" w:lineRule="auto"/>
        <w:ind w:left="1318"/>
        <w:rPr>
          <w:rFonts w:ascii="宋体" w:hAnsi="宋体" w:eastAsia="宋体" w:cs="宋体"/>
          <w:color w:val="0000FF"/>
          <w:sz w:val="24"/>
          <w:szCs w:val="24"/>
        </w:rPr>
      </w:pPr>
      <w:r>
        <w:rPr>
          <w:rFonts w:ascii="宋体" w:hAnsi="宋体" w:eastAsia="宋体" w:cs="宋体"/>
          <w:color w:val="0000FF"/>
          <w:spacing w:val="-15"/>
          <w:sz w:val="24"/>
          <w:szCs w:val="24"/>
        </w:rPr>
        <w:t>其中：</w:t>
      </w:r>
    </w:p>
    <w:p>
      <w:pPr>
        <w:spacing w:before="179" w:line="360" w:lineRule="auto"/>
        <w:ind w:left="1316"/>
        <w:rPr>
          <w:rFonts w:ascii="宋体" w:hAnsi="宋体" w:eastAsia="宋体" w:cs="宋体"/>
          <w:color w:val="0000FF"/>
          <w:sz w:val="24"/>
          <w:szCs w:val="24"/>
        </w:rPr>
      </w:pPr>
      <w:r>
        <w:rPr>
          <w:rFonts w:ascii="Times New Roman" w:hAnsi="Times New Roman" w:eastAsia="Times New Roman" w:cs="Times New Roman"/>
          <w:color w:val="0000FF"/>
          <w:spacing w:val="-10"/>
          <w:sz w:val="24"/>
          <w:szCs w:val="24"/>
        </w:rPr>
        <w:t>Qp——</w:t>
      </w:r>
      <w:r>
        <w:rPr>
          <w:rFonts w:ascii="宋体" w:hAnsi="宋体" w:eastAsia="宋体" w:cs="宋体"/>
          <w:color w:val="0000FF"/>
          <w:spacing w:val="-10"/>
          <w:sz w:val="24"/>
          <w:szCs w:val="24"/>
        </w:rPr>
        <w:t>扬尘量，</w:t>
      </w:r>
      <w:r>
        <w:rPr>
          <w:rFonts w:ascii="Times New Roman" w:hAnsi="Times New Roman" w:eastAsia="Times New Roman" w:cs="Times New Roman"/>
          <w:color w:val="0000FF"/>
          <w:spacing w:val="-10"/>
          <w:sz w:val="24"/>
          <w:szCs w:val="24"/>
        </w:rPr>
        <w:t>mg/s</w:t>
      </w:r>
      <w:r>
        <w:rPr>
          <w:rFonts w:ascii="宋体" w:hAnsi="宋体" w:eastAsia="宋体" w:cs="宋体"/>
          <w:color w:val="0000FF"/>
          <w:spacing w:val="-10"/>
          <w:sz w:val="24"/>
          <w:szCs w:val="24"/>
        </w:rPr>
        <w:t>；</w:t>
      </w:r>
    </w:p>
    <w:p>
      <w:pPr>
        <w:spacing w:before="192" w:line="360" w:lineRule="auto"/>
        <w:ind w:left="1309"/>
        <w:rPr>
          <w:rFonts w:ascii="宋体" w:hAnsi="宋体" w:eastAsia="宋体" w:cs="宋体"/>
          <w:color w:val="0000FF"/>
          <w:sz w:val="24"/>
          <w:szCs w:val="24"/>
        </w:rPr>
      </w:pPr>
      <w:r>
        <w:rPr>
          <w:rFonts w:ascii="Times New Roman" w:hAnsi="Times New Roman" w:eastAsia="Times New Roman" w:cs="Times New Roman"/>
          <w:color w:val="0000FF"/>
          <w:spacing w:val="-2"/>
          <w:position w:val="17"/>
          <w:sz w:val="24"/>
          <w:szCs w:val="24"/>
        </w:rPr>
        <w:t>Ap——</w:t>
      </w:r>
      <w:r>
        <w:rPr>
          <w:rFonts w:ascii="宋体" w:hAnsi="宋体" w:eastAsia="宋体" w:cs="宋体"/>
          <w:color w:val="0000FF"/>
          <w:spacing w:val="-2"/>
          <w:position w:val="17"/>
          <w:sz w:val="24"/>
          <w:szCs w:val="24"/>
        </w:rPr>
        <w:t>灰场的起尘面积，㎡，弃渣场面积为</w:t>
      </w:r>
      <w:r>
        <w:rPr>
          <w:rFonts w:hint="eastAsia" w:ascii="Times New Roman" w:hAnsi="Times New Roman" w:eastAsia="宋体" w:cs="Times New Roman"/>
          <w:color w:val="0000FF"/>
          <w:spacing w:val="-2"/>
          <w:position w:val="17"/>
          <w:sz w:val="24"/>
          <w:szCs w:val="24"/>
          <w:lang w:val="en-US" w:eastAsia="zh-CN"/>
        </w:rPr>
        <w:t>15400</w:t>
      </w:r>
      <w:r>
        <w:rPr>
          <w:rFonts w:ascii="宋体" w:hAnsi="宋体" w:eastAsia="宋体" w:cs="宋体"/>
          <w:color w:val="0000FF"/>
          <w:spacing w:val="-2"/>
          <w:position w:val="17"/>
          <w:sz w:val="24"/>
          <w:szCs w:val="24"/>
        </w:rPr>
        <w:t>㎡；</w:t>
      </w:r>
    </w:p>
    <w:p>
      <w:pPr>
        <w:spacing w:line="360" w:lineRule="auto"/>
        <w:ind w:left="1309"/>
        <w:rPr>
          <w:rFonts w:ascii="宋体" w:hAnsi="宋体" w:eastAsia="宋体" w:cs="宋体"/>
          <w:color w:val="0000FF"/>
          <w:sz w:val="24"/>
          <w:szCs w:val="24"/>
        </w:rPr>
      </w:pPr>
      <w:r>
        <w:rPr>
          <w:rFonts w:ascii="Times New Roman" w:hAnsi="Times New Roman" w:eastAsia="Times New Roman" w:cs="Times New Roman"/>
          <w:color w:val="0000FF"/>
          <w:spacing w:val="-8"/>
          <w:sz w:val="24"/>
          <w:szCs w:val="24"/>
        </w:rPr>
        <w:t>U——</w:t>
      </w:r>
      <w:r>
        <w:rPr>
          <w:rFonts w:ascii="宋体" w:hAnsi="宋体" w:eastAsia="宋体" w:cs="宋体"/>
          <w:color w:val="0000FF"/>
          <w:spacing w:val="-8"/>
          <w:sz w:val="24"/>
          <w:szCs w:val="24"/>
        </w:rPr>
        <w:t>平均风速，</w:t>
      </w:r>
      <w:r>
        <w:rPr>
          <w:rFonts w:ascii="Times New Roman" w:hAnsi="Times New Roman" w:eastAsia="Times New Roman" w:cs="Times New Roman"/>
          <w:color w:val="0000FF"/>
          <w:spacing w:val="-8"/>
          <w:sz w:val="24"/>
          <w:szCs w:val="24"/>
        </w:rPr>
        <w:t>m/s</w:t>
      </w:r>
      <w:r>
        <w:rPr>
          <w:rFonts w:ascii="宋体" w:hAnsi="宋体" w:eastAsia="宋体" w:cs="宋体"/>
          <w:color w:val="0000FF"/>
          <w:spacing w:val="-8"/>
          <w:sz w:val="24"/>
          <w:szCs w:val="24"/>
        </w:rPr>
        <w:t>，</w:t>
      </w:r>
      <w:r>
        <w:rPr>
          <w:rFonts w:ascii="Times New Roman" w:hAnsi="Times New Roman" w:eastAsia="Times New Roman" w:cs="Times New Roman"/>
          <w:color w:val="0000FF"/>
          <w:spacing w:val="-8"/>
          <w:sz w:val="24"/>
          <w:szCs w:val="24"/>
        </w:rPr>
        <w:t>2.9m/s</w:t>
      </w:r>
      <w:r>
        <w:rPr>
          <w:rFonts w:ascii="宋体" w:hAnsi="宋体" w:eastAsia="宋体" w:cs="宋体"/>
          <w:color w:val="0000FF"/>
          <w:spacing w:val="-8"/>
          <w:sz w:val="24"/>
          <w:szCs w:val="24"/>
        </w:rPr>
        <w:t>。</w:t>
      </w:r>
    </w:p>
    <w:p>
      <w:pPr>
        <w:widowControl w:val="0"/>
        <w:kinsoku/>
        <w:autoSpaceDE/>
        <w:autoSpaceDN/>
        <w:adjustRightInd/>
        <w:spacing w:line="360" w:lineRule="auto"/>
        <w:ind w:firstLine="480" w:firstLineChars="200"/>
        <w:jc w:val="both"/>
        <w:textAlignment w:val="auto"/>
        <w:rPr>
          <w:rFonts w:hint="default" w:ascii="Times New Roman" w:hAnsi="Times New Roman" w:eastAsia="宋体" w:cs="Times New Roman"/>
          <w:bCs/>
          <w:snapToGrid/>
          <w:color w:val="0000FF"/>
          <w:kern w:val="2"/>
          <w:sz w:val="24"/>
          <w:highlight w:val="none"/>
          <w:lang w:eastAsia="zh-CN" w:bidi="ar"/>
        </w:rPr>
      </w:pPr>
      <w:r>
        <w:rPr>
          <w:rFonts w:hint="default" w:ascii="Times New Roman" w:hAnsi="Times New Roman" w:eastAsia="宋体" w:cs="Times New Roman"/>
          <w:bCs/>
          <w:snapToGrid/>
          <w:color w:val="0000FF"/>
          <w:kern w:val="2"/>
          <w:sz w:val="24"/>
          <w:highlight w:val="none"/>
          <w:lang w:eastAsia="zh-CN" w:bidi="ar"/>
        </w:rPr>
        <w:t>经过计算，弃渣场Qp=</w:t>
      </w:r>
      <w:r>
        <w:rPr>
          <w:rFonts w:hint="eastAsia" w:ascii="Times New Roman" w:hAnsi="Times New Roman" w:eastAsia="宋体" w:cs="Times New Roman"/>
          <w:bCs/>
          <w:snapToGrid/>
          <w:color w:val="0000FF"/>
          <w:kern w:val="2"/>
          <w:sz w:val="24"/>
          <w:highlight w:val="none"/>
          <w:lang w:val="en-US" w:eastAsia="zh-CN" w:bidi="ar"/>
        </w:rPr>
        <w:t>1201.19</w:t>
      </w:r>
      <w:r>
        <w:rPr>
          <w:rFonts w:hint="default" w:ascii="Times New Roman" w:hAnsi="Times New Roman" w:eastAsia="宋体" w:cs="Times New Roman"/>
          <w:bCs/>
          <w:snapToGrid/>
          <w:color w:val="0000FF"/>
          <w:kern w:val="2"/>
          <w:sz w:val="24"/>
          <w:highlight w:val="none"/>
          <w:lang w:eastAsia="zh-CN" w:bidi="ar"/>
        </w:rPr>
        <w:t>mg/s。</w:t>
      </w:r>
    </w:p>
    <w:p>
      <w:pPr>
        <w:widowControl w:val="0"/>
        <w:kinsoku/>
        <w:autoSpaceDE/>
        <w:autoSpaceDN/>
        <w:adjustRightInd/>
        <w:spacing w:line="360" w:lineRule="auto"/>
        <w:ind w:firstLine="480" w:firstLineChars="200"/>
        <w:jc w:val="both"/>
        <w:textAlignment w:val="auto"/>
        <w:rPr>
          <w:rFonts w:hint="default" w:ascii="Times New Roman" w:hAnsi="Times New Roman" w:eastAsia="宋体" w:cs="Times New Roman"/>
          <w:bCs/>
          <w:snapToGrid/>
          <w:color w:val="0000FF"/>
          <w:kern w:val="2"/>
          <w:sz w:val="24"/>
          <w:highlight w:val="none"/>
          <w:lang w:eastAsia="zh-CN" w:bidi="ar"/>
        </w:rPr>
      </w:pPr>
      <w:r>
        <w:rPr>
          <w:rFonts w:hint="default" w:ascii="Times New Roman" w:hAnsi="Times New Roman" w:eastAsia="宋体" w:cs="Times New Roman"/>
          <w:bCs/>
          <w:snapToGrid/>
          <w:color w:val="0000FF"/>
          <w:kern w:val="2"/>
          <w:sz w:val="24"/>
          <w:highlight w:val="none"/>
          <w:lang w:eastAsia="zh-CN" w:bidi="ar"/>
        </w:rPr>
        <w:t>项目建设时间约为约720天，起尘天数（堆存天数）旱季</w:t>
      </w:r>
      <w:r>
        <w:rPr>
          <w:rFonts w:hint="eastAsia" w:ascii="Times New Roman" w:hAnsi="Times New Roman" w:eastAsia="宋体" w:cs="Times New Roman"/>
          <w:bCs/>
          <w:snapToGrid/>
          <w:color w:val="0000FF"/>
          <w:kern w:val="2"/>
          <w:sz w:val="24"/>
          <w:highlight w:val="none"/>
          <w:lang w:val="en-US" w:eastAsia="zh-CN" w:bidi="ar"/>
        </w:rPr>
        <w:t>堆放天数按300</w:t>
      </w:r>
      <w:r>
        <w:rPr>
          <w:rFonts w:hint="default" w:ascii="Times New Roman" w:hAnsi="Times New Roman" w:eastAsia="宋体" w:cs="Times New Roman"/>
          <w:bCs/>
          <w:snapToGrid/>
          <w:color w:val="0000FF"/>
          <w:kern w:val="2"/>
          <w:sz w:val="24"/>
          <w:highlight w:val="none"/>
          <w:lang w:eastAsia="zh-CN" w:bidi="ar"/>
        </w:rPr>
        <w:t>天</w:t>
      </w:r>
      <w:r>
        <w:rPr>
          <w:rFonts w:hint="eastAsia" w:ascii="Times New Roman" w:hAnsi="Times New Roman" w:eastAsia="宋体" w:cs="Times New Roman"/>
          <w:bCs/>
          <w:snapToGrid/>
          <w:color w:val="0000FF"/>
          <w:kern w:val="2"/>
          <w:sz w:val="24"/>
          <w:highlight w:val="none"/>
          <w:lang w:val="en-US" w:eastAsia="zh-CN" w:bidi="ar"/>
        </w:rPr>
        <w:t>计</w:t>
      </w:r>
      <w:r>
        <w:rPr>
          <w:rFonts w:hint="default" w:ascii="Times New Roman" w:hAnsi="Times New Roman" w:eastAsia="宋体" w:cs="Times New Roman"/>
          <w:bCs/>
          <w:snapToGrid/>
          <w:color w:val="0000FF"/>
          <w:kern w:val="2"/>
          <w:sz w:val="24"/>
          <w:highlight w:val="none"/>
          <w:lang w:eastAsia="zh-CN" w:bidi="ar"/>
        </w:rPr>
        <w:t>，计算得弃渣场起尘量为</w:t>
      </w:r>
      <w:r>
        <w:rPr>
          <w:rFonts w:hint="eastAsia" w:ascii="Times New Roman" w:hAnsi="Times New Roman" w:eastAsia="宋体" w:cs="Times New Roman"/>
          <w:bCs/>
          <w:snapToGrid/>
          <w:color w:val="0000FF"/>
          <w:kern w:val="2"/>
          <w:sz w:val="24"/>
          <w:highlight w:val="none"/>
          <w:lang w:val="en-US" w:eastAsia="zh-CN" w:bidi="ar"/>
        </w:rPr>
        <w:t>31.13</w:t>
      </w:r>
      <w:r>
        <w:rPr>
          <w:rFonts w:hint="default" w:ascii="Times New Roman" w:hAnsi="Times New Roman" w:eastAsia="宋体" w:cs="Times New Roman"/>
          <w:bCs/>
          <w:snapToGrid/>
          <w:color w:val="0000FF"/>
          <w:kern w:val="2"/>
          <w:sz w:val="24"/>
          <w:highlight w:val="none"/>
          <w:lang w:eastAsia="zh-CN" w:bidi="ar"/>
        </w:rPr>
        <w:t>1t，在采取分层压实堆放，洒水抑尘措施的前提下，扬尘可降低80%，则排放量为弃渣场起尘量为</w:t>
      </w:r>
      <w:r>
        <w:rPr>
          <w:rFonts w:hint="eastAsia" w:ascii="Times New Roman" w:hAnsi="Times New Roman" w:eastAsia="宋体" w:cs="Times New Roman"/>
          <w:bCs/>
          <w:snapToGrid/>
          <w:color w:val="0000FF"/>
          <w:kern w:val="2"/>
          <w:sz w:val="24"/>
          <w:highlight w:val="none"/>
          <w:lang w:val="en-US" w:eastAsia="zh-CN" w:bidi="ar"/>
        </w:rPr>
        <w:t>6.23</w:t>
      </w:r>
      <w:r>
        <w:rPr>
          <w:rFonts w:hint="default" w:ascii="Times New Roman" w:hAnsi="Times New Roman" w:eastAsia="宋体" w:cs="Times New Roman"/>
          <w:bCs/>
          <w:snapToGrid/>
          <w:color w:val="0000FF"/>
          <w:kern w:val="2"/>
          <w:sz w:val="24"/>
          <w:highlight w:val="none"/>
          <w:lang w:eastAsia="zh-CN" w:bidi="ar"/>
        </w:rPr>
        <w:t>t。</w:t>
      </w:r>
    </w:p>
    <w:p>
      <w:pPr>
        <w:pStyle w:val="5"/>
        <w:tabs>
          <w:tab w:val="clear" w:pos="0"/>
        </w:tabs>
        <w:bidi w:val="0"/>
        <w:ind w:left="48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工程施工期产生的废水主要混凝土拌合机冲洗废水、车辆冲洗废水、</w:t>
      </w:r>
      <w:r>
        <w:rPr>
          <w:rFonts w:hint="eastAsia" w:cs="Times New Roman"/>
          <w:color w:val="auto"/>
          <w:highlight w:val="none"/>
          <w:lang w:val="en-US" w:eastAsia="zh-CN"/>
        </w:rPr>
        <w:t>管道试压废水、</w:t>
      </w:r>
      <w:r>
        <w:rPr>
          <w:rFonts w:hint="default" w:ascii="Times New Roman" w:hAnsi="Times New Roman" w:cs="Times New Roman"/>
          <w:color w:val="auto"/>
          <w:highlight w:val="none"/>
          <w:lang w:val="en-US" w:eastAsia="zh-CN"/>
        </w:rPr>
        <w:t>生活污水。</w:t>
      </w:r>
    </w:p>
    <w:p>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rPr>
        <w:t>、混凝土</w:t>
      </w:r>
      <w:r>
        <w:rPr>
          <w:rFonts w:hint="eastAsia" w:cs="Times New Roman"/>
          <w:b/>
          <w:bCs/>
          <w:color w:val="auto"/>
          <w:highlight w:val="none"/>
          <w:lang w:val="en-US" w:eastAsia="zh-CN"/>
        </w:rPr>
        <w:t>拌合机冲洗</w:t>
      </w:r>
      <w:r>
        <w:rPr>
          <w:rFonts w:hint="default" w:ascii="Times New Roman" w:hAnsi="Times New Roman" w:cs="Times New Roman"/>
          <w:b/>
          <w:bCs/>
          <w:color w:val="auto"/>
          <w:highlight w:val="none"/>
        </w:rPr>
        <w:t>废水</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项目设置2台移动式混凝土拌合机，移动式混凝土搅拌机冲洗用水以0.5m³/次，废水产生系数0.8，高峰期每天2班，每班冲洗一次</w:t>
      </w:r>
      <w:r>
        <w:rPr>
          <w:rFonts w:hint="eastAsia" w:ascii="Times New Roman" w:hAnsi="Times New Roman" w:eastAsia="宋体" w:cs="Times New Roman"/>
          <w:color w:val="auto"/>
          <w:kern w:val="0"/>
          <w:sz w:val="24"/>
          <w:szCs w:val="24"/>
          <w:lang w:val="en-US" w:eastAsia="zh-CN" w:bidi="ar"/>
        </w:rPr>
        <w:t>。则混凝土拌合机冲洗废水产生量为1.6</w:t>
      </w:r>
      <w:r>
        <w:rPr>
          <w:rFonts w:hint="default" w:ascii="Times New Roman" w:hAnsi="Times New Roman" w:eastAsia="宋体" w:cs="Times New Roman"/>
          <w:color w:val="auto"/>
          <w:kern w:val="0"/>
          <w:sz w:val="24"/>
          <w:szCs w:val="24"/>
          <w:lang w:val="en-US" w:eastAsia="zh-CN" w:bidi="ar"/>
        </w:rPr>
        <w:t>m³/</w:t>
      </w:r>
      <w:r>
        <w:rPr>
          <w:rFonts w:hint="eastAsia" w:ascii="Times New Roman" w:hAnsi="Times New Roman" w:eastAsia="宋体" w:cs="Times New Roman"/>
          <w:color w:val="auto"/>
          <w:kern w:val="0"/>
          <w:sz w:val="24"/>
          <w:szCs w:val="24"/>
          <w:lang w:val="en-US" w:eastAsia="zh-CN" w:bidi="ar"/>
        </w:rPr>
        <w:t>d，整个施工期产生量约为1152m³。</w:t>
      </w:r>
      <w:r>
        <w:rPr>
          <w:rFonts w:hint="default" w:ascii="Times New Roman" w:hAnsi="Times New Roman" w:eastAsia="宋体" w:cs="Times New Roman"/>
          <w:color w:val="auto"/>
          <w:kern w:val="0"/>
          <w:sz w:val="24"/>
          <w:szCs w:val="24"/>
          <w:lang w:val="en-US" w:eastAsia="zh-CN" w:bidi="ar"/>
        </w:rPr>
        <w:t>混凝土拌和系统冲洗废水中含有较高的悬浮物且含粉率较高，废水呈碱性，pH 值为 11~12。根据水利工程施工区混凝土拌和系统生产废水悬浮物浓度资料，拌和系统废水悬浮物浓度约5000mg/L。混凝土</w:t>
      </w:r>
      <w:r>
        <w:rPr>
          <w:rFonts w:hint="eastAsia" w:ascii="Times New Roman" w:hAnsi="Times New Roman" w:eastAsia="宋体" w:cs="Times New Roman"/>
          <w:color w:val="auto"/>
          <w:kern w:val="0"/>
          <w:sz w:val="24"/>
          <w:szCs w:val="24"/>
          <w:lang w:val="en-US" w:eastAsia="zh-CN" w:bidi="ar"/>
        </w:rPr>
        <w:t>拌合机冲洗废水设置1个2m³沉淀池处理后，</w:t>
      </w:r>
      <w:r>
        <w:rPr>
          <w:rFonts w:hint="default" w:ascii="Times New Roman" w:hAnsi="Times New Roman" w:eastAsia="宋体" w:cs="Times New Roman"/>
          <w:color w:val="auto"/>
          <w:kern w:val="0"/>
          <w:sz w:val="24"/>
          <w:szCs w:val="24"/>
          <w:lang w:val="en-US" w:eastAsia="zh-CN" w:bidi="ar"/>
        </w:rPr>
        <w:t>回用于</w:t>
      </w:r>
      <w:r>
        <w:rPr>
          <w:rFonts w:hint="eastAsia" w:ascii="Times New Roman" w:hAnsi="Times New Roman" w:eastAsia="宋体" w:cs="Times New Roman"/>
          <w:color w:val="auto"/>
          <w:kern w:val="0"/>
          <w:sz w:val="24"/>
          <w:szCs w:val="24"/>
          <w:lang w:val="en-US" w:eastAsia="zh-CN" w:bidi="ar"/>
        </w:rPr>
        <w:t>施工</w:t>
      </w:r>
      <w:r>
        <w:rPr>
          <w:rFonts w:hint="default" w:ascii="Times New Roman" w:hAnsi="Times New Roman" w:eastAsia="宋体" w:cs="Times New Roman"/>
          <w:color w:val="auto"/>
          <w:kern w:val="0"/>
          <w:sz w:val="24"/>
          <w:szCs w:val="24"/>
          <w:lang w:val="en-US" w:eastAsia="zh-CN" w:bidi="ar"/>
        </w:rPr>
        <w:t>。</w:t>
      </w:r>
    </w:p>
    <w:p>
      <w:pPr>
        <w:numPr>
          <w:ilvl w:val="0"/>
          <w:numId w:val="14"/>
        </w:numPr>
        <w:ind w:firstLine="482"/>
        <w:rPr>
          <w:rFonts w:hint="default" w:ascii="Times New Roman" w:hAnsi="Times New Roman" w:cs="Times New Roman"/>
          <w:b/>
          <w:bCs/>
          <w:color w:val="auto"/>
          <w:highlight w:val="none"/>
          <w:lang w:val="en-US" w:eastAsia="zh-CN"/>
        </w:rPr>
      </w:pPr>
      <w:r>
        <w:rPr>
          <w:rFonts w:hint="eastAsia" w:cs="Times New Roman"/>
          <w:b/>
          <w:bCs/>
          <w:color w:val="auto"/>
          <w:highlight w:val="none"/>
          <w:lang w:val="en-US" w:eastAsia="zh-CN"/>
        </w:rPr>
        <w:t>施工机械冲洗</w:t>
      </w:r>
      <w:r>
        <w:rPr>
          <w:rFonts w:hint="default" w:ascii="Times New Roman" w:hAnsi="Times New Roman" w:cs="Times New Roman"/>
          <w:b/>
          <w:bCs/>
          <w:color w:val="auto"/>
          <w:highlight w:val="none"/>
          <w:lang w:val="en-US" w:eastAsia="zh-CN"/>
        </w:rPr>
        <w:t>废水</w:t>
      </w:r>
    </w:p>
    <w:p>
      <w:pPr>
        <w:bidi w:val="0"/>
        <w:rPr>
          <w:rFonts w:hint="default" w:ascii="Times New Roman" w:hAnsi="Times New Roman" w:cs="Times New Roman"/>
          <w:color w:val="auto"/>
          <w:highlight w:val="none"/>
          <w:lang w:val="en-US" w:eastAsia="zh-CN"/>
        </w:rPr>
      </w:pPr>
      <w:r>
        <w:rPr>
          <w:rFonts w:hint="eastAsia" w:ascii="宋体" w:hAnsi="宋体" w:eastAsia="宋体" w:cs="宋体"/>
          <w:color w:val="auto"/>
          <w:kern w:val="0"/>
          <w:sz w:val="24"/>
          <w:szCs w:val="24"/>
          <w:lang w:val="en-US" w:eastAsia="zh-CN" w:bidi="ar"/>
        </w:rPr>
        <w:t>本工程施工期间，工程区距离元谋县的距离不远，元谋县现有的社会修配企业能够满足本工程施工机械设备的大修要求。施工机械在冲洗过程中将产生一定的含油废水，主要污染物成分为石油类和悬浮物，废水排放方式为间歇性排放。</w:t>
      </w:r>
      <w:r>
        <w:rPr>
          <w:rFonts w:hint="default" w:ascii="Times New Roman" w:hAnsi="Times New Roman" w:cs="Times New Roman"/>
          <w:color w:val="auto"/>
          <w:highlight w:val="none"/>
          <w:lang w:val="en-US" w:eastAsia="zh-CN"/>
        </w:rPr>
        <w:t>工程清洗的施工机械平均约为10台/天，参照《环境影响评价技术手册</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lang w:val="en-US" w:eastAsia="zh-CN"/>
        </w:rPr>
        <w:t>水利水电工程》，汽车冲洗设计用水量为400L/辆•次，则每天冲洗用水量为</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/d，考虑物料表面吸水、蒸发、渗漏等造成的水量损失，其中80%作为生产废水，施工机械</w:t>
      </w:r>
      <w:r>
        <w:rPr>
          <w:rFonts w:hint="eastAsia" w:cs="Times New Roman"/>
          <w:color w:val="auto"/>
          <w:highlight w:val="none"/>
          <w:lang w:val="en-US" w:eastAsia="zh-CN"/>
        </w:rPr>
        <w:t>冲洗</w:t>
      </w:r>
      <w:r>
        <w:rPr>
          <w:rFonts w:hint="default" w:ascii="Times New Roman" w:hAnsi="Times New Roman" w:cs="Times New Roman"/>
          <w:color w:val="auto"/>
          <w:highlight w:val="none"/>
          <w:lang w:val="en-US" w:eastAsia="zh-CN"/>
        </w:rPr>
        <w:t>废水产生量为</w:t>
      </w:r>
      <w:r>
        <w:rPr>
          <w:rFonts w:hint="eastAsia" w:cs="Times New Roman"/>
          <w:color w:val="auto"/>
          <w:highlight w:val="none"/>
          <w:lang w:val="en-US" w:eastAsia="zh-CN"/>
        </w:rPr>
        <w:t>3.2</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w:t>
      </w:r>
      <w:r>
        <w:rPr>
          <w:rFonts w:hint="eastAsia" w:cs="Times New Roman"/>
          <w:color w:val="auto"/>
          <w:highlight w:val="none"/>
          <w:lang w:val="en-US" w:eastAsia="zh-CN"/>
        </w:rPr>
        <w:t>2304</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/工期（</w:t>
      </w:r>
      <w:r>
        <w:rPr>
          <w:rFonts w:hint="eastAsia" w:cs="Times New Roman"/>
          <w:color w:val="auto"/>
          <w:highlight w:val="none"/>
          <w:lang w:val="en-US" w:eastAsia="zh-CN"/>
        </w:rPr>
        <w:t>24</w:t>
      </w:r>
      <w:r>
        <w:rPr>
          <w:rFonts w:hint="default" w:ascii="Times New Roman" w:hAnsi="Times New Roman" w:cs="Times New Roman"/>
          <w:color w:val="auto"/>
          <w:highlight w:val="none"/>
          <w:lang w:val="en-US" w:eastAsia="zh-CN"/>
        </w:rPr>
        <w:t>个月，约</w:t>
      </w:r>
      <w:r>
        <w:rPr>
          <w:rFonts w:hint="eastAsia" w:cs="Times New Roman"/>
          <w:color w:val="auto"/>
          <w:highlight w:val="none"/>
          <w:lang w:val="en-US" w:eastAsia="zh-CN"/>
        </w:rPr>
        <w:t>720</w:t>
      </w:r>
      <w:r>
        <w:rPr>
          <w:rFonts w:hint="default" w:ascii="Times New Roman" w:hAnsi="Times New Roman" w:cs="Times New Roman"/>
          <w:color w:val="auto"/>
          <w:highlight w:val="none"/>
          <w:lang w:val="en-US" w:eastAsia="zh-CN"/>
        </w:rPr>
        <w:t>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环评要求在</w:t>
      </w:r>
      <w:r>
        <w:rPr>
          <w:rFonts w:hint="eastAsia" w:cs="Times New Roman"/>
          <w:color w:val="auto"/>
          <w:highlight w:val="none"/>
          <w:lang w:val="en-US" w:eastAsia="zh-CN"/>
        </w:rPr>
        <w:t>施工</w:t>
      </w:r>
      <w:r>
        <w:rPr>
          <w:rFonts w:hint="default" w:ascii="Times New Roman" w:hAnsi="Times New Roman" w:cs="Times New Roman"/>
          <w:color w:val="auto"/>
          <w:highlight w:val="none"/>
          <w:lang w:val="en-US" w:eastAsia="zh-CN"/>
        </w:rPr>
        <w:t>场地设置1个隔油池（容积为</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）和1个沉淀池（容积为</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）处理机修含油废水，经处理后</w:t>
      </w:r>
      <w:r>
        <w:rPr>
          <w:rFonts w:hint="eastAsia" w:cs="Times New Roman"/>
          <w:color w:val="auto"/>
          <w:highlight w:val="none"/>
          <w:lang w:val="en-US" w:eastAsia="zh-CN"/>
        </w:rPr>
        <w:t>用于场地洒水降尘</w:t>
      </w:r>
      <w:r>
        <w:rPr>
          <w:rFonts w:hint="default" w:ascii="Times New Roman" w:hAnsi="Times New Roman" w:cs="Times New Roman"/>
          <w:color w:val="auto"/>
          <w:highlight w:val="none"/>
          <w:lang w:val="en-US" w:eastAsia="zh-CN"/>
        </w:rPr>
        <w:t>。</w:t>
      </w:r>
    </w:p>
    <w:p>
      <w:pPr>
        <w:outlineLvl w:val="9"/>
        <w:rPr>
          <w:rFonts w:hint="default"/>
          <w:b/>
          <w:bCs/>
          <w:color w:val="auto"/>
          <w:lang w:val="en-US" w:eastAsia="zh-CN"/>
        </w:rPr>
      </w:pPr>
      <w:r>
        <w:rPr>
          <w:rFonts w:hint="eastAsia"/>
          <w:b/>
          <w:bCs/>
          <w:color w:val="auto"/>
          <w:lang w:val="en-US" w:eastAsia="zh-CN"/>
        </w:rPr>
        <w:t>3、管道试压废水</w:t>
      </w:r>
    </w:p>
    <w:p>
      <w:pPr>
        <w:bidi w:val="0"/>
        <w:rPr>
          <w:rFonts w:hint="default" w:ascii="Times New Roman" w:hAnsi="Times New Roman" w:cs="Times New Roman"/>
          <w:color w:val="0000FF"/>
          <w:lang w:val="en-US" w:eastAsia="zh-CN"/>
        </w:rPr>
      </w:pPr>
      <w:r>
        <w:rPr>
          <w:rFonts w:hint="default" w:ascii="Times New Roman" w:hAnsi="Times New Roman" w:cs="Times New Roman"/>
          <w:color w:val="auto"/>
          <w:lang w:val="en-US" w:eastAsia="zh-CN"/>
        </w:rPr>
        <w:t>管道安装完成后，进行闭水试验过程中会产生试验废水。本项目闭水试验主要抽取</w:t>
      </w:r>
      <w:r>
        <w:rPr>
          <w:rFonts w:hint="eastAsia" w:ascii="Times New Roman" w:hAnsi="Times New Roman" w:cs="Times New Roman"/>
          <w:color w:val="auto"/>
          <w:lang w:val="en-US" w:eastAsia="zh-CN"/>
        </w:rPr>
        <w:t>水源处高位水池中的水</w:t>
      </w:r>
      <w:r>
        <w:rPr>
          <w:rFonts w:hint="default" w:ascii="Times New Roman" w:hAnsi="Times New Roman" w:cs="Times New Roman"/>
          <w:color w:val="auto"/>
          <w:lang w:val="en-US" w:eastAsia="zh-CN"/>
        </w:rPr>
        <w:t>进行，</w:t>
      </w:r>
      <w:r>
        <w:rPr>
          <w:rFonts w:hint="eastAsia" w:ascii="Times New Roman" w:hAnsi="Times New Roman" w:cs="Times New Roman"/>
          <w:color w:val="auto"/>
          <w:lang w:val="en-US" w:eastAsia="zh-CN"/>
        </w:rPr>
        <w:t>产生的试压废水约1000m³，</w:t>
      </w:r>
      <w:r>
        <w:rPr>
          <w:rFonts w:hint="eastAsia" w:cs="Times New Roman"/>
          <w:color w:val="0000FF"/>
          <w:lang w:val="en-US" w:eastAsia="zh-CN"/>
        </w:rPr>
        <w:t>主要污染物为SS，</w:t>
      </w:r>
      <w:r>
        <w:rPr>
          <w:rFonts w:hint="eastAsia" w:ascii="Times New Roman" w:hAnsi="Times New Roman" w:cs="Times New Roman"/>
          <w:color w:val="0000FF"/>
          <w:lang w:val="en-US" w:eastAsia="zh-CN"/>
        </w:rPr>
        <w:t>可回</w:t>
      </w:r>
      <w:r>
        <w:rPr>
          <w:rFonts w:hint="eastAsia" w:cs="Times New Roman"/>
          <w:color w:val="0000FF"/>
          <w:lang w:val="en-US" w:eastAsia="zh-CN"/>
        </w:rPr>
        <w:t>用于场地洒水降尘</w:t>
      </w:r>
      <w:r>
        <w:rPr>
          <w:rFonts w:hint="default" w:ascii="Times New Roman" w:hAnsi="Times New Roman" w:cs="Times New Roman"/>
          <w:color w:val="0000FF"/>
          <w:lang w:val="en-US" w:eastAsia="zh-CN"/>
        </w:rPr>
        <w:t>。</w:t>
      </w:r>
    </w:p>
    <w:p>
      <w:pPr>
        <w:ind w:firstLine="482"/>
        <w:rPr>
          <w:rFonts w:hint="default" w:ascii="Times New Roman" w:hAnsi="Times New Roman" w:cs="Times New Roman"/>
          <w:b/>
          <w:bCs/>
          <w:color w:val="auto"/>
          <w:highlight w:val="none"/>
        </w:rPr>
      </w:pPr>
      <w:r>
        <w:rPr>
          <w:rFonts w:hint="eastAsia" w:cs="Times New Roman"/>
          <w:b/>
          <w:bCs/>
          <w:color w:val="auto"/>
          <w:highlight w:val="none"/>
          <w:lang w:val="en-US" w:eastAsia="zh-CN"/>
        </w:rPr>
        <w:t>4</w:t>
      </w:r>
      <w:r>
        <w:rPr>
          <w:rFonts w:hint="default" w:ascii="Times New Roman" w:hAnsi="Times New Roman" w:cs="Times New Roman"/>
          <w:b/>
          <w:bCs/>
          <w:color w:val="auto"/>
          <w:highlight w:val="none"/>
        </w:rPr>
        <w:t>、生活污水</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工程施工期</w:t>
      </w:r>
      <w:r>
        <w:rPr>
          <w:rFonts w:hint="default" w:ascii="Times New Roman" w:hAnsi="Times New Roman" w:cs="Times New Roman"/>
          <w:color w:val="auto"/>
          <w:highlight w:val="none"/>
        </w:rPr>
        <w:t>平均施工人数约为</w:t>
      </w:r>
      <w:r>
        <w:rPr>
          <w:rFonts w:hint="eastAsia" w:cs="Times New Roman"/>
          <w:color w:val="auto"/>
          <w:highlight w:val="none"/>
          <w:lang w:val="en-US" w:eastAsia="zh-CN"/>
        </w:rPr>
        <w:t>50</w:t>
      </w:r>
      <w:r>
        <w:rPr>
          <w:rFonts w:hint="default" w:ascii="Times New Roman" w:hAnsi="Times New Roman" w:cs="Times New Roman"/>
          <w:color w:val="auto"/>
          <w:highlight w:val="none"/>
        </w:rPr>
        <w:t>人，施工人员</w:t>
      </w:r>
      <w:r>
        <w:rPr>
          <w:rFonts w:hint="default" w:ascii="Times New Roman" w:hAnsi="Times New Roman" w:cs="Times New Roman"/>
          <w:color w:val="auto"/>
          <w:highlight w:val="none"/>
          <w:lang w:val="en-US" w:eastAsia="zh-CN"/>
        </w:rPr>
        <w:t>主要是周边居民，均依托周边农户食宿，不在施工生活区食宿。施工人员生活用水主要为清洗用水，</w:t>
      </w:r>
      <w:r>
        <w:rPr>
          <w:rFonts w:hint="default" w:ascii="Times New Roman" w:hAnsi="Times New Roman" w:cs="Times New Roman"/>
          <w:color w:val="auto"/>
          <w:highlight w:val="none"/>
        </w:rPr>
        <w:t>按照</w:t>
      </w:r>
      <w:r>
        <w:rPr>
          <w:rFonts w:hint="default" w:ascii="Times New Roman" w:hAnsi="Times New Roman" w:cs="Times New Roman"/>
          <w:color w:val="auto"/>
          <w:highlight w:val="none"/>
          <w:lang w:val="en-US" w:eastAsia="zh-CN"/>
        </w:rPr>
        <w:t>15</w:t>
      </w:r>
      <w:r>
        <w:rPr>
          <w:rFonts w:hint="default" w:ascii="Times New Roman" w:hAnsi="Times New Roman" w:cs="Times New Roman"/>
          <w:color w:val="auto"/>
          <w:highlight w:val="none"/>
        </w:rPr>
        <w:t>L/人·d计</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产污系数按照0.8计，则施工生活污水产生量为</w:t>
      </w:r>
      <w:r>
        <w:rPr>
          <w:rFonts w:hint="eastAsia" w:cs="Times New Roman"/>
          <w:color w:val="auto"/>
          <w:highlight w:val="none"/>
          <w:lang w:val="en-US" w:eastAsia="zh-CN"/>
        </w:rPr>
        <w:t>0.6</w:t>
      </w:r>
      <w:r>
        <w:rPr>
          <w:rFonts w:hint="default" w:ascii="Times New Roman" w:hAnsi="Times New Roman" w:cs="Times New Roman"/>
          <w:color w:val="auto"/>
          <w:highlight w:val="none"/>
          <w:lang w:eastAsia="en-US"/>
        </w:rPr>
        <w:t>m</w:t>
      </w:r>
      <w:r>
        <w:rPr>
          <w:rFonts w:hint="default" w:ascii="Times New Roman" w:hAnsi="Times New Roman" w:cs="Times New Roman"/>
          <w:color w:val="auto"/>
          <w:highlight w:val="none"/>
          <w:vertAlign w:val="superscript"/>
          <w:lang w:eastAsia="en-US"/>
        </w:rPr>
        <w:t>3</w:t>
      </w:r>
      <w:r>
        <w:rPr>
          <w:rFonts w:hint="default" w:ascii="Times New Roman" w:hAnsi="Times New Roman" w:cs="Times New Roman"/>
          <w:color w:val="auto"/>
          <w:highlight w:val="none"/>
          <w:lang w:eastAsia="en-US"/>
        </w:rPr>
        <w:t>/d</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734.4</w:t>
      </w:r>
      <w:r>
        <w:rPr>
          <w:rFonts w:hint="default" w:ascii="Times New Roman" w:hAnsi="Times New Roman" w:cs="Times New Roman"/>
          <w:color w:val="auto"/>
          <w:highlight w:val="none"/>
          <w:lang w:eastAsia="en-US"/>
        </w:rPr>
        <w:t>m</w:t>
      </w:r>
      <w:r>
        <w:rPr>
          <w:rFonts w:hint="default" w:ascii="Times New Roman" w:hAnsi="Times New Roman" w:cs="Times New Roman"/>
          <w:color w:val="auto"/>
          <w:highlight w:val="none"/>
          <w:vertAlign w:val="superscript"/>
          <w:lang w:eastAsia="en-US"/>
        </w:rPr>
        <w:t>3</w:t>
      </w:r>
      <w:r>
        <w:rPr>
          <w:rFonts w:hint="default" w:ascii="Times New Roman" w:hAnsi="Times New Roman" w:cs="Times New Roman"/>
          <w:color w:val="auto"/>
          <w:highlight w:val="none"/>
          <w:lang w:eastAsia="en-US"/>
        </w:rPr>
        <w:t>/</w:t>
      </w:r>
      <w:r>
        <w:rPr>
          <w:rFonts w:hint="default" w:ascii="Times New Roman" w:hAnsi="Times New Roman" w:cs="Times New Roman"/>
          <w:color w:val="auto"/>
          <w:highlight w:val="none"/>
          <w:lang w:val="en-US" w:eastAsia="zh-CN"/>
        </w:rPr>
        <w:t>工期（24个月，约720天）</w:t>
      </w:r>
      <w:r>
        <w:rPr>
          <w:rFonts w:hint="default" w:ascii="Times New Roman" w:hAnsi="Times New Roman" w:cs="Times New Roman"/>
          <w:color w:val="auto"/>
          <w:highlight w:val="none"/>
          <w:lang w:eastAsia="zh-CN"/>
        </w:rPr>
        <w:t>。</w:t>
      </w:r>
      <w:r>
        <w:rPr>
          <w:rFonts w:hint="eastAsia" w:cs="Times New Roman"/>
          <w:color w:val="0000FF"/>
          <w:highlight w:val="none"/>
          <w:lang w:val="en-US" w:eastAsia="zh-CN"/>
        </w:rPr>
        <w:t>进行分段施工。粪便污水设置设置2座移动式无害化厕所处理后清掏用于附近农田施肥；其余生活污水2个容积为1m3移动式的沉淀池处理后用于场地洒水降尘</w:t>
      </w:r>
      <w:r>
        <w:rPr>
          <w:rFonts w:hint="default" w:ascii="Times New Roman" w:hAnsi="Times New Roman" w:cs="Times New Roman"/>
          <w:color w:val="0000FF"/>
          <w:highlight w:val="none"/>
          <w:lang w:val="en-US" w:eastAsia="zh-CN"/>
        </w:rPr>
        <w:t>。</w:t>
      </w:r>
    </w:p>
    <w:p>
      <w:pPr>
        <w:pStyle w:val="5"/>
        <w:tabs>
          <w:tab w:val="clear" w:pos="0"/>
        </w:tabs>
        <w:bidi w:val="0"/>
        <w:ind w:left="48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噪声</w:t>
      </w:r>
    </w:p>
    <w:p>
      <w:pPr>
        <w:widowControl/>
        <w:ind w:firstLine="480"/>
        <w:jc w:val="left"/>
        <w:rPr>
          <w:rFonts w:hint="default" w:ascii="Times New Roman" w:hAnsi="Times New Roman" w:cs="Times New Roman"/>
          <w:color w:val="auto"/>
          <w:szCs w:val="20"/>
          <w:highlight w:val="none"/>
        </w:rPr>
      </w:pPr>
      <w:r>
        <w:rPr>
          <w:rFonts w:hint="default" w:ascii="Times New Roman" w:hAnsi="Times New Roman" w:cs="Times New Roman"/>
          <w:color w:val="auto"/>
          <w:highlight w:val="none"/>
          <w:lang w:val="en-US" w:eastAsia="zh-CN"/>
        </w:rPr>
        <w:t>工程</w:t>
      </w:r>
      <w:r>
        <w:rPr>
          <w:rFonts w:hint="default" w:ascii="Times New Roman" w:hAnsi="Times New Roman" w:cs="Times New Roman"/>
          <w:color w:val="auto"/>
          <w:highlight w:val="none"/>
        </w:rPr>
        <w:t>施工期噪声影响来源于施工机械作业噪声、运输车辆噪声等。均为间歇性噪声源，源强大多在80～90dB(A)之间，噪声影响随施工结束而消失。</w:t>
      </w:r>
      <w:r>
        <w:rPr>
          <w:rFonts w:hint="default" w:ascii="Times New Roman" w:hAnsi="Times New Roman" w:cs="Times New Roman"/>
          <w:color w:val="auto"/>
          <w:szCs w:val="20"/>
          <w:highlight w:val="none"/>
          <w:lang w:bidi="ar"/>
        </w:rPr>
        <w:t>主要施工机械噪声源强见下表。</w:t>
      </w:r>
    </w:p>
    <w:p>
      <w:pPr>
        <w:pStyle w:val="40"/>
        <w:ind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cs="Times New Roman"/>
          <w:color w:val="auto"/>
          <w:highlight w:val="none"/>
          <w:lang w:val="en-US" w:eastAsia="zh-CN"/>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w:t>
      </w:r>
      <w:r>
        <w:rPr>
          <w:rFonts w:hint="eastAsia" w:cs="Times New Roman"/>
          <w:color w:val="auto"/>
          <w:highlight w:val="none"/>
          <w:lang w:val="en-US" w:eastAsia="zh-CN"/>
        </w:rPr>
        <w:t>.1</w:t>
      </w:r>
      <w:r>
        <w:rPr>
          <w:rFonts w:hint="default" w:ascii="Times New Roman" w:hAnsi="Times New Roman" w:cs="Times New Roman"/>
          <w:color w:val="auto"/>
          <w:highlight w:val="none"/>
        </w:rPr>
        <w:t>-</w:t>
      </w:r>
      <w:r>
        <w:rPr>
          <w:rFonts w:hint="eastAsia" w:cs="Times New Roman"/>
          <w:color w:val="auto"/>
          <w:highlight w:val="none"/>
          <w:lang w:val="en-US" w:eastAsia="zh-CN"/>
        </w:rPr>
        <w:t>3</w:t>
      </w:r>
      <w:r>
        <w:rPr>
          <w:rFonts w:hint="default" w:ascii="Times New Roman" w:hAnsi="Times New Roman" w:cs="Times New Roman"/>
          <w:color w:val="auto"/>
          <w:highlight w:val="none"/>
        </w:rPr>
        <w:t xml:space="preserve">  项目主要施工机械噪声源强一览表</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2"/>
        <w:gridCol w:w="1851"/>
        <w:gridCol w:w="1848"/>
        <w:gridCol w:w="1848"/>
        <w:gridCol w:w="18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92"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851"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规格及型号</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数量</w:t>
            </w:r>
          </w:p>
        </w:tc>
        <w:tc>
          <w:tcPr>
            <w:tcW w:w="187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单台源强dB（A）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92"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851"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单斗液压挖掘机</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2m</w:t>
            </w:r>
            <w:r>
              <w:rPr>
                <w:rFonts w:hint="default" w:ascii="Times New Roman" w:hAnsi="Times New Roman" w:cs="Times New Roman"/>
                <w:color w:val="auto"/>
                <w:highlight w:val="none"/>
                <w:vertAlign w:val="superscript"/>
              </w:rPr>
              <w:t>3</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8台</w:t>
            </w:r>
          </w:p>
        </w:tc>
        <w:tc>
          <w:tcPr>
            <w:tcW w:w="187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92"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1851"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装载机</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2m</w:t>
            </w:r>
            <w:r>
              <w:rPr>
                <w:rFonts w:hint="default" w:ascii="Times New Roman" w:hAnsi="Times New Roman" w:cs="Times New Roman"/>
                <w:color w:val="auto"/>
                <w:highlight w:val="none"/>
                <w:vertAlign w:val="superscript"/>
              </w:rPr>
              <w:t>3</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4台</w:t>
            </w:r>
          </w:p>
        </w:tc>
        <w:tc>
          <w:tcPr>
            <w:tcW w:w="187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92"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1851"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推土机</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88KW</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4台</w:t>
            </w:r>
          </w:p>
        </w:tc>
        <w:tc>
          <w:tcPr>
            <w:tcW w:w="187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92"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1851"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手持式风钻</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Y-26</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6台</w:t>
            </w:r>
          </w:p>
        </w:tc>
        <w:tc>
          <w:tcPr>
            <w:tcW w:w="187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92"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1851"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潜孔钻</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80型</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3台</w:t>
            </w:r>
          </w:p>
        </w:tc>
        <w:tc>
          <w:tcPr>
            <w:tcW w:w="187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92"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1851"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切割机</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2台</w:t>
            </w:r>
          </w:p>
        </w:tc>
        <w:tc>
          <w:tcPr>
            <w:tcW w:w="187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92"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1851"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空压机</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2台</w:t>
            </w:r>
          </w:p>
        </w:tc>
        <w:tc>
          <w:tcPr>
            <w:tcW w:w="187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92"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1851"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自卸汽车</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10辆</w:t>
            </w:r>
          </w:p>
        </w:tc>
        <w:tc>
          <w:tcPr>
            <w:tcW w:w="187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92"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1851"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载重汽车</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848"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10辆</w:t>
            </w:r>
          </w:p>
        </w:tc>
        <w:tc>
          <w:tcPr>
            <w:tcW w:w="187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85</w:t>
            </w:r>
          </w:p>
        </w:tc>
      </w:tr>
    </w:tbl>
    <w:p>
      <w:pPr>
        <w:pStyle w:val="5"/>
        <w:tabs>
          <w:tab w:val="clear" w:pos="0"/>
        </w:tabs>
        <w:bidi w:val="0"/>
        <w:ind w:left="48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固废</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工程</w:t>
      </w:r>
      <w:r>
        <w:rPr>
          <w:rFonts w:hint="default" w:ascii="Times New Roman" w:hAnsi="Times New Roman" w:cs="Times New Roman"/>
          <w:color w:val="auto"/>
          <w:highlight w:val="none"/>
        </w:rPr>
        <w:t>施工期产生的固体废物包括废弃土石方、建筑垃圾、生活垃圾。</w:t>
      </w:r>
    </w:p>
    <w:p>
      <w:pPr>
        <w:ind w:firstLine="482"/>
        <w:rPr>
          <w:rFonts w:hint="default" w:ascii="Times New Roman" w:hAnsi="Times New Roman" w:cs="Times New Roman"/>
          <w:color w:val="auto"/>
          <w:highlight w:val="none"/>
        </w:rPr>
      </w:pPr>
      <w:r>
        <w:rPr>
          <w:rFonts w:hint="default" w:ascii="Times New Roman" w:hAnsi="Times New Roman" w:cs="Times New Roman"/>
          <w:b/>
          <w:bCs/>
          <w:color w:val="auto"/>
          <w:highlight w:val="none"/>
        </w:rPr>
        <w:t>1、废弃土石方</w:t>
      </w:r>
    </w:p>
    <w:p>
      <w:pPr>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根据工程设计资料，</w:t>
      </w:r>
      <w:r>
        <w:rPr>
          <w:rFonts w:hint="default" w:ascii="Times New Roman" w:hAnsi="Times New Roman" w:eastAsia="宋体" w:cs="Times New Roman"/>
          <w:color w:val="auto"/>
          <w:highlight w:val="none"/>
        </w:rPr>
        <w:t>在整个施工期间共开挖土石方35.56万m³</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回填土石方31.07万m³</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产生弃渣4.49万m³。弃渣运输至弃渣场堆存</w:t>
      </w:r>
      <w:r>
        <w:rPr>
          <w:rFonts w:hint="default" w:ascii="Times New Roman" w:hAnsi="Times New Roman" w:cs="Times New Roman"/>
          <w:color w:val="auto"/>
          <w:highlight w:val="none"/>
          <w:vertAlign w:val="baseline"/>
          <w:lang w:val="en-US" w:eastAsia="zh-CN"/>
        </w:rPr>
        <w:t>。</w:t>
      </w:r>
    </w:p>
    <w:p>
      <w:pPr>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2、建筑垃圾</w:t>
      </w:r>
    </w:p>
    <w:p>
      <w:pPr>
        <w:ind w:firstLine="480"/>
        <w:rPr>
          <w:rFonts w:hint="default" w:ascii="Times New Roman" w:hAnsi="Times New Roman" w:cs="Times New Roman"/>
          <w:color w:val="auto"/>
          <w:highlight w:val="none"/>
        </w:rPr>
      </w:pPr>
      <w:r>
        <w:rPr>
          <w:rFonts w:hint="eastAsia" w:cs="Times New Roman"/>
          <w:color w:val="auto"/>
          <w:highlight w:val="none"/>
          <w:lang w:val="en-US" w:eastAsia="zh-CN"/>
        </w:rPr>
        <w:t>工程产生的建筑垃圾主要包括施工期间产生的建筑垃圾、施工期完工后施工生产生活区和无害化卫生厕所拆除产生的拆除垃圾，</w:t>
      </w:r>
      <w:r>
        <w:rPr>
          <w:rFonts w:hint="default" w:ascii="Times New Roman" w:hAnsi="Times New Roman" w:cs="Times New Roman"/>
          <w:color w:val="auto"/>
          <w:highlight w:val="none"/>
          <w:lang w:val="en-US" w:eastAsia="zh-CN"/>
        </w:rPr>
        <w:t>产生量约为</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t，主要为</w:t>
      </w:r>
      <w:r>
        <w:rPr>
          <w:rFonts w:hint="default" w:ascii="Times New Roman" w:hAnsi="Times New Roman" w:cs="Times New Roman"/>
          <w:color w:val="auto"/>
          <w:highlight w:val="none"/>
        </w:rPr>
        <w:t>废混凝土块、废砖、钢筋、铁丝等。其中废木料、钢筋、铁丝等可回收利用的进行回收利用，废混凝土块、废砖等不可回收的交由施工单位运至建筑垃圾处置场处置</w:t>
      </w:r>
      <w:r>
        <w:rPr>
          <w:rFonts w:hint="default" w:ascii="Times New Roman" w:hAnsi="Times New Roman" w:cs="Times New Roman"/>
          <w:color w:val="auto"/>
          <w:highlight w:val="none"/>
          <w:lang w:val="en-US" w:eastAsia="zh-CN"/>
        </w:rPr>
        <w:t>。</w:t>
      </w:r>
    </w:p>
    <w:p>
      <w:pPr>
        <w:ind w:firstLine="482"/>
        <w:rPr>
          <w:rFonts w:hint="default" w:ascii="Times New Roman" w:hAnsi="Times New Roman" w:cs="Times New Roman"/>
          <w:b/>
          <w:bCs/>
          <w:color w:val="auto"/>
          <w:highlight w:val="none"/>
        </w:rPr>
      </w:pPr>
      <w:r>
        <w:rPr>
          <w:rFonts w:hint="eastAsia" w:cs="Times New Roman"/>
          <w:b/>
          <w:bCs/>
          <w:color w:val="auto"/>
          <w:highlight w:val="none"/>
          <w:lang w:val="en-US" w:eastAsia="zh-CN"/>
        </w:rPr>
        <w:t>3</w:t>
      </w:r>
      <w:r>
        <w:rPr>
          <w:rFonts w:hint="default" w:ascii="Times New Roman" w:hAnsi="Times New Roman" w:cs="Times New Roman"/>
          <w:b/>
          <w:bCs/>
          <w:color w:val="auto"/>
          <w:highlight w:val="none"/>
        </w:rPr>
        <w:t>、生活垃圾</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工程施工期平均施工人数为</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0人，</w:t>
      </w:r>
      <w:r>
        <w:rPr>
          <w:rFonts w:hint="default" w:ascii="Times New Roman" w:hAnsi="Times New Roman" w:cs="Times New Roman"/>
          <w:color w:val="auto"/>
          <w:highlight w:val="none"/>
        </w:rPr>
        <w:t>按人均产生生活垃圾0.5kg/d计算，则生活垃圾产生量为</w:t>
      </w:r>
      <w:r>
        <w:rPr>
          <w:rFonts w:hint="eastAsia" w:cs="Times New Roman"/>
          <w:color w:val="auto"/>
          <w:highlight w:val="none"/>
          <w:lang w:val="en-US" w:eastAsia="zh-CN"/>
        </w:rPr>
        <w:t>25</w:t>
      </w:r>
      <w:r>
        <w:rPr>
          <w:rFonts w:hint="default" w:ascii="Times New Roman" w:hAnsi="Times New Roman" w:cs="Times New Roman"/>
          <w:color w:val="auto"/>
          <w:highlight w:val="none"/>
        </w:rPr>
        <w:t>kg/d</w:t>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18</w:t>
      </w:r>
      <w:r>
        <w:rPr>
          <w:rFonts w:hint="default" w:ascii="Times New Roman" w:hAnsi="Times New Roman" w:cs="Times New Roman"/>
          <w:color w:val="auto"/>
          <w:highlight w:val="none"/>
          <w:lang w:val="en-US" w:eastAsia="zh-CN"/>
        </w:rPr>
        <w:t>t/工期</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经垃圾桶收集后</w:t>
      </w:r>
      <w:r>
        <w:rPr>
          <w:rFonts w:hint="default" w:ascii="Times New Roman" w:hAnsi="Times New Roman" w:cs="Times New Roman"/>
          <w:color w:val="auto"/>
          <w:highlight w:val="none"/>
        </w:rPr>
        <w:t>定期清运至附近村寨垃圾收集点。</w:t>
      </w:r>
    </w:p>
    <w:p>
      <w:pPr>
        <w:ind w:firstLine="482"/>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施工期使用无害化卫生厕所，每人每天产生粪便量按0.4kg/d计，则每天产生</w:t>
      </w:r>
      <w:r>
        <w:rPr>
          <w:rFonts w:hint="eastAsia" w:cs="Times New Roman"/>
          <w:b w:val="0"/>
          <w:bCs w:val="0"/>
          <w:color w:val="auto"/>
          <w:highlight w:val="none"/>
          <w:lang w:val="en-US" w:eastAsia="zh-CN"/>
        </w:rPr>
        <w:t>20</w:t>
      </w:r>
      <w:r>
        <w:rPr>
          <w:rFonts w:hint="default" w:ascii="Times New Roman" w:hAnsi="Times New Roman" w:cs="Times New Roman"/>
          <w:b w:val="0"/>
          <w:bCs w:val="0"/>
          <w:color w:val="auto"/>
          <w:highlight w:val="none"/>
        </w:rPr>
        <w:t>kg，施工期共计粪便产生量约为</w:t>
      </w:r>
      <w:r>
        <w:rPr>
          <w:rFonts w:hint="eastAsia" w:cs="Times New Roman"/>
          <w:b w:val="0"/>
          <w:bCs w:val="0"/>
          <w:color w:val="auto"/>
          <w:highlight w:val="none"/>
          <w:lang w:val="en-US" w:eastAsia="zh-CN"/>
        </w:rPr>
        <w:t>14.4</w:t>
      </w:r>
      <w:r>
        <w:rPr>
          <w:rFonts w:hint="default" w:ascii="Times New Roman" w:hAnsi="Times New Roman" w:cs="Times New Roman"/>
          <w:b w:val="0"/>
          <w:bCs w:val="0"/>
          <w:color w:val="auto"/>
          <w:highlight w:val="none"/>
        </w:rPr>
        <w:t>t</w:t>
      </w:r>
      <w:r>
        <w:rPr>
          <w:rFonts w:hint="eastAsia" w:cs="Times New Roman"/>
          <w:b w:val="0"/>
          <w:bCs w:val="0"/>
          <w:color w:val="auto"/>
          <w:highlight w:val="none"/>
          <w:lang w:eastAsia="zh-CN"/>
        </w:rPr>
        <w:t>。</w:t>
      </w:r>
      <w:r>
        <w:rPr>
          <w:rFonts w:hint="eastAsia" w:cs="Times New Roman"/>
          <w:b w:val="0"/>
          <w:bCs w:val="0"/>
          <w:color w:val="auto"/>
          <w:highlight w:val="none"/>
          <w:lang w:val="en-US" w:eastAsia="zh-CN"/>
        </w:rPr>
        <w:t>粪便经无害化厕所配套的化粪池处理后</w:t>
      </w:r>
      <w:r>
        <w:rPr>
          <w:rFonts w:hint="default" w:ascii="Times New Roman" w:hAnsi="Times New Roman" w:cs="Times New Roman"/>
          <w:b w:val="0"/>
          <w:bCs w:val="0"/>
          <w:color w:val="auto"/>
          <w:highlight w:val="none"/>
        </w:rPr>
        <w:t>定期清掏用于周边耕地农肥。</w:t>
      </w:r>
    </w:p>
    <w:p>
      <w:pPr>
        <w:pStyle w:val="5"/>
        <w:tabs>
          <w:tab w:val="clear" w:pos="0"/>
        </w:tabs>
        <w:bidi w:val="0"/>
        <w:ind w:left="48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生态环境</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1</w:t>
      </w:r>
      <w:r>
        <w:rPr>
          <w:rFonts w:hint="eastAsia" w:ascii="宋体" w:hAnsi="宋体" w:eastAsia="宋体" w:cs="宋体"/>
          <w:color w:val="auto"/>
          <w:kern w:val="0"/>
          <w:sz w:val="24"/>
          <w:szCs w:val="24"/>
          <w:lang w:val="en-US" w:eastAsia="zh-CN" w:bidi="ar"/>
        </w:rPr>
        <w:t>）对植被和土地利用现状的影响</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本工程</w:t>
      </w:r>
      <w:r>
        <w:rPr>
          <w:rFonts w:hint="default" w:ascii="Times New Roman" w:hAnsi="Times New Roman" w:eastAsia="宋体" w:cs="Times New Roman"/>
          <w:color w:val="auto"/>
          <w:kern w:val="0"/>
          <w:sz w:val="24"/>
          <w:szCs w:val="24"/>
          <w:lang w:val="en-US" w:eastAsia="zh-CN" w:bidi="ar"/>
        </w:rPr>
        <w:t>占地包括永久占地和工程临时占地。占用各种土地面积共49.78hm²（746.4亩）</w:t>
      </w:r>
      <w:r>
        <w:rPr>
          <w:rFonts w:hint="eastAsia" w:ascii="Times New Roman" w:hAnsi="Times New Roman" w:eastAsia="宋体" w:cs="Times New Roman"/>
          <w:color w:val="auto"/>
          <w:kern w:val="0"/>
          <w:sz w:val="24"/>
          <w:szCs w:val="24"/>
          <w:lang w:val="en-US" w:eastAsia="zh-CN" w:bidi="ar"/>
        </w:rPr>
        <w:t>：永久占用土地2.46hm</w:t>
      </w:r>
      <w:r>
        <w:rPr>
          <w:rFonts w:hint="eastAsia" w:ascii="Times New Roman" w:hAnsi="Times New Roman" w:eastAsia="宋体" w:cs="Times New Roman"/>
          <w:color w:val="auto"/>
          <w:kern w:val="0"/>
          <w:sz w:val="24"/>
          <w:szCs w:val="24"/>
          <w:vertAlign w:val="superscript"/>
          <w:lang w:val="en-US" w:eastAsia="zh-CN" w:bidi="ar"/>
        </w:rPr>
        <w:t>2</w:t>
      </w:r>
      <w:r>
        <w:rPr>
          <w:rFonts w:hint="eastAsia" w:ascii="Times New Roman" w:hAnsi="Times New Roman" w:eastAsia="宋体" w:cs="Times New Roman"/>
          <w:color w:val="auto"/>
          <w:kern w:val="0"/>
          <w:sz w:val="24"/>
          <w:szCs w:val="24"/>
          <w:lang w:val="en-US" w:eastAsia="zh-CN" w:bidi="ar"/>
        </w:rPr>
        <w:t>（36.93亩），</w:t>
      </w:r>
      <w:r>
        <w:rPr>
          <w:rFonts w:hint="default" w:ascii="Times New Roman" w:hAnsi="Times New Roman" w:eastAsia="宋体" w:cs="Times New Roman"/>
          <w:color w:val="auto"/>
          <w:kern w:val="0"/>
          <w:sz w:val="24"/>
          <w:szCs w:val="24"/>
          <w:lang w:val="en-US" w:eastAsia="zh-CN" w:bidi="ar"/>
        </w:rPr>
        <w:t>临时占用土地面积为47.32hm²（709.47亩</w:t>
      </w:r>
      <w:r>
        <w:rPr>
          <w:rFonts w:hint="eastAsia" w:ascii="宋体" w:hAnsi="宋体" w:eastAsia="宋体" w:cs="宋体"/>
          <w:color w:val="auto"/>
          <w:kern w:val="0"/>
          <w:sz w:val="24"/>
          <w:szCs w:val="24"/>
          <w:lang w:val="en-US" w:eastAsia="zh-CN" w:bidi="ar"/>
        </w:rPr>
        <w:t>）。占地类型主要为耕地、园地、林地、交通设施用地及水域水利设施用地。永久占地将使现有植被发生不可恢复性的破坏，土地利用形式发生永久性的改变，而临时占地可在施工结束后通过人工措施恢复原有的植被及土地利用方式。</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w:t>
      </w:r>
      <w:r>
        <w:rPr>
          <w:rFonts w:hint="eastAsia" w:ascii="宋体" w:hAnsi="宋体" w:eastAsia="宋体" w:cs="宋体"/>
          <w:color w:val="auto"/>
          <w:kern w:val="0"/>
          <w:sz w:val="24"/>
          <w:szCs w:val="24"/>
          <w:lang w:val="en-US" w:eastAsia="zh-CN" w:bidi="ar"/>
        </w:rPr>
        <w:t>）对动植物资源的影响</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本工程建设将征占</w:t>
      </w:r>
      <w:r>
        <w:rPr>
          <w:rFonts w:hint="default" w:ascii="Times New Roman" w:hAnsi="Times New Roman" w:eastAsia="宋体" w:cs="Times New Roman"/>
          <w:color w:val="auto"/>
          <w:kern w:val="0"/>
          <w:sz w:val="24"/>
          <w:szCs w:val="24"/>
          <w:lang w:val="en-US" w:eastAsia="zh-CN" w:bidi="ar"/>
        </w:rPr>
        <w:t>49.78hm²</w:t>
      </w:r>
      <w:r>
        <w:rPr>
          <w:rFonts w:hint="eastAsia" w:ascii="宋体" w:hAnsi="宋体" w:eastAsia="宋体" w:cs="宋体"/>
          <w:color w:val="auto"/>
          <w:kern w:val="0"/>
          <w:sz w:val="24"/>
          <w:szCs w:val="24"/>
          <w:lang w:val="en-US" w:eastAsia="zh-CN" w:bidi="ar"/>
        </w:rPr>
        <w:t>土地，土石方开挖、输水管及施工道路修筑等施工活动，将不可避免地使征地范围内的地表植被、植物资源、土壤等受到破坏，造成征占地范围部分植物个体死亡，少量动物栖息环境破坏。</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3</w:t>
      </w:r>
      <w:r>
        <w:rPr>
          <w:rFonts w:hint="eastAsia" w:ascii="宋体" w:hAnsi="宋体" w:eastAsia="宋体" w:cs="宋体"/>
          <w:color w:val="auto"/>
          <w:kern w:val="0"/>
          <w:sz w:val="24"/>
          <w:szCs w:val="24"/>
          <w:lang w:val="en-US" w:eastAsia="zh-CN" w:bidi="ar"/>
        </w:rPr>
        <w:t>）对水生生物的影响</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本项目无涉水工程，可能对水生生物造成影响的主要是</w:t>
      </w:r>
      <w:r>
        <w:rPr>
          <w:rFonts w:hint="eastAsia" w:ascii="Times New Roman" w:hAnsi="Times New Roman" w:eastAsia="宋体" w:cs="Times New Roman"/>
          <w:b w:val="0"/>
          <w:i w:val="0"/>
          <w:caps w:val="0"/>
          <w:color w:val="auto"/>
          <w:spacing w:val="0"/>
          <w:w w:val="100"/>
          <w:kern w:val="2"/>
          <w:sz w:val="24"/>
          <w:szCs w:val="24"/>
          <w:lang w:val="en-US" w:eastAsia="zh-CN" w:bidi="ar-SA"/>
        </w:rPr>
        <w:t>北干管K7+845~K7+855管段跨姜驿河、金马分干管K1+711~K1+720段跨沙沟箐处的施工，以及施工人员可能进行鱼类捕捞等活动。</w:t>
      </w:r>
      <w:r>
        <w:rPr>
          <w:rFonts w:hint="eastAsia" w:ascii="宋体" w:hAnsi="宋体" w:eastAsia="宋体" w:cs="宋体"/>
          <w:color w:val="auto"/>
          <w:kern w:val="0"/>
          <w:sz w:val="24"/>
          <w:szCs w:val="24"/>
          <w:lang w:val="en-US" w:eastAsia="zh-CN" w:bidi="ar"/>
        </w:rPr>
        <w:t>通过严格管理，规范施工，大部分影响是可防、可控和可逆的。</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4</w:t>
      </w:r>
      <w:r>
        <w:rPr>
          <w:rFonts w:hint="eastAsia" w:ascii="宋体" w:hAnsi="宋体" w:eastAsia="宋体" w:cs="宋体"/>
          <w:color w:val="auto"/>
          <w:kern w:val="0"/>
          <w:sz w:val="24"/>
          <w:szCs w:val="24"/>
          <w:lang w:val="en-US" w:eastAsia="zh-CN" w:bidi="ar"/>
        </w:rPr>
        <w:t>）对环境敏感区的影响</w:t>
      </w:r>
    </w:p>
    <w:p>
      <w:pPr>
        <w:rPr>
          <w:rFonts w:hint="eastAsia"/>
          <w:color w:val="0000FF"/>
          <w:highlight w:val="none"/>
          <w:lang w:eastAsia="zh-CN"/>
        </w:rPr>
      </w:pPr>
      <w:r>
        <w:rPr>
          <w:rFonts w:hint="default" w:ascii="Times New Roman" w:hAnsi="Times New Roman" w:cs="Times New Roman"/>
          <w:b w:val="0"/>
          <w:bCs w:val="0"/>
          <w:color w:val="auto"/>
          <w:sz w:val="24"/>
          <w:szCs w:val="24"/>
          <w:highlight w:val="none"/>
          <w:lang w:val="en-US" w:eastAsia="zh-CN"/>
        </w:rPr>
        <w:t>综合考虑地形、地质、高程、</w:t>
      </w:r>
      <w:r>
        <w:rPr>
          <w:rFonts w:hint="eastAsia" w:ascii="Times New Roman" w:hAnsi="Times New Roman" w:cs="Times New Roman"/>
          <w:b w:val="0"/>
          <w:bCs w:val="0"/>
          <w:color w:val="auto"/>
          <w:sz w:val="24"/>
          <w:szCs w:val="24"/>
          <w:highlight w:val="none"/>
          <w:lang w:val="en-US" w:eastAsia="zh-CN"/>
        </w:rPr>
        <w:t>提水负担、工程占地、</w:t>
      </w:r>
      <w:r>
        <w:rPr>
          <w:rFonts w:hint="eastAsia" w:cs="Times New Roman"/>
          <w:b w:val="0"/>
          <w:bCs w:val="0"/>
          <w:color w:val="auto"/>
          <w:sz w:val="24"/>
          <w:szCs w:val="24"/>
          <w:highlight w:val="none"/>
          <w:lang w:val="en-US" w:eastAsia="zh-CN"/>
        </w:rPr>
        <w:t>“</w:t>
      </w:r>
      <w:r>
        <w:rPr>
          <w:rFonts w:hint="default" w:ascii="Times New Roman" w:hAnsi="Times New Roman" w:cs="Times New Roman"/>
          <w:b w:val="0"/>
          <w:bCs w:val="0"/>
          <w:color w:val="auto"/>
          <w:sz w:val="24"/>
          <w:szCs w:val="24"/>
          <w:highlight w:val="none"/>
          <w:lang w:val="en-US" w:eastAsia="zh-CN"/>
        </w:rPr>
        <w:t>三区三线</w:t>
      </w:r>
      <w:r>
        <w:rPr>
          <w:rFonts w:hint="eastAsia" w:cs="Times New Roman"/>
          <w:b w:val="0"/>
          <w:bCs w:val="0"/>
          <w:color w:val="auto"/>
          <w:sz w:val="24"/>
          <w:szCs w:val="24"/>
          <w:highlight w:val="none"/>
          <w:lang w:val="en-US" w:eastAsia="zh-CN"/>
        </w:rPr>
        <w:t>”</w:t>
      </w:r>
      <w:r>
        <w:rPr>
          <w:rFonts w:hint="eastAsia" w:ascii="Times New Roman" w:hAnsi="Times New Roman" w:cs="Times New Roman"/>
          <w:b w:val="0"/>
          <w:bCs w:val="0"/>
          <w:color w:val="auto"/>
          <w:sz w:val="24"/>
          <w:szCs w:val="24"/>
          <w:highlight w:val="none"/>
          <w:lang w:val="en-US" w:eastAsia="zh-CN"/>
        </w:rPr>
        <w:t>以及农田分布</w:t>
      </w:r>
      <w:r>
        <w:rPr>
          <w:rFonts w:hint="default" w:ascii="Times New Roman" w:hAnsi="Times New Roman" w:cs="Times New Roman"/>
          <w:b w:val="0"/>
          <w:bCs w:val="0"/>
          <w:color w:val="auto"/>
          <w:sz w:val="24"/>
          <w:szCs w:val="24"/>
          <w:highlight w:val="none"/>
          <w:lang w:val="en-US" w:eastAsia="zh-CN"/>
        </w:rPr>
        <w:t>等条件</w:t>
      </w:r>
      <w:r>
        <w:rPr>
          <w:rFonts w:hint="eastAsia" w:ascii="Times New Roman" w:hAnsi="Times New Roman" w:cs="Times New Roman"/>
          <w:b w:val="0"/>
          <w:bCs w:val="0"/>
          <w:color w:val="auto"/>
          <w:sz w:val="24"/>
          <w:szCs w:val="24"/>
          <w:highlight w:val="none"/>
          <w:lang w:val="en-US" w:eastAsia="zh-CN"/>
        </w:rPr>
        <w:t>，工程选址不可避免的占用元谋风景名胜区、生态红线、公益林及基本农田。</w:t>
      </w:r>
      <w:r>
        <w:rPr>
          <w:rFonts w:hint="eastAsia"/>
          <w:color w:val="auto"/>
          <w:lang w:val="en-US" w:eastAsia="zh-CN"/>
        </w:rPr>
        <w:t>根据查询及叠图：</w:t>
      </w:r>
      <w:r>
        <w:rPr>
          <w:rFonts w:hint="eastAsia" w:ascii="Times New Roman" w:hAnsi="Times New Roman" w:cs="Times New Roman"/>
          <w:color w:val="auto"/>
          <w:sz w:val="24"/>
          <w:szCs w:val="24"/>
          <w:lang w:val="en-US" w:eastAsia="zh-CN"/>
        </w:rPr>
        <w:t>元谋县姜驿中型灌区续建配套与节水改造项目涉及元谋风景名胜区金沙江景区，涉及工程内容有</w:t>
      </w:r>
      <w:r>
        <w:rPr>
          <w:rFonts w:hint="default" w:ascii="Times New Roman" w:hAnsi="Times New Roman" w:cs="Times New Roman"/>
          <w:color w:val="auto"/>
          <w:sz w:val="24"/>
          <w:szCs w:val="24"/>
          <w:lang w:val="en-US" w:eastAsia="zh-CN"/>
        </w:rPr>
        <w:t>高位调节水池</w:t>
      </w:r>
      <w:r>
        <w:rPr>
          <w:rFonts w:hint="eastAsia" w:ascii="Times New Roman" w:hAnsi="Times New Roman" w:cs="Times New Roman"/>
          <w:color w:val="auto"/>
          <w:sz w:val="24"/>
          <w:szCs w:val="24"/>
          <w:lang w:val="en-US" w:eastAsia="zh-CN"/>
        </w:rPr>
        <w:t>（永久占地1.762hm</w:t>
      </w:r>
      <w:r>
        <w:rPr>
          <w:rFonts w:hint="eastAsia" w:ascii="Times New Roman" w:hAnsi="Times New Roman" w:cs="Times New Roman"/>
          <w:color w:val="auto"/>
          <w:sz w:val="24"/>
          <w:szCs w:val="24"/>
          <w:vertAlign w:val="superscript"/>
          <w:lang w:val="en-US" w:eastAsia="zh-CN"/>
        </w:rPr>
        <w:t>2</w:t>
      </w:r>
      <w:r>
        <w:rPr>
          <w:rFonts w:hint="eastAsia" w:ascii="Times New Roman" w:hAnsi="Times New Roman" w:cs="Times New Roman"/>
          <w:color w:val="auto"/>
          <w:sz w:val="24"/>
          <w:szCs w:val="24"/>
          <w:lang w:val="en-US" w:eastAsia="zh-CN"/>
        </w:rPr>
        <w:t>）、北干管（</w:t>
      </w:r>
      <w:r>
        <w:rPr>
          <w:rFonts w:hint="eastAsia" w:ascii="Times New Roman" w:hAnsi="Times New Roman" w:cs="Times New Roman"/>
          <w:color w:val="auto"/>
          <w:sz w:val="24"/>
          <w:szCs w:val="24"/>
          <w:vertAlign w:val="baseline"/>
          <w:lang w:val="en-US" w:eastAsia="zh-CN"/>
        </w:rPr>
        <w:t>临时占地0.91</w:t>
      </w:r>
      <w:r>
        <w:rPr>
          <w:rFonts w:hint="eastAsia" w:ascii="Times New Roman" w:hAnsi="Times New Roman" w:cs="Times New Roman"/>
          <w:color w:val="auto"/>
          <w:sz w:val="24"/>
          <w:szCs w:val="24"/>
          <w:lang w:val="en-US" w:eastAsia="zh-CN"/>
        </w:rPr>
        <w:t>hm</w:t>
      </w:r>
      <w:r>
        <w:rPr>
          <w:rFonts w:hint="eastAsia" w:ascii="Times New Roman" w:hAnsi="Times New Roman" w:cs="Times New Roman"/>
          <w:color w:val="auto"/>
          <w:sz w:val="24"/>
          <w:szCs w:val="24"/>
          <w:vertAlign w:val="superscript"/>
          <w:lang w:val="en-US" w:eastAsia="zh-CN"/>
        </w:rPr>
        <w:t>2</w:t>
      </w:r>
      <w:r>
        <w:rPr>
          <w:rFonts w:hint="eastAsia" w:ascii="Times New Roman" w:hAnsi="Times New Roman" w:cs="Times New Roman"/>
          <w:color w:val="auto"/>
          <w:sz w:val="24"/>
          <w:szCs w:val="24"/>
          <w:lang w:val="en-US" w:eastAsia="zh-CN"/>
        </w:rPr>
        <w:t>）；</w:t>
      </w:r>
      <w:r>
        <w:rPr>
          <w:rFonts w:hint="eastAsia"/>
          <w:color w:val="auto"/>
          <w:highlight w:val="none"/>
          <w:shd w:val="clear"/>
          <w:lang w:val="en-US" w:eastAsia="zh-CN"/>
        </w:rPr>
        <w:t>输水管道涉及占用元谋县“三区三线”划定的生态保护红线</w:t>
      </w:r>
      <w:r>
        <w:rPr>
          <w:rFonts w:hint="default"/>
          <w:color w:val="auto"/>
          <w:highlight w:val="none"/>
          <w:shd w:val="clear"/>
          <w:lang w:val="en-US" w:eastAsia="zh-CN"/>
        </w:rPr>
        <w:t>28522.94m</w:t>
      </w:r>
      <w:r>
        <w:rPr>
          <w:rFonts w:hint="default"/>
          <w:color w:val="auto"/>
          <w:highlight w:val="none"/>
          <w:shd w:val="clear"/>
          <w:vertAlign w:val="superscript"/>
          <w:lang w:val="en-US" w:eastAsia="zh-CN"/>
        </w:rPr>
        <w:t>2</w:t>
      </w:r>
      <w:r>
        <w:rPr>
          <w:rFonts w:hint="eastAsia"/>
          <w:color w:val="auto"/>
          <w:highlight w:val="none"/>
          <w:shd w:val="clear"/>
          <w:vertAlign w:val="baseline"/>
          <w:lang w:val="en-US" w:eastAsia="zh-CN"/>
        </w:rPr>
        <w:t>；</w:t>
      </w:r>
      <w:r>
        <w:rPr>
          <w:rFonts w:hint="eastAsia"/>
          <w:color w:val="0000FF"/>
          <w:highlight w:val="none"/>
          <w:lang w:val="en-US" w:eastAsia="zh-CN"/>
        </w:rPr>
        <w:t>北干管羊腊席至火焰山段、金马分干管接近沙沟箐段占用省二级公益林5.7437hm</w:t>
      </w:r>
      <w:r>
        <w:rPr>
          <w:rFonts w:hint="eastAsia"/>
          <w:color w:val="0000FF"/>
          <w:highlight w:val="none"/>
          <w:vertAlign w:val="superscript"/>
          <w:lang w:val="en-US" w:eastAsia="zh-CN"/>
        </w:rPr>
        <w:t>2</w:t>
      </w:r>
      <w:r>
        <w:rPr>
          <w:rFonts w:hint="eastAsia"/>
          <w:color w:val="0000FF"/>
          <w:highlight w:val="none"/>
          <w:lang w:val="en-US" w:eastAsia="zh-CN"/>
        </w:rPr>
        <w:t>；金马分干管干海梁子~金马村沿路部分管段占用国家二级公益林0.8939hm</w:t>
      </w:r>
      <w:r>
        <w:rPr>
          <w:rFonts w:hint="eastAsia"/>
          <w:color w:val="0000FF"/>
          <w:highlight w:val="none"/>
          <w:vertAlign w:val="superscript"/>
          <w:lang w:val="en-US" w:eastAsia="zh-CN"/>
        </w:rPr>
        <w:t>2</w:t>
      </w:r>
      <w:r>
        <w:rPr>
          <w:rFonts w:hint="eastAsia"/>
          <w:color w:val="0000FF"/>
          <w:lang w:val="en-US" w:eastAsia="zh-CN"/>
        </w:rPr>
        <w:t>；</w:t>
      </w:r>
      <w:r>
        <w:rPr>
          <w:rFonts w:hint="eastAsia"/>
          <w:color w:val="0000FF"/>
          <w:highlight w:val="none"/>
          <w:lang w:eastAsia="zh-CN"/>
        </w:rPr>
        <w:t>临时施工便道</w:t>
      </w:r>
      <w:r>
        <w:rPr>
          <w:rFonts w:hint="eastAsia"/>
          <w:color w:val="0000FF"/>
          <w:highlight w:val="none"/>
          <w:lang w:val="en-US" w:eastAsia="zh-CN"/>
        </w:rPr>
        <w:t>占用基本农田面积为3967.30m</w:t>
      </w:r>
      <w:r>
        <w:rPr>
          <w:rFonts w:hint="eastAsia"/>
          <w:color w:val="0000FF"/>
          <w:highlight w:val="none"/>
          <w:vertAlign w:val="superscript"/>
          <w:lang w:val="en-US" w:eastAsia="zh-CN"/>
        </w:rPr>
        <w:t>2</w:t>
      </w:r>
      <w:r>
        <w:rPr>
          <w:rFonts w:hint="eastAsia"/>
          <w:color w:val="0000FF"/>
          <w:highlight w:val="none"/>
          <w:lang w:val="en-US" w:eastAsia="zh-CN"/>
        </w:rPr>
        <w:t>，管道临时占用基本农田面积为25500m</w:t>
      </w:r>
      <w:r>
        <w:rPr>
          <w:rFonts w:hint="eastAsia"/>
          <w:color w:val="0000FF"/>
          <w:highlight w:val="none"/>
          <w:vertAlign w:val="superscript"/>
          <w:lang w:val="en-US" w:eastAsia="zh-CN"/>
        </w:rPr>
        <w:t>2</w:t>
      </w:r>
      <w:r>
        <w:rPr>
          <w:rFonts w:hint="eastAsia"/>
          <w:color w:val="0000FF"/>
          <w:highlight w:val="none"/>
          <w:lang w:eastAsia="zh-CN"/>
        </w:rPr>
        <w:t>。</w:t>
      </w:r>
    </w:p>
    <w:p>
      <w:pP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以上占用除高位水池对元谋风景名胜区金沙江景区的占用为永久占用外，其余均无临时占用，在施工结束后将进行临时占地的恢复，将基本农田及原有生态环境尽量恢复至施工前。</w:t>
      </w:r>
    </w:p>
    <w:p>
      <w:pPr>
        <w:bidi w:val="0"/>
        <w:ind w:firstLine="480" w:firstLineChars="200"/>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①占用元谋风景名胜区金沙江景区：</w:t>
      </w:r>
    </w:p>
    <w:p>
      <w:pPr>
        <w:bidi w:val="0"/>
        <w:ind w:firstLine="480" w:firstLineChars="200"/>
        <w:rPr>
          <w:rFonts w:hint="default" w:ascii="Times New Roman" w:hAnsi="Times New Roman" w:cs="Times New Roman"/>
          <w:color w:val="auto"/>
          <w:sz w:val="24"/>
          <w:szCs w:val="24"/>
          <w:lang w:val="en-US" w:eastAsia="zh-CN"/>
        </w:rPr>
      </w:pPr>
      <w:r>
        <w:rPr>
          <w:rFonts w:hint="eastAsia" w:cs="Times New Roman"/>
          <w:color w:val="0000FF"/>
          <w:sz w:val="24"/>
          <w:szCs w:val="24"/>
          <w:lang w:val="en-US" w:eastAsia="zh-CN"/>
        </w:rPr>
        <w:t>主要影响分析如下</w:t>
      </w:r>
      <w:r>
        <w:rPr>
          <w:rFonts w:hint="eastAsia" w:cs="Times New Roman"/>
          <w:color w:val="auto"/>
          <w:sz w:val="24"/>
          <w:szCs w:val="24"/>
          <w:lang w:val="en-US" w:eastAsia="zh-CN"/>
        </w:rPr>
        <w:t>：</w:t>
      </w:r>
    </w:p>
    <w:p>
      <w:pPr>
        <w:bidi w:val="0"/>
        <w:ind w:firstLine="480" w:firstLineChars="200"/>
        <w:rPr>
          <w:rFonts w:hint="eastAsia"/>
          <w:color w:val="0000FF"/>
          <w:highlight w:val="none"/>
        </w:rPr>
      </w:pPr>
      <w:r>
        <w:rPr>
          <w:rFonts w:hint="eastAsia"/>
          <w:color w:val="0000FF"/>
          <w:highlight w:val="none"/>
          <w:lang w:val="en-US" w:eastAsia="zh-CN"/>
        </w:rPr>
        <w:t>a</w:t>
      </w:r>
      <w:r>
        <w:rPr>
          <w:rFonts w:hint="eastAsia"/>
          <w:color w:val="0000FF"/>
          <w:highlight w:val="none"/>
          <w:lang w:eastAsia="zh-CN"/>
        </w:rPr>
        <w:t>、</w:t>
      </w:r>
      <w:r>
        <w:rPr>
          <w:rFonts w:hint="eastAsia"/>
          <w:color w:val="0000FF"/>
          <w:highlight w:val="none"/>
        </w:rPr>
        <w:t>相融性分析</w:t>
      </w:r>
      <w:r>
        <w:rPr>
          <w:rFonts w:hint="eastAsia"/>
          <w:color w:val="0000FF"/>
          <w:highlight w:val="none"/>
          <w:lang w:eastAsia="zh-CN"/>
        </w:rPr>
        <w:t>：</w:t>
      </w:r>
      <w:r>
        <w:rPr>
          <w:rFonts w:hint="eastAsia"/>
          <w:color w:val="0000FF"/>
          <w:highlight w:val="none"/>
        </w:rPr>
        <w:t>工程影响区位于金沙江北岸的</w:t>
      </w:r>
      <w:r>
        <w:rPr>
          <w:rFonts w:hint="eastAsia"/>
          <w:color w:val="0000FF"/>
          <w:highlight w:val="none"/>
          <w:lang w:eastAsia="zh-CN"/>
        </w:rPr>
        <w:t>金沙江景区一般影响区边缘山谷区</w:t>
      </w:r>
      <w:r>
        <w:rPr>
          <w:rFonts w:hint="eastAsia"/>
          <w:color w:val="0000FF"/>
          <w:highlight w:val="none"/>
        </w:rPr>
        <w:t>，区内侵蚀作用强烈，谷坡陡峭，整体上呈现为属中高山深切地形，河谷侵蚀地貌。工程视觉影响区集中</w:t>
      </w:r>
      <w:r>
        <w:rPr>
          <w:rFonts w:hint="eastAsia"/>
          <w:color w:val="0000FF"/>
          <w:highlight w:val="none"/>
          <w:lang w:eastAsia="zh-CN"/>
        </w:rPr>
        <w:t>在高位水池</w:t>
      </w:r>
      <w:r>
        <w:rPr>
          <w:rFonts w:hint="eastAsia"/>
          <w:color w:val="0000FF"/>
          <w:highlight w:val="none"/>
        </w:rPr>
        <w:t>等永久占地，经生态修复、景观绿化等措施，工程对原有景观的影响为</w:t>
      </w:r>
      <w:r>
        <w:rPr>
          <w:rFonts w:hint="eastAsia"/>
          <w:color w:val="0000FF"/>
          <w:highlight w:val="none"/>
          <w:lang w:eastAsia="zh-CN"/>
        </w:rPr>
        <w:t>轻微</w:t>
      </w:r>
      <w:r>
        <w:rPr>
          <w:rFonts w:hint="eastAsia"/>
          <w:color w:val="0000FF"/>
          <w:highlight w:val="none"/>
        </w:rPr>
        <w:t>影响。</w:t>
      </w:r>
    </w:p>
    <w:p>
      <w:pPr>
        <w:bidi w:val="0"/>
        <w:ind w:firstLine="480" w:firstLineChars="200"/>
        <w:rPr>
          <w:rFonts w:hint="eastAsia"/>
          <w:color w:val="0000FF"/>
          <w:highlight w:val="none"/>
        </w:rPr>
      </w:pPr>
      <w:r>
        <w:rPr>
          <w:rFonts w:hint="eastAsia"/>
          <w:color w:val="0000FF"/>
          <w:highlight w:val="none"/>
          <w:lang w:val="en-US" w:eastAsia="zh-CN"/>
        </w:rPr>
        <w:t>b</w:t>
      </w:r>
      <w:r>
        <w:rPr>
          <w:rFonts w:hint="eastAsia"/>
          <w:color w:val="0000FF"/>
          <w:highlight w:val="none"/>
          <w:lang w:eastAsia="zh-CN"/>
        </w:rPr>
        <w:t>、</w:t>
      </w:r>
      <w:r>
        <w:rPr>
          <w:rFonts w:hint="eastAsia"/>
          <w:color w:val="0000FF"/>
          <w:highlight w:val="none"/>
        </w:rPr>
        <w:t>稳定性影响分析</w:t>
      </w:r>
      <w:r>
        <w:rPr>
          <w:rFonts w:hint="eastAsia"/>
          <w:color w:val="0000FF"/>
          <w:highlight w:val="none"/>
          <w:lang w:eastAsia="zh-CN"/>
        </w:rPr>
        <w:t>：</w:t>
      </w:r>
      <w:r>
        <w:rPr>
          <w:rFonts w:hint="eastAsia"/>
          <w:color w:val="0000FF"/>
          <w:highlight w:val="none"/>
        </w:rPr>
        <w:t>工程在风景区新增建设用地</w:t>
      </w:r>
      <w:r>
        <w:rPr>
          <w:rFonts w:hint="eastAsia"/>
          <w:color w:val="0000FF"/>
          <w:highlight w:val="none"/>
          <w:lang w:val="en-US" w:eastAsia="zh-CN"/>
        </w:rPr>
        <w:t>1.381</w:t>
      </w:r>
      <w:r>
        <w:rPr>
          <w:rFonts w:hint="eastAsia"/>
          <w:color w:val="0000FF"/>
          <w:highlight w:val="none"/>
        </w:rPr>
        <w:t>hm²</w:t>
      </w:r>
      <w:r>
        <w:rPr>
          <w:rFonts w:hint="eastAsia" w:ascii="宋体" w:hAnsi="宋体" w:eastAsia="宋体" w:cs="宋体"/>
          <w:color w:val="0000FF"/>
          <w:highlight w:val="none"/>
        </w:rPr>
        <w:t>,</w:t>
      </w:r>
      <w:r>
        <w:rPr>
          <w:rFonts w:hint="eastAsia"/>
          <w:color w:val="0000FF"/>
          <w:highlight w:val="none"/>
        </w:rPr>
        <w:t>约占金沙江景区面积（12605.26hm²)的0.</w:t>
      </w:r>
      <w:r>
        <w:rPr>
          <w:rFonts w:hint="eastAsia"/>
          <w:color w:val="0000FF"/>
          <w:highlight w:val="none"/>
          <w:lang w:val="en-US" w:eastAsia="zh-CN"/>
        </w:rPr>
        <w:t>01</w:t>
      </w:r>
      <w:r>
        <w:rPr>
          <w:rFonts w:hint="eastAsia"/>
          <w:color w:val="0000FF"/>
          <w:highlight w:val="none"/>
        </w:rPr>
        <w:t>%，约占元谋风景名胜区总面积（15859.38hm²)的</w:t>
      </w:r>
      <w:r>
        <w:rPr>
          <w:rFonts w:hint="eastAsia"/>
          <w:color w:val="0000FF"/>
          <w:highlight w:val="none"/>
          <w:lang w:val="en-US" w:eastAsia="zh-CN"/>
        </w:rPr>
        <w:t>0.009</w:t>
      </w:r>
      <w:r>
        <w:rPr>
          <w:rFonts w:hint="eastAsia"/>
          <w:color w:val="0000FF"/>
          <w:highlight w:val="none"/>
        </w:rPr>
        <w:t>%。工程建设不会造成风景区内自然景观的范围分布、物种数量变化，仅造成金沙江</w:t>
      </w:r>
      <w:r>
        <w:rPr>
          <w:rFonts w:hint="eastAsia"/>
          <w:color w:val="0000FF"/>
          <w:highlight w:val="none"/>
          <w:lang w:eastAsia="zh-CN"/>
        </w:rPr>
        <w:t>景区一般影响区边缘山谷地区</w:t>
      </w:r>
      <w:r>
        <w:rPr>
          <w:rFonts w:hint="eastAsia"/>
          <w:color w:val="0000FF"/>
          <w:highlight w:val="none"/>
        </w:rPr>
        <w:t>的视觉影响。因此，项目建设对自然景观稳定性影响轻微。</w:t>
      </w:r>
    </w:p>
    <w:p>
      <w:pPr>
        <w:shd w:val="clear"/>
        <w:rPr>
          <w:rFonts w:hint="eastAsia" w:ascii="Times New Roman" w:hAnsi="Times New Roman" w:cs="Times New Roman"/>
          <w:color w:val="0000FF"/>
          <w:sz w:val="24"/>
          <w:szCs w:val="24"/>
          <w:lang w:val="en-US" w:eastAsia="zh-CN"/>
        </w:rPr>
      </w:pPr>
      <w:r>
        <w:rPr>
          <w:rFonts w:hint="eastAsia"/>
          <w:color w:val="0000FF"/>
          <w:highlight w:val="none"/>
          <w:lang w:val="en-US" w:eastAsia="zh-CN"/>
        </w:rPr>
        <w:t>c</w:t>
      </w:r>
      <w:r>
        <w:rPr>
          <w:rFonts w:hint="eastAsia"/>
          <w:color w:val="0000FF"/>
          <w:highlight w:val="none"/>
          <w:lang w:eastAsia="zh-CN"/>
        </w:rPr>
        <w:t>、</w:t>
      </w:r>
      <w:r>
        <w:rPr>
          <w:rFonts w:hint="eastAsia"/>
          <w:color w:val="0000FF"/>
          <w:highlight w:val="none"/>
        </w:rPr>
        <w:t>优美性影响分析</w:t>
      </w:r>
      <w:r>
        <w:rPr>
          <w:rFonts w:hint="eastAsia"/>
          <w:color w:val="0000FF"/>
          <w:highlight w:val="none"/>
          <w:lang w:eastAsia="zh-CN"/>
        </w:rPr>
        <w:t>：</w:t>
      </w:r>
      <w:r>
        <w:rPr>
          <w:rFonts w:hint="eastAsia" w:ascii="Times New Roman" w:hAnsi="Times New Roman" w:cs="Times New Roman"/>
          <w:color w:val="0000FF"/>
          <w:sz w:val="24"/>
          <w:szCs w:val="24"/>
          <w:lang w:val="en-US" w:eastAsia="zh-CN"/>
        </w:rPr>
        <w:t>工程影响区为金沙江景区一般影响区边缘山谷区，从大尺度上看，对景点的分割、视觉廊道影响轻微。</w:t>
      </w:r>
    </w:p>
    <w:p>
      <w:pPr>
        <w:shd w:val="clear"/>
        <w:rPr>
          <w:rFonts w:hint="eastAsia" w:ascii="Times New Roman" w:hAnsi="Times New Roman" w:cs="Times New Roman"/>
          <w:color w:val="0000FF"/>
          <w:sz w:val="24"/>
          <w:szCs w:val="24"/>
          <w:lang w:val="en-US" w:eastAsia="zh-CN"/>
        </w:rPr>
      </w:pPr>
      <w:r>
        <w:rPr>
          <w:rFonts w:hint="eastAsia"/>
          <w:color w:val="0000FF"/>
          <w:highlight w:val="none"/>
          <w:lang w:val="en-US" w:eastAsia="zh-CN"/>
        </w:rPr>
        <w:t>d</w:t>
      </w:r>
      <w:r>
        <w:rPr>
          <w:rFonts w:hint="eastAsia"/>
          <w:color w:val="0000FF"/>
          <w:highlight w:val="none"/>
          <w:lang w:eastAsia="zh-CN"/>
        </w:rPr>
        <w:t>、</w:t>
      </w:r>
      <w:r>
        <w:rPr>
          <w:rFonts w:hint="eastAsia"/>
          <w:color w:val="0000FF"/>
          <w:highlight w:val="none"/>
        </w:rPr>
        <w:t>敏感度影响分析</w:t>
      </w:r>
      <w:r>
        <w:rPr>
          <w:rFonts w:hint="eastAsia"/>
          <w:color w:val="0000FF"/>
          <w:highlight w:val="none"/>
          <w:lang w:eastAsia="zh-CN"/>
        </w:rPr>
        <w:t>：</w:t>
      </w:r>
      <w:r>
        <w:rPr>
          <w:rFonts w:hint="eastAsia" w:ascii="Times New Roman" w:hAnsi="Times New Roman" w:cs="Times New Roman"/>
          <w:color w:val="0000FF"/>
          <w:sz w:val="24"/>
          <w:szCs w:val="24"/>
          <w:lang w:val="en-US" w:eastAsia="zh-CN"/>
        </w:rPr>
        <w:t>工程涉及风景名胜区的区域生物多样性较低，不涉及重点保护动植物。因此，本项目的建设不会对风景名胜区内景观环境灵敏度的物种及其生境产生影响，对区域指示环境特征的自然景观影响变化轻微。</w:t>
      </w:r>
    </w:p>
    <w:p>
      <w:pPr>
        <w:shd w:val="clear"/>
        <w:rPr>
          <w:rFonts w:hint="eastAsia" w:ascii="Times New Roman" w:hAnsi="Times New Roman" w:cs="Times New Roman"/>
          <w:color w:val="0000FF"/>
          <w:sz w:val="24"/>
          <w:szCs w:val="24"/>
          <w:lang w:val="en-US" w:eastAsia="zh-CN"/>
        </w:rPr>
      </w:pPr>
      <w:r>
        <w:rPr>
          <w:rFonts w:hint="eastAsia"/>
          <w:color w:val="0000FF"/>
          <w:highlight w:val="none"/>
          <w:lang w:val="en-US" w:eastAsia="zh-CN"/>
        </w:rPr>
        <w:t>e</w:t>
      </w:r>
      <w:r>
        <w:rPr>
          <w:rFonts w:hint="eastAsia"/>
          <w:color w:val="0000FF"/>
          <w:highlight w:val="none"/>
          <w:lang w:eastAsia="zh-CN"/>
        </w:rPr>
        <w:t>、</w:t>
      </w:r>
      <w:r>
        <w:rPr>
          <w:rFonts w:hint="eastAsia" w:ascii="Times New Roman" w:hAnsi="Times New Roman" w:cs="Times New Roman"/>
          <w:color w:val="0000FF"/>
          <w:sz w:val="24"/>
          <w:szCs w:val="24"/>
          <w:lang w:val="en-US" w:eastAsia="zh-CN"/>
        </w:rPr>
        <w:t>变化率分析</w:t>
      </w:r>
      <w:r>
        <w:rPr>
          <w:rFonts w:hint="eastAsia" w:cs="Times New Roman"/>
          <w:color w:val="0000FF"/>
          <w:sz w:val="24"/>
          <w:szCs w:val="24"/>
          <w:lang w:val="en-US" w:eastAsia="zh-CN"/>
        </w:rPr>
        <w:t>：</w:t>
      </w:r>
      <w:r>
        <w:rPr>
          <w:rFonts w:hint="eastAsia" w:ascii="Times New Roman" w:hAnsi="Times New Roman" w:cs="Times New Roman"/>
          <w:color w:val="0000FF"/>
          <w:sz w:val="24"/>
          <w:szCs w:val="24"/>
          <w:lang w:val="en-US" w:eastAsia="zh-CN"/>
        </w:rPr>
        <w:t>工程为点状基础设施项目，不会引起自然景观单元数量密度和类型的较大变化，影响轻微。</w:t>
      </w:r>
    </w:p>
    <w:p>
      <w:pPr>
        <w:bidi w:val="0"/>
        <w:ind w:firstLine="480" w:firstLineChars="200"/>
        <w:rPr>
          <w:rFonts w:hint="eastAsia"/>
          <w:color w:val="0000FF"/>
          <w:highlight w:val="none"/>
        </w:rPr>
      </w:pPr>
      <w:r>
        <w:rPr>
          <w:rFonts w:hint="eastAsia"/>
          <w:color w:val="0000FF"/>
          <w:highlight w:val="none"/>
          <w:lang w:val="en-US" w:eastAsia="zh-CN"/>
        </w:rPr>
        <w:t>f</w:t>
      </w:r>
      <w:r>
        <w:rPr>
          <w:rFonts w:hint="eastAsia"/>
          <w:color w:val="0000FF"/>
          <w:highlight w:val="none"/>
          <w:lang w:eastAsia="zh-CN"/>
        </w:rPr>
        <w:t>、</w:t>
      </w:r>
      <w:r>
        <w:rPr>
          <w:rFonts w:hint="eastAsia"/>
          <w:color w:val="0000FF"/>
          <w:highlight w:val="none"/>
        </w:rPr>
        <w:t>项生态服务价值影响分析</w:t>
      </w:r>
      <w:r>
        <w:rPr>
          <w:rFonts w:hint="eastAsia"/>
          <w:color w:val="0000FF"/>
          <w:highlight w:val="none"/>
          <w:lang w:eastAsia="zh-CN"/>
        </w:rPr>
        <w:t>：</w:t>
      </w:r>
      <w:r>
        <w:rPr>
          <w:rFonts w:hint="eastAsia"/>
          <w:color w:val="0000FF"/>
          <w:highlight w:val="none"/>
        </w:rPr>
        <w:t>目在施工过程中产生的废水随意排放、工程运输、工程开挖等可能会对水体环境、大气环境有一些影响。但项目位于风景名胜区内工程量不大、工程施工工艺成熟、工期较短，不会对风景名胜区内的生态服务价值造成严重的、不可逆转的改变，属于轻微影响。</w:t>
      </w:r>
    </w:p>
    <w:p>
      <w:pPr>
        <w:shd w:val="clear"/>
        <w:rPr>
          <w:rFonts w:hint="default"/>
          <w:color w:val="auto"/>
          <w:highlight w:val="none"/>
          <w:lang w:val="en-US" w:eastAsia="zh-CN"/>
        </w:rPr>
      </w:pPr>
      <w:r>
        <w:rPr>
          <w:rFonts w:hint="eastAsia" w:cs="Times New Roman"/>
          <w:color w:val="auto"/>
          <w:sz w:val="24"/>
          <w:szCs w:val="24"/>
          <w:lang w:val="en-US" w:eastAsia="zh-CN"/>
        </w:rPr>
        <w:t>因此工程占用风景名胜区影响较小，且</w:t>
      </w:r>
      <w:r>
        <w:rPr>
          <w:rFonts w:hint="eastAsia" w:ascii="Times New Roman" w:hAnsi="Times New Roman" w:cs="Times New Roman"/>
          <w:color w:val="auto"/>
          <w:sz w:val="24"/>
          <w:szCs w:val="24"/>
          <w:lang w:val="en-US" w:eastAsia="zh-CN"/>
        </w:rPr>
        <w:t>建设单位委托第三方单位编制了《元谋县姜驿中型灌区续建配套与节水改造项目涉及元谋风景名胜区方案选址唯一性和不可避让性论证报告》、《元谋县姜驿中型灌区续建配套与节水改造项目涉及元谋风景名胜区方案选址影响评价报告》，并于2024年2月26日取得了《楚雄州林业和草原局关于元谋县姜驿中型灌区续建配套与节水改造项目涉及元谋风景名胜区方案选址的意见</w:t>
      </w:r>
      <w:r>
        <w:rPr>
          <w:rFonts w:hint="eastAsia" w:ascii="Times New Roman" w:hAnsi="Times New Roman" w:cs="Times New Roman"/>
          <w:color w:val="auto"/>
          <w:sz w:val="24"/>
          <w:szCs w:val="24"/>
          <w:highlight w:val="none"/>
          <w:lang w:val="en-US" w:eastAsia="zh-CN"/>
        </w:rPr>
        <w:t>》（附件6）。根据选址意见：项目工程无法完全避让元谋风景名胜区，目工程在空间上对元谋风景名胜区具有不可避让性和唯一性；工程影响区位于风景名胜区金沙江景区的一般景区，建设项目对风景名胜区生态环境影响整体可控。</w:t>
      </w:r>
    </w:p>
    <w:p>
      <w:pPr>
        <w:keepNext w:val="0"/>
        <w:keepLines w:val="0"/>
        <w:pageBreakBefore w:val="0"/>
        <w:widowControl w:val="0"/>
        <w:shd w:val="clear"/>
        <w:kinsoku/>
        <w:wordWrap/>
        <w:overflowPunct/>
        <w:topLinePunct w:val="0"/>
        <w:autoSpaceDE/>
        <w:autoSpaceDN/>
        <w:bidi w:val="0"/>
        <w:adjustRightInd/>
        <w:snapToGrid w:val="0"/>
        <w:ind w:firstLine="480" w:firstLineChars="200"/>
        <w:textAlignment w:val="auto"/>
        <w:rPr>
          <w:rFonts w:hint="eastAsia"/>
          <w:color w:val="auto"/>
          <w:highlight w:val="none"/>
          <w:lang w:val="en-US" w:eastAsia="zh-CN"/>
        </w:rPr>
      </w:pPr>
      <w:r>
        <w:rPr>
          <w:rFonts w:hint="eastAsia"/>
          <w:color w:val="auto"/>
          <w:highlight w:val="none"/>
          <w:lang w:val="en-US" w:eastAsia="zh-CN"/>
        </w:rPr>
        <w:t>②占用生态红线：</w:t>
      </w:r>
    </w:p>
    <w:p>
      <w:pPr>
        <w:rPr>
          <w:rFonts w:hint="default"/>
          <w:color w:val="0000FF"/>
          <w:lang w:val="en-US" w:eastAsia="zh-CN"/>
        </w:rPr>
      </w:pPr>
      <w:r>
        <w:rPr>
          <w:rFonts w:hint="eastAsia"/>
          <w:color w:val="0000FF"/>
          <w:lang w:val="en-US" w:eastAsia="zh-CN"/>
        </w:rPr>
        <w:t>a、施工期</w:t>
      </w:r>
    </w:p>
    <w:p>
      <w:pPr>
        <w:pStyle w:val="35"/>
        <w:rPr>
          <w:rFonts w:hint="default"/>
          <w:b w:val="0"/>
          <w:bCs w:val="0"/>
          <w:color w:val="0000FF"/>
          <w:lang w:val="en-US" w:eastAsia="zh-CN"/>
        </w:rPr>
      </w:pPr>
      <w:r>
        <w:rPr>
          <w:rFonts w:hint="default"/>
          <w:b w:val="0"/>
          <w:bCs w:val="0"/>
          <w:color w:val="0000FF"/>
          <w:lang w:val="en-US" w:eastAsia="zh-CN"/>
        </w:rPr>
        <w:t>根据调查，项目生态红线内的施工区未发现大型陆生野生动物分布，未发现局限分布于项目范围区的特有属、种，也无国家级和云南省重点保护种类。附近的野生动物主要是常见的啮齿类、两栖类、爬行类，以及麻雀等常见鸟类，而且多数种类对人类干扰有一定适应。由于施工的干扰，可能会导致这些动物向邻近地区迁移，远离施工区范围，对动物影响较小。</w:t>
      </w:r>
    </w:p>
    <w:p>
      <w:pPr>
        <w:pStyle w:val="35"/>
        <w:rPr>
          <w:rFonts w:hint="default"/>
          <w:b w:val="0"/>
          <w:bCs w:val="0"/>
          <w:color w:val="0000FF"/>
          <w:lang w:val="en-US" w:eastAsia="zh-CN"/>
        </w:rPr>
      </w:pPr>
      <w:r>
        <w:rPr>
          <w:rFonts w:hint="default"/>
          <w:b w:val="0"/>
          <w:bCs w:val="0"/>
          <w:color w:val="0000FF"/>
          <w:lang w:val="en-US" w:eastAsia="zh-CN"/>
        </w:rPr>
        <w:t>工程建设会扰动原有地貌、占压土地，破坏植被，会造成一定的水土流失。工程在施工严格限制施工范围、对临时堆土及时进行围挡覆盖，并及时回填进一步减少了水土流失量。</w:t>
      </w:r>
    </w:p>
    <w:p>
      <w:pPr>
        <w:pStyle w:val="35"/>
        <w:rPr>
          <w:rFonts w:hint="default"/>
          <w:b w:val="0"/>
          <w:bCs w:val="0"/>
          <w:color w:val="0000FF"/>
          <w:lang w:val="en-US" w:eastAsia="zh-CN"/>
        </w:rPr>
      </w:pPr>
      <w:r>
        <w:rPr>
          <w:rFonts w:hint="default"/>
          <w:b w:val="0"/>
          <w:bCs w:val="0"/>
          <w:color w:val="0000FF"/>
          <w:lang w:val="en-US" w:eastAsia="zh-CN"/>
        </w:rPr>
        <w:t>工程中的管道占用生态红线，该部分工程施工期产生的废水主要为管道试压废水及施工人员清洗废水，施工清洗废水采用废水收集桶收集、管道试压废水回用于场地洒水降尘；运营期无废水产生。因此，项目占用生态红线部分工程施工期废水不外排，运营期不产生废水，对生态红线的影响较小。</w:t>
      </w:r>
    </w:p>
    <w:p>
      <w:pPr>
        <w:rPr>
          <w:rFonts w:hint="default"/>
          <w:b w:val="0"/>
          <w:bCs w:val="0"/>
          <w:color w:val="0000FF"/>
          <w:lang w:val="en-US" w:eastAsia="zh-CN"/>
        </w:rPr>
      </w:pPr>
      <w:r>
        <w:rPr>
          <w:rFonts w:hint="eastAsia"/>
          <w:b w:val="0"/>
          <w:bCs w:val="0"/>
          <w:color w:val="0000FF"/>
          <w:lang w:val="en-US" w:eastAsia="zh-CN"/>
        </w:rPr>
        <w:t>b、运行期</w:t>
      </w:r>
    </w:p>
    <w:p>
      <w:pPr>
        <w:pStyle w:val="35"/>
        <w:rPr>
          <w:rFonts w:hint="eastAsia"/>
          <w:b w:val="0"/>
          <w:bCs w:val="0"/>
          <w:color w:val="0000FF"/>
          <w:lang w:val="en-US" w:eastAsia="zh-CN"/>
        </w:rPr>
      </w:pPr>
      <w:r>
        <w:rPr>
          <w:rFonts w:hint="eastAsia"/>
          <w:b w:val="0"/>
          <w:bCs w:val="0"/>
          <w:color w:val="0000FF"/>
          <w:lang w:val="en-US" w:eastAsia="zh-CN"/>
        </w:rPr>
        <w:t>本项目为灌溉工程，不涉及永久占用生态保护红线。运营期管道临时占用生态红线部分将进行恢复，不会造成物种阻隔，施工扰动的植被植物也将渐渐恢复，因此，工程运行期对生态保护红线的影响较小。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eastAsia"/>
          <w:color w:val="auto"/>
          <w:highlight w:val="none"/>
          <w:shd w:val="clear"/>
          <w:vertAlign w:val="baseline"/>
          <w:lang w:val="en-US" w:eastAsia="zh-CN"/>
        </w:rPr>
      </w:pPr>
      <w:r>
        <w:rPr>
          <w:rFonts w:hint="eastAsia" w:ascii="Times New Roman" w:hAnsi="Times New Roman" w:cs="Times New Roman"/>
          <w:color w:val="0000FF"/>
          <w:sz w:val="24"/>
          <w:szCs w:val="24"/>
          <w:highlight w:val="none"/>
          <w:lang w:val="en-US" w:eastAsia="zh-CN"/>
        </w:rPr>
        <w:t>本工程</w:t>
      </w:r>
      <w:r>
        <w:rPr>
          <w:rFonts w:hint="default" w:ascii="Times New Roman" w:hAnsi="Times New Roman" w:cs="Times New Roman"/>
          <w:b w:val="0"/>
          <w:bCs w:val="0"/>
          <w:color w:val="0000FF"/>
          <w:sz w:val="24"/>
          <w:szCs w:val="24"/>
          <w:highlight w:val="none"/>
          <w:lang w:val="en-US" w:eastAsia="zh-CN"/>
        </w:rPr>
        <w:t>属于允许对生态功能不造成破坏的有限人为活动，符合《关于在国土空间规划中统筹划定落实三条控制线的指导意见》；本工程占用生态红线的工程为管线工程，为临时占地，施工完成后经采取土地恢复、植被恢复后对生态红线影响较小，符合《关于划定并严守生态保护红线的若干意见》中</w:t>
      </w:r>
      <w:r>
        <w:rPr>
          <w:rFonts w:hint="eastAsia" w:ascii="Times New Roman" w:hAnsi="Times New Roman" w:cs="Times New Roman"/>
          <w:b w:val="0"/>
          <w:bCs w:val="0"/>
          <w:color w:val="0000FF"/>
          <w:sz w:val="24"/>
          <w:szCs w:val="24"/>
          <w:highlight w:val="none"/>
          <w:lang w:val="en-US" w:eastAsia="zh-CN"/>
        </w:rPr>
        <w:t>“</w:t>
      </w:r>
      <w:r>
        <w:rPr>
          <w:rFonts w:hint="default" w:ascii="Times New Roman" w:hAnsi="Times New Roman" w:cs="Times New Roman"/>
          <w:b w:val="0"/>
          <w:bCs w:val="0"/>
          <w:color w:val="0000FF"/>
          <w:sz w:val="24"/>
          <w:szCs w:val="24"/>
          <w:highlight w:val="none"/>
          <w:lang w:val="en-US" w:eastAsia="zh-CN"/>
        </w:rPr>
        <w:t>生态功能不降低、面积不减少、性质不改变</w:t>
      </w:r>
      <w:r>
        <w:rPr>
          <w:rFonts w:hint="eastAsia" w:ascii="Times New Roman" w:hAnsi="Times New Roman" w:cs="Times New Roman"/>
          <w:b w:val="0"/>
          <w:bCs w:val="0"/>
          <w:color w:val="0000FF"/>
          <w:sz w:val="24"/>
          <w:szCs w:val="24"/>
          <w:highlight w:val="none"/>
          <w:lang w:val="en-US" w:eastAsia="zh-CN"/>
        </w:rPr>
        <w:t>”</w:t>
      </w:r>
      <w:r>
        <w:rPr>
          <w:rFonts w:hint="default" w:ascii="Times New Roman" w:hAnsi="Times New Roman" w:cs="Times New Roman"/>
          <w:b w:val="0"/>
          <w:bCs w:val="0"/>
          <w:color w:val="0000FF"/>
          <w:sz w:val="24"/>
          <w:szCs w:val="24"/>
          <w:highlight w:val="none"/>
          <w:lang w:val="en-US" w:eastAsia="zh-CN"/>
        </w:rPr>
        <w:t>的要求。</w:t>
      </w:r>
      <w:r>
        <w:rPr>
          <w:rFonts w:hint="eastAsia" w:ascii="Times New Roman" w:hAnsi="Times New Roman" w:cs="Times New Roman"/>
          <w:b w:val="0"/>
          <w:bCs w:val="0"/>
          <w:color w:val="0000FF"/>
          <w:sz w:val="24"/>
          <w:szCs w:val="24"/>
          <w:highlight w:val="none"/>
          <w:lang w:val="en-US" w:eastAsia="zh-CN"/>
        </w:rPr>
        <w:t>总体来说，多生态保护红线的影响较小。</w:t>
      </w:r>
      <w:r>
        <w:rPr>
          <w:rFonts w:hint="eastAsia"/>
          <w:color w:val="auto"/>
          <w:highlight w:val="none"/>
          <w:lang w:val="en-US" w:eastAsia="zh-CN"/>
        </w:rPr>
        <w:t>且</w:t>
      </w:r>
      <w:r>
        <w:rPr>
          <w:rFonts w:hint="eastAsia"/>
          <w:color w:val="auto"/>
          <w:highlight w:val="none"/>
          <w:shd w:val="clear"/>
          <w:vertAlign w:val="baseline"/>
          <w:lang w:val="en-US" w:eastAsia="zh-CN"/>
        </w:rPr>
        <w:t>建设单位于2024年3月8日取得了“元谋县人民政府出具的关于项目为有限人为活动的认定意见”（附件5）：“经核实，项目工程施工内容不涉及新增建设用地，属于《云南省自然资源厅云南省生态环境厅云南省林业和草原局关于加强生态保护红线管理工作的通知》(云自然资(2023】98号)中有限人为活动准入目录中必须且无法避让、符合县级以上国土空间规划的线性基础设施。”</w:t>
      </w:r>
    </w:p>
    <w:p>
      <w:pPr>
        <w:keepNext w:val="0"/>
        <w:keepLines w:val="0"/>
        <w:widowControl/>
        <w:suppressLineNumbers w:val="0"/>
        <w:jc w:val="left"/>
        <w:rPr>
          <w:rFonts w:hint="eastAsia"/>
          <w:color w:val="auto"/>
          <w:highlight w:val="none"/>
          <w:lang w:val="en-US" w:eastAsia="zh-CN"/>
        </w:rPr>
      </w:pPr>
      <w:r>
        <w:rPr>
          <w:rFonts w:hint="eastAsia"/>
          <w:color w:val="auto"/>
          <w:highlight w:val="none"/>
          <w:lang w:val="en-US" w:eastAsia="zh-CN"/>
        </w:rPr>
        <w:t>③占用公益林：</w:t>
      </w:r>
    </w:p>
    <w:p>
      <w:pPr>
        <w:bidi w:val="0"/>
        <w:rPr>
          <w:rFonts w:hint="eastAsia"/>
          <w:color w:val="0000FF"/>
          <w:highlight w:val="none"/>
          <w:lang w:val="en-US" w:eastAsia="zh-CN"/>
        </w:rPr>
      </w:pPr>
      <w:r>
        <w:rPr>
          <w:rFonts w:hint="eastAsia"/>
          <w:color w:val="0000FF"/>
          <w:highlight w:val="none"/>
          <w:lang w:val="en-US" w:eastAsia="zh-CN"/>
        </w:rPr>
        <w:t>根据查询，本项目占用公益林部分主要为管道，在施工过程中沿线的公益林将会遭到破坏，在施工过程中加强施工管理，尽量不占或少占林地，秉承节约使用林地的原则科学合理施工。按照《中央财政森林生态效益补偿基金管理办法》的规定进行补偿，并由地方林业部门做好生态公益林的占补平衡工作，缴纳森林植被恢复费，做好生态公益林的占补平衡工作的基础上，可减轻工程占地对生态公益林的影响。</w:t>
      </w:r>
    </w:p>
    <w:p>
      <w:pPr>
        <w:keepNext w:val="0"/>
        <w:keepLines w:val="0"/>
        <w:widowControl/>
        <w:suppressLineNumbers w:val="0"/>
        <w:jc w:val="left"/>
        <w:rPr>
          <w:rFonts w:hint="default" w:eastAsia="宋体"/>
          <w:color w:val="auto"/>
          <w:lang w:val="en-US" w:eastAsia="zh-CN"/>
        </w:rPr>
      </w:pPr>
      <w:r>
        <w:rPr>
          <w:rFonts w:hint="eastAsia"/>
          <w:color w:val="auto"/>
          <w:highlight w:val="none"/>
          <w:lang w:val="en-US" w:eastAsia="zh-CN"/>
        </w:rPr>
        <w:t>根据《国家级公益林管理办法》和《云南省地方公益林管理办法》，</w:t>
      </w:r>
      <w:r>
        <w:rPr>
          <w:rFonts w:hint="eastAsia"/>
          <w:color w:val="auto"/>
          <w:lang w:val="en-US" w:eastAsia="zh-CN"/>
        </w:rPr>
        <w:t>建设单位已委托</w:t>
      </w:r>
      <w:r>
        <w:rPr>
          <w:rFonts w:hint="default"/>
          <w:color w:val="auto"/>
          <w:lang w:val="en-US" w:eastAsia="zh-CN"/>
        </w:rPr>
        <w:t>云南木嵘林业勘察设计有限公司</w:t>
      </w:r>
      <w:r>
        <w:rPr>
          <w:rFonts w:hint="eastAsia"/>
          <w:color w:val="auto"/>
          <w:lang w:val="en-US" w:eastAsia="zh-CN"/>
        </w:rPr>
        <w:t>编制林勘报告，目前正组织报送至楚雄州林业和草原局中</w:t>
      </w:r>
      <w:r>
        <w:rPr>
          <w:rFonts w:hint="eastAsia"/>
          <w:color w:val="auto"/>
          <w:highlight w:val="none"/>
          <w:lang w:val="en-US" w:eastAsia="zh-CN"/>
        </w:rPr>
        <w:t>。建设单位按照《国家级公益林管理办法》和《云南省地方公益林管理办法》的要求，依法办理用地审核和林木采伐审批手续，项目占用公益林不存在制约因素。</w:t>
      </w:r>
    </w:p>
    <w:p>
      <w:pPr>
        <w:rPr>
          <w:rFonts w:hint="default" w:ascii="Times New Roman" w:hAnsi="Times New Roman" w:cs="Times New Roman"/>
          <w:b w:val="0"/>
          <w:bCs w:val="0"/>
          <w:color w:val="0000FF"/>
          <w:sz w:val="24"/>
          <w:szCs w:val="24"/>
          <w:highlight w:val="none"/>
          <w:lang w:val="en-US" w:eastAsia="zh-CN"/>
        </w:rPr>
      </w:pPr>
      <w:r>
        <w:rPr>
          <w:rStyle w:val="61"/>
          <w:rFonts w:hint="eastAsia" w:ascii="Times New Roman" w:hAnsi="Times New Roman" w:eastAsia="宋体"/>
          <w:b w:val="0"/>
          <w:bCs w:val="0"/>
          <w:i w:val="0"/>
          <w:caps w:val="0"/>
          <w:color w:val="auto"/>
          <w:spacing w:val="0"/>
          <w:w w:val="100"/>
          <w:kern w:val="2"/>
          <w:sz w:val="24"/>
          <w:szCs w:val="24"/>
          <w:lang w:val="en-US" w:eastAsia="zh-CN" w:bidi="ar-SA"/>
        </w:rPr>
        <w:t>④占用基本农田：</w:t>
      </w:r>
      <w:r>
        <w:rPr>
          <w:rFonts w:hint="eastAsia" w:ascii="Times New Roman" w:hAnsi="Times New Roman" w:cs="Times New Roman"/>
          <w:b w:val="0"/>
          <w:bCs w:val="0"/>
          <w:color w:val="0000FF"/>
          <w:sz w:val="24"/>
          <w:szCs w:val="24"/>
          <w:highlight w:val="none"/>
          <w:lang w:val="en-US" w:eastAsia="zh-CN"/>
        </w:rPr>
        <w:t>本项目管道和施工临时便道占用永久基本农田。根据叠图，</w:t>
      </w:r>
      <w:r>
        <w:rPr>
          <w:rStyle w:val="61"/>
          <w:rFonts w:hint="eastAsia" w:ascii="Times New Roman" w:hAnsi="Times New Roman" w:eastAsia="宋体"/>
          <w:b w:val="0"/>
          <w:bCs w:val="0"/>
          <w:i w:val="0"/>
          <w:caps w:val="0"/>
          <w:color w:val="0000FF"/>
          <w:spacing w:val="0"/>
          <w:w w:val="100"/>
          <w:kern w:val="2"/>
          <w:sz w:val="24"/>
          <w:szCs w:val="24"/>
          <w:lang w:val="en-US" w:eastAsia="zh-CN" w:bidi="ar-SA"/>
        </w:rPr>
        <w:t>管道</w:t>
      </w:r>
      <w:r>
        <w:rPr>
          <w:rFonts w:hint="eastAsia"/>
          <w:color w:val="0000FF"/>
          <w:highlight w:val="none"/>
          <w:lang w:val="en-US" w:eastAsia="zh-CN"/>
        </w:rPr>
        <w:t>占用基本农田面积为25500m</w:t>
      </w:r>
      <w:r>
        <w:rPr>
          <w:rFonts w:hint="eastAsia"/>
          <w:color w:val="0000FF"/>
          <w:highlight w:val="none"/>
          <w:vertAlign w:val="superscript"/>
          <w:lang w:val="en-US" w:eastAsia="zh-CN"/>
        </w:rPr>
        <w:t>2</w:t>
      </w:r>
      <w:r>
        <w:rPr>
          <w:rFonts w:hint="eastAsia"/>
          <w:color w:val="0000FF"/>
          <w:highlight w:val="none"/>
          <w:vertAlign w:val="baseline"/>
          <w:lang w:val="en-US" w:eastAsia="zh-CN"/>
        </w:rPr>
        <w:t>；</w:t>
      </w:r>
      <w:r>
        <w:rPr>
          <w:rFonts w:hint="eastAsia"/>
          <w:color w:val="0000FF"/>
          <w:highlight w:val="none"/>
          <w:lang w:eastAsia="zh-CN"/>
        </w:rPr>
        <w:t>施工便道</w:t>
      </w:r>
      <w:r>
        <w:rPr>
          <w:rFonts w:hint="eastAsia"/>
          <w:color w:val="0000FF"/>
          <w:highlight w:val="none"/>
          <w:lang w:val="en-US" w:eastAsia="zh-CN"/>
        </w:rPr>
        <w:t>占用基本农田面积为3967.30m</w:t>
      </w:r>
      <w:r>
        <w:rPr>
          <w:rFonts w:hint="eastAsia"/>
          <w:color w:val="0000FF"/>
          <w:highlight w:val="none"/>
          <w:vertAlign w:val="superscript"/>
          <w:lang w:val="en-US" w:eastAsia="zh-CN"/>
        </w:rPr>
        <w:t>2</w:t>
      </w:r>
      <w:r>
        <w:rPr>
          <w:rFonts w:hint="eastAsia"/>
          <w:color w:val="0000FF"/>
          <w:highlight w:val="none"/>
          <w:lang w:val="en-US" w:eastAsia="zh-CN"/>
        </w:rPr>
        <w:t>。</w:t>
      </w:r>
    </w:p>
    <w:p>
      <w:pPr>
        <w:pStyle w:val="35"/>
        <w:rPr>
          <w:rStyle w:val="61"/>
          <w:rFonts w:ascii="Times New Roman" w:hAnsi="Times New Roman" w:eastAsia="宋体"/>
          <w:b w:val="0"/>
          <w:bCs w:val="0"/>
          <w:i w:val="0"/>
          <w:caps w:val="0"/>
          <w:color w:val="auto"/>
          <w:spacing w:val="0"/>
          <w:w w:val="100"/>
          <w:kern w:val="2"/>
          <w:sz w:val="24"/>
          <w:szCs w:val="24"/>
          <w:lang w:val="en-US" w:eastAsia="zh-CN" w:bidi="ar-SA"/>
        </w:rPr>
      </w:pPr>
      <w:r>
        <w:rPr>
          <w:rFonts w:hint="eastAsia" w:ascii="Times New Roman" w:hAnsi="Times New Roman" w:cs="Times New Roman"/>
          <w:b w:val="0"/>
          <w:bCs w:val="0"/>
          <w:color w:val="0000FF"/>
          <w:sz w:val="24"/>
          <w:szCs w:val="24"/>
          <w:highlight w:val="none"/>
          <w:lang w:val="en-US" w:eastAsia="zh-CN"/>
        </w:rPr>
        <w:t>工程管道为埋管，主要工艺为场地清理、管沟开挖、管道焊接、下管、清管试压、回填；施工便道场为单车道，路基宽4.5m，路面宽3.5m，为泥结石路面。施工期间用于管道的施工及施工便道的修建、施工。碾压、占用永久基本农田影响了正常耕作。施工结束后，建设单位通过耕地耕作层土壤剥离再利用等工程技术措施，减少对耕作层的破坏，恢复耕种条件，不影响基本农田的正常耕作。项目建成后向片区农田供水灌溉，有利于改善缺水的现状，对基本农田有利。</w:t>
      </w:r>
    </w:p>
    <w:p>
      <w:pPr>
        <w:pStyle w:val="4"/>
        <w:bidi w:val="0"/>
        <w:rPr>
          <w:rFonts w:hint="default"/>
          <w:color w:val="auto"/>
          <w:lang w:val="en-US" w:eastAsia="zh-CN"/>
        </w:rPr>
      </w:pPr>
      <w:r>
        <w:rPr>
          <w:rFonts w:hint="eastAsia"/>
          <w:color w:val="auto"/>
          <w:lang w:val="en-US" w:eastAsia="zh-CN"/>
        </w:rPr>
        <w:t>运营期影响源分析</w:t>
      </w:r>
    </w:p>
    <w:p>
      <w:pPr>
        <w:pStyle w:val="5"/>
        <w:numPr>
          <w:ilvl w:val="3"/>
          <w:numId w:val="15"/>
        </w:numPr>
        <w:bidi w:val="0"/>
        <w:ind w:left="480" w:leftChars="0" w:firstLineChars="0"/>
        <w:rPr>
          <w:rFonts w:hint="default"/>
          <w:color w:val="auto"/>
          <w:lang w:eastAsia="zh-CN"/>
        </w:rPr>
      </w:pPr>
      <w:r>
        <w:rPr>
          <w:rFonts w:hint="eastAsia"/>
          <w:color w:val="auto"/>
          <w:lang w:val="en-US" w:eastAsia="zh-CN"/>
        </w:rPr>
        <w:t>废气</w:t>
      </w:r>
    </w:p>
    <w:p>
      <w:pPr>
        <w:bidi w:val="0"/>
        <w:rPr>
          <w:rFonts w:hint="default"/>
          <w:color w:val="0000FF"/>
          <w:lang w:eastAsia="zh-CN"/>
        </w:rPr>
      </w:pPr>
      <w:r>
        <w:rPr>
          <w:rFonts w:hint="default"/>
          <w:color w:val="0000FF"/>
          <w:lang w:eastAsia="zh-CN"/>
        </w:rPr>
        <w:t>本项目运营期产生的废气主要是食堂油烟，本项目运营后</w:t>
      </w:r>
      <w:r>
        <w:rPr>
          <w:rFonts w:hint="eastAsia"/>
          <w:color w:val="0000FF"/>
          <w:lang w:val="en-US" w:eastAsia="zh-CN"/>
        </w:rPr>
        <w:t>管理所的</w:t>
      </w:r>
      <w:r>
        <w:rPr>
          <w:rFonts w:hint="default"/>
          <w:color w:val="0000FF"/>
          <w:lang w:eastAsia="zh-CN"/>
        </w:rPr>
        <w:t>管理人员</w:t>
      </w:r>
      <w:r>
        <w:rPr>
          <w:rFonts w:hint="eastAsia"/>
          <w:color w:val="0000FF"/>
          <w:lang w:val="en-US" w:eastAsia="zh-CN"/>
        </w:rPr>
        <w:t>及平均到访人员</w:t>
      </w:r>
      <w:r>
        <w:rPr>
          <w:rFonts w:hint="default"/>
          <w:color w:val="0000FF"/>
          <w:lang w:eastAsia="zh-CN"/>
        </w:rPr>
        <w:t>为</w:t>
      </w:r>
      <w:r>
        <w:rPr>
          <w:rFonts w:hint="eastAsia"/>
          <w:color w:val="0000FF"/>
          <w:lang w:val="en-US" w:eastAsia="zh-CN"/>
        </w:rPr>
        <w:t>10</w:t>
      </w:r>
      <w:r>
        <w:rPr>
          <w:rFonts w:hint="default"/>
          <w:color w:val="0000FF"/>
          <w:lang w:eastAsia="zh-CN"/>
        </w:rPr>
        <w:t>人。</w:t>
      </w:r>
      <w:r>
        <w:rPr>
          <w:rFonts w:hint="eastAsia"/>
          <w:color w:val="0000FF"/>
          <w:lang w:val="en-US" w:eastAsia="zh-CN"/>
        </w:rPr>
        <w:t>管理所</w:t>
      </w:r>
      <w:r>
        <w:rPr>
          <w:rFonts w:hint="default"/>
          <w:color w:val="0000FF"/>
          <w:lang w:eastAsia="zh-CN"/>
        </w:rPr>
        <w:t>内设有1个食堂，</w:t>
      </w:r>
      <w:r>
        <w:rPr>
          <w:rFonts w:hint="eastAsia"/>
          <w:color w:val="0000FF"/>
          <w:lang w:val="en-US" w:eastAsia="zh-CN"/>
        </w:rPr>
        <w:t>平均用餐人数约5人，</w:t>
      </w:r>
      <w:r>
        <w:rPr>
          <w:rFonts w:hint="default"/>
          <w:color w:val="0000FF"/>
          <w:lang w:eastAsia="zh-CN"/>
        </w:rPr>
        <w:t>提供两餐，使用清洁电能。人均用油量以30g/d计，则日耗油量为</w:t>
      </w:r>
      <w:r>
        <w:rPr>
          <w:rFonts w:hint="eastAsia"/>
          <w:color w:val="0000FF"/>
          <w:lang w:val="en-US" w:eastAsia="zh-CN"/>
        </w:rPr>
        <w:t>0.15</w:t>
      </w:r>
      <w:r>
        <w:rPr>
          <w:rFonts w:hint="default"/>
          <w:color w:val="0000FF"/>
          <w:lang w:eastAsia="zh-CN"/>
        </w:rPr>
        <w:t>kg。油的平均挥发量为总耗油量的2%~3%，本次环评取2.83%，则日产生油烟量</w:t>
      </w:r>
      <w:r>
        <w:rPr>
          <w:rFonts w:hint="eastAsia"/>
          <w:color w:val="0000FF"/>
          <w:lang w:val="en-US" w:eastAsia="zh-CN"/>
        </w:rPr>
        <w:t>0.0042</w:t>
      </w:r>
      <w:r>
        <w:rPr>
          <w:rFonts w:hint="default"/>
          <w:color w:val="0000FF"/>
          <w:lang w:eastAsia="zh-CN"/>
        </w:rPr>
        <w:t>kg/d。烹饪时间按4小时/日计，则项目油烟产生速率为</w:t>
      </w:r>
      <w:r>
        <w:rPr>
          <w:rFonts w:hint="eastAsia"/>
          <w:color w:val="0000FF"/>
          <w:lang w:val="en-US" w:eastAsia="zh-CN"/>
        </w:rPr>
        <w:t>0.0011</w:t>
      </w:r>
      <w:r>
        <w:rPr>
          <w:rFonts w:hint="default"/>
          <w:color w:val="0000FF"/>
          <w:lang w:eastAsia="zh-CN"/>
        </w:rPr>
        <w:t>kg/h，产生浓度为</w:t>
      </w:r>
      <w:r>
        <w:rPr>
          <w:rFonts w:hint="eastAsia"/>
          <w:color w:val="0000FF"/>
          <w:lang w:val="en-US" w:eastAsia="zh-CN"/>
        </w:rPr>
        <w:t>0.275</w:t>
      </w:r>
      <w:r>
        <w:rPr>
          <w:rFonts w:hint="default"/>
          <w:color w:val="0000FF"/>
          <w:lang w:eastAsia="zh-CN"/>
        </w:rPr>
        <w:t>mg/m</w:t>
      </w:r>
      <w:r>
        <w:rPr>
          <w:rFonts w:hint="default"/>
          <w:color w:val="0000FF"/>
          <w:vertAlign w:val="superscript"/>
          <w:lang w:eastAsia="zh-CN"/>
        </w:rPr>
        <w:t>3</w:t>
      </w:r>
      <w:r>
        <w:rPr>
          <w:rFonts w:hint="default"/>
          <w:color w:val="0000FF"/>
          <w:lang w:eastAsia="zh-CN"/>
        </w:rPr>
        <w:t>（风量为</w:t>
      </w:r>
      <w:r>
        <w:rPr>
          <w:rFonts w:hint="eastAsia"/>
          <w:color w:val="0000FF"/>
          <w:lang w:val="en-US" w:eastAsia="zh-CN"/>
        </w:rPr>
        <w:t>4</w:t>
      </w:r>
      <w:r>
        <w:rPr>
          <w:rFonts w:hint="default"/>
          <w:color w:val="0000FF"/>
          <w:lang w:eastAsia="zh-CN"/>
        </w:rPr>
        <w:t>000m</w:t>
      </w:r>
      <w:r>
        <w:rPr>
          <w:rFonts w:hint="default"/>
          <w:color w:val="0000FF"/>
          <w:vertAlign w:val="superscript"/>
          <w:lang w:eastAsia="zh-CN"/>
        </w:rPr>
        <w:t>3</w:t>
      </w:r>
      <w:r>
        <w:rPr>
          <w:rFonts w:hint="default"/>
          <w:color w:val="0000FF"/>
          <w:lang w:eastAsia="zh-CN"/>
        </w:rPr>
        <w:t>/h）。本项目运营期食堂拟采用抽油烟机处理，处理效率为40%，油烟排放量约为0.000</w:t>
      </w:r>
      <w:r>
        <w:rPr>
          <w:rFonts w:hint="eastAsia"/>
          <w:color w:val="0000FF"/>
          <w:lang w:val="en-US" w:eastAsia="zh-CN"/>
        </w:rPr>
        <w:t>7</w:t>
      </w:r>
      <w:r>
        <w:rPr>
          <w:rFonts w:hint="default"/>
          <w:color w:val="0000FF"/>
          <w:lang w:eastAsia="zh-CN"/>
        </w:rPr>
        <w:t>kg/h，食堂油烟排放浓度约为0.</w:t>
      </w:r>
      <w:r>
        <w:rPr>
          <w:rFonts w:hint="eastAsia"/>
          <w:color w:val="0000FF"/>
          <w:lang w:val="en-US" w:eastAsia="zh-CN"/>
        </w:rPr>
        <w:t>165</w:t>
      </w:r>
      <w:r>
        <w:rPr>
          <w:rFonts w:hint="default"/>
          <w:color w:val="0000FF"/>
          <w:lang w:eastAsia="zh-CN"/>
        </w:rPr>
        <w:t>mg/m</w:t>
      </w:r>
      <w:r>
        <w:rPr>
          <w:rFonts w:hint="default"/>
          <w:color w:val="0000FF"/>
          <w:vertAlign w:val="superscript"/>
          <w:lang w:eastAsia="zh-CN"/>
        </w:rPr>
        <w:t>3</w:t>
      </w:r>
      <w:r>
        <w:rPr>
          <w:rFonts w:hint="default"/>
          <w:color w:val="0000FF"/>
          <w:lang w:eastAsia="zh-CN"/>
        </w:rPr>
        <w:t>。</w:t>
      </w:r>
    </w:p>
    <w:p>
      <w:pPr>
        <w:pStyle w:val="5"/>
        <w:numPr>
          <w:ilvl w:val="3"/>
          <w:numId w:val="1"/>
        </w:numPr>
        <w:bidi w:val="0"/>
        <w:ind w:left="480" w:leftChars="0" w:firstLineChars="0"/>
        <w:rPr>
          <w:rFonts w:hint="default"/>
          <w:color w:val="auto"/>
          <w:lang w:val="en-US" w:eastAsia="zh-CN"/>
        </w:rPr>
      </w:pPr>
      <w:r>
        <w:rPr>
          <w:rFonts w:hint="eastAsia"/>
          <w:color w:val="auto"/>
          <w:lang w:val="en-US" w:eastAsia="zh-CN"/>
        </w:rPr>
        <w:t>地表水</w:t>
      </w:r>
    </w:p>
    <w:p>
      <w:pPr>
        <w:numPr>
          <w:ilvl w:val="0"/>
          <w:numId w:val="16"/>
        </w:numPr>
        <w:rPr>
          <w:rFonts w:hint="eastAsia"/>
          <w:b/>
          <w:bCs/>
          <w:color w:val="auto"/>
          <w:lang w:val="en-US" w:eastAsia="zh-CN"/>
        </w:rPr>
      </w:pPr>
      <w:r>
        <w:rPr>
          <w:rFonts w:hint="eastAsia"/>
          <w:b/>
          <w:bCs/>
          <w:color w:val="auto"/>
          <w:lang w:val="en-US" w:eastAsia="zh-CN"/>
        </w:rPr>
        <w:t>水资源</w:t>
      </w:r>
    </w:p>
    <w:p>
      <w:pPr>
        <w:keepNext w:val="0"/>
        <w:keepLines w:val="0"/>
        <w:pageBreakBefore w:val="0"/>
        <w:widowControl w:val="0"/>
        <w:numPr>
          <w:ilvl w:val="0"/>
          <w:numId w:val="0"/>
        </w:numPr>
        <w:kinsoku/>
        <w:wordWrap/>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default"/>
          <w:color w:val="auto"/>
          <w:highlight w:val="none"/>
          <w:lang w:val="en-US" w:eastAsia="zh-CN"/>
        </w:rPr>
        <w:t>规划水平年</w:t>
      </w:r>
      <w:r>
        <w:rPr>
          <w:rFonts w:hint="eastAsia"/>
          <w:color w:val="auto"/>
          <w:highlight w:val="none"/>
          <w:lang w:val="en-US" w:eastAsia="zh-CN"/>
        </w:rPr>
        <w:t>2035年</w:t>
      </w:r>
      <w:r>
        <w:rPr>
          <w:rFonts w:hint="default"/>
          <w:color w:val="auto"/>
          <w:highlight w:val="none"/>
          <w:lang w:val="en-US" w:eastAsia="zh-CN"/>
        </w:rPr>
        <w:t>，项目实施后，灌溉水利用系数提高，灌溉需水量减小。</w:t>
      </w:r>
      <w:r>
        <w:rPr>
          <w:rFonts w:hint="default"/>
          <w:color w:val="auto"/>
          <w:highlight w:val="none"/>
          <w:shd w:val="clear"/>
          <w:lang w:val="en-US" w:eastAsia="zh-CN"/>
        </w:rPr>
        <w:t>灌区总需水量为885.2万m³，</w:t>
      </w:r>
      <w:r>
        <w:rPr>
          <w:rFonts w:hint="eastAsia"/>
          <w:color w:val="auto"/>
          <w:highlight w:val="none"/>
          <w:shd w:val="clear"/>
          <w:lang w:val="en-US" w:eastAsia="zh-CN"/>
        </w:rPr>
        <w:t>现有水利工程供水量124.5万m³，本项目新增供水量760.7万m³，</w:t>
      </w:r>
      <w:r>
        <w:rPr>
          <w:rFonts w:hint="default"/>
          <w:color w:val="auto"/>
          <w:highlight w:val="none"/>
          <w:shd w:val="clear"/>
          <w:lang w:val="en-US" w:eastAsia="zh-CN"/>
        </w:rPr>
        <w:t>总供水量为885.2万m³，</w:t>
      </w:r>
      <w:r>
        <w:rPr>
          <w:rFonts w:hint="default"/>
          <w:color w:val="auto"/>
          <w:highlight w:val="none"/>
          <w:lang w:val="en-US" w:eastAsia="zh-CN"/>
        </w:rPr>
        <w:t>缺水量0万m³。其中：集镇生活需水量</w:t>
      </w:r>
      <w:r>
        <w:rPr>
          <w:rFonts w:hint="eastAsia"/>
          <w:color w:val="auto"/>
          <w:highlight w:val="none"/>
          <w:lang w:val="en-US" w:eastAsia="zh-CN"/>
        </w:rPr>
        <w:t>6</w:t>
      </w:r>
      <w:r>
        <w:rPr>
          <w:rFonts w:hint="default"/>
          <w:color w:val="auto"/>
          <w:highlight w:val="none"/>
          <w:lang w:val="en-US" w:eastAsia="zh-CN"/>
        </w:rPr>
        <w:t>万m³，供水量</w:t>
      </w:r>
      <w:r>
        <w:rPr>
          <w:rFonts w:hint="eastAsia"/>
          <w:color w:val="auto"/>
          <w:highlight w:val="none"/>
          <w:lang w:val="en-US" w:eastAsia="zh-CN"/>
        </w:rPr>
        <w:t>6</w:t>
      </w:r>
      <w:r>
        <w:rPr>
          <w:rFonts w:hint="default"/>
          <w:color w:val="auto"/>
          <w:highlight w:val="none"/>
          <w:lang w:val="en-US" w:eastAsia="zh-CN"/>
        </w:rPr>
        <w:t>万m³，供需水平衡，保证0.1096万人集镇人口生活用水；农村生活需水量43.</w:t>
      </w:r>
      <w:r>
        <w:rPr>
          <w:rFonts w:hint="eastAsia"/>
          <w:color w:val="auto"/>
          <w:highlight w:val="none"/>
          <w:lang w:val="en-US" w:eastAsia="zh-CN"/>
        </w:rPr>
        <w:t>2</w:t>
      </w:r>
      <w:r>
        <w:rPr>
          <w:rFonts w:hint="default"/>
          <w:color w:val="auto"/>
          <w:highlight w:val="none"/>
          <w:lang w:val="en-US" w:eastAsia="zh-CN"/>
        </w:rPr>
        <w:t>万m³，供水量43.</w:t>
      </w:r>
      <w:r>
        <w:rPr>
          <w:rFonts w:hint="eastAsia"/>
          <w:color w:val="auto"/>
          <w:highlight w:val="none"/>
          <w:lang w:val="en-US" w:eastAsia="zh-CN"/>
        </w:rPr>
        <w:t>2</w:t>
      </w:r>
      <w:r>
        <w:rPr>
          <w:rFonts w:hint="default"/>
          <w:color w:val="auto"/>
          <w:highlight w:val="none"/>
          <w:lang w:val="en-US" w:eastAsia="zh-CN"/>
        </w:rPr>
        <w:t>万m³，供需水平衡，保证0.7058万人农村人口和1.4254万头大小牲畜生活用水；农业灌溉需水量83</w:t>
      </w:r>
      <w:r>
        <w:rPr>
          <w:rFonts w:hint="eastAsia"/>
          <w:color w:val="auto"/>
          <w:highlight w:val="none"/>
          <w:lang w:val="en-US" w:eastAsia="zh-CN"/>
        </w:rPr>
        <w:t>6</w:t>
      </w:r>
      <w:r>
        <w:rPr>
          <w:rFonts w:hint="default"/>
          <w:color w:val="auto"/>
          <w:highlight w:val="none"/>
          <w:lang w:val="en-US" w:eastAsia="zh-CN"/>
        </w:rPr>
        <w:t>万m³，供水量83</w:t>
      </w:r>
      <w:r>
        <w:rPr>
          <w:rFonts w:hint="eastAsia"/>
          <w:color w:val="auto"/>
          <w:highlight w:val="none"/>
          <w:lang w:val="en-US" w:eastAsia="zh-CN"/>
        </w:rPr>
        <w:t>6</w:t>
      </w:r>
      <w:r>
        <w:rPr>
          <w:rFonts w:hint="default"/>
          <w:color w:val="auto"/>
          <w:highlight w:val="none"/>
          <w:lang w:val="en-US" w:eastAsia="zh-CN"/>
        </w:rPr>
        <w:t>万m³，缺水量0万m³，保证灌溉面积3.49万亩，其中：常规灌溉0.22万亩，高效灌溉3.27万亩。</w:t>
      </w:r>
      <w:r>
        <w:rPr>
          <w:rFonts w:hint="eastAsia"/>
          <w:color w:val="auto"/>
          <w:highlight w:val="none"/>
          <w:lang w:val="en-US" w:eastAsia="zh-CN"/>
        </w:rPr>
        <w:t>项目实施后，灌区水量分配可达到供需平衡。</w:t>
      </w:r>
    </w:p>
    <w:p>
      <w:pPr>
        <w:rPr>
          <w:rFonts w:hint="default"/>
          <w:b/>
          <w:bCs/>
          <w:color w:val="auto"/>
          <w:highlight w:val="none"/>
          <w:lang w:val="en-US" w:eastAsia="zh-CN"/>
        </w:rPr>
      </w:pPr>
      <w:r>
        <w:rPr>
          <w:rFonts w:hint="eastAsia"/>
          <w:b/>
          <w:bCs/>
          <w:color w:val="auto"/>
          <w:highlight w:val="none"/>
          <w:lang w:val="en-US" w:eastAsia="zh-CN"/>
        </w:rPr>
        <w:t>2、灌溉退水</w:t>
      </w:r>
    </w:p>
    <w:p>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受项目退水水文情势影响的主要为沙沟箐、姜驿河，由于</w:t>
      </w:r>
      <w:r>
        <w:rPr>
          <w:rFonts w:hint="eastAsia" w:ascii="Times New Roman" w:hAnsi="Times New Roman" w:cs="Times New Roman"/>
          <w:color w:val="auto"/>
          <w:sz w:val="24"/>
          <w:szCs w:val="24"/>
          <w:lang w:val="en-US" w:eastAsia="zh-CN"/>
        </w:rPr>
        <w:t>退水区</w:t>
      </w:r>
      <w:r>
        <w:rPr>
          <w:rFonts w:hint="default" w:ascii="Times New Roman" w:hAnsi="Times New Roman" w:cs="Times New Roman"/>
          <w:color w:val="auto"/>
          <w:sz w:val="24"/>
          <w:szCs w:val="24"/>
        </w:rPr>
        <w:t>高山溪沟性河流，旱季枯水期基本无水，本项目灌溉退水会使得河道水量增加。</w:t>
      </w:r>
    </w:p>
    <w:p>
      <w:pPr>
        <w:keepNext w:val="0"/>
        <w:keepLines w:val="0"/>
        <w:pageBreakBefore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cs="Times New Roman"/>
          <w:b/>
          <w:bCs/>
          <w:color w:val="auto"/>
          <w:sz w:val="24"/>
          <w:szCs w:val="24"/>
        </w:rPr>
      </w:pPr>
      <w:r>
        <w:rPr>
          <w:rFonts w:hint="eastAsia" w:ascii="Times New Roman" w:hAnsi="Times New Roman" w:cs="Times New Roman"/>
          <w:b/>
          <w:bCs/>
          <w:color w:val="auto"/>
          <w:sz w:val="24"/>
          <w:szCs w:val="24"/>
          <w:lang w:eastAsia="zh-CN"/>
        </w:rPr>
        <w:t>（</w:t>
      </w:r>
      <w:r>
        <w:rPr>
          <w:rFonts w:hint="eastAsia" w:ascii="Times New Roman" w:hAnsi="Times New Roman" w:cs="Times New Roman"/>
          <w:b/>
          <w:bCs/>
          <w:color w:val="auto"/>
          <w:sz w:val="24"/>
          <w:szCs w:val="24"/>
          <w:lang w:val="en-US" w:eastAsia="zh-CN"/>
        </w:rPr>
        <w:t>1</w:t>
      </w:r>
      <w:r>
        <w:rPr>
          <w:rFonts w:hint="eastAsia" w:ascii="Times New Roman" w:hAnsi="Times New Roman" w:cs="Times New Roman"/>
          <w:b/>
          <w:bCs/>
          <w:color w:val="auto"/>
          <w:sz w:val="24"/>
          <w:szCs w:val="24"/>
          <w:lang w:eastAsia="zh-CN"/>
        </w:rPr>
        <w:t>）</w:t>
      </w:r>
      <w:r>
        <w:rPr>
          <w:rFonts w:hint="default" w:ascii="Times New Roman" w:hAnsi="Times New Roman" w:cs="Times New Roman"/>
          <w:b/>
          <w:bCs/>
          <w:color w:val="auto"/>
          <w:sz w:val="24"/>
          <w:szCs w:val="24"/>
        </w:rPr>
        <w:t>退水去向</w:t>
      </w:r>
    </w:p>
    <w:p>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灌溉退水以面源形式排放。根据受水灌片的排水条件，退水通过田间斗、农、毛沟水流主要汇入沙沟箐、姜驿河。</w:t>
      </w:r>
    </w:p>
    <w:p>
      <w:pPr>
        <w:keepNext w:val="0"/>
        <w:keepLines w:val="0"/>
        <w:pageBreakBefore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cs="Times New Roman"/>
          <w:b/>
          <w:bCs/>
          <w:color w:val="auto"/>
          <w:sz w:val="24"/>
          <w:szCs w:val="24"/>
        </w:rPr>
      </w:pPr>
      <w:r>
        <w:rPr>
          <w:rFonts w:hint="eastAsia" w:ascii="Times New Roman" w:hAnsi="Times New Roman" w:cs="Times New Roman"/>
          <w:b/>
          <w:bCs/>
          <w:color w:val="auto"/>
          <w:sz w:val="24"/>
          <w:szCs w:val="24"/>
          <w:lang w:eastAsia="zh-CN"/>
        </w:rPr>
        <w:t>（</w:t>
      </w:r>
      <w:r>
        <w:rPr>
          <w:rFonts w:hint="eastAsia" w:ascii="Times New Roman" w:hAnsi="Times New Roman" w:cs="Times New Roman"/>
          <w:b/>
          <w:bCs/>
          <w:color w:val="auto"/>
          <w:sz w:val="24"/>
          <w:szCs w:val="24"/>
          <w:lang w:val="en-US" w:eastAsia="zh-CN"/>
        </w:rPr>
        <w:t>2</w:t>
      </w:r>
      <w:r>
        <w:rPr>
          <w:rFonts w:hint="eastAsia" w:ascii="Times New Roman" w:hAnsi="Times New Roman" w:cs="Times New Roman"/>
          <w:b/>
          <w:bCs/>
          <w:color w:val="auto"/>
          <w:sz w:val="24"/>
          <w:szCs w:val="24"/>
          <w:lang w:eastAsia="zh-CN"/>
        </w:rPr>
        <w:t>）</w:t>
      </w:r>
      <w:r>
        <w:rPr>
          <w:rFonts w:hint="default" w:ascii="Times New Roman" w:hAnsi="Times New Roman" w:cs="Times New Roman"/>
          <w:b/>
          <w:bCs/>
          <w:color w:val="auto"/>
          <w:sz w:val="24"/>
          <w:szCs w:val="24"/>
        </w:rPr>
        <w:t>退水量计算</w:t>
      </w:r>
    </w:p>
    <w:p>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随着元谋县对灌区的科学灌溉，本次预测不考虑早地作物退水，仅考虑水稻田退水影响。</w:t>
      </w:r>
    </w:p>
    <w:p>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rPr>
      </w:pPr>
      <w:r>
        <w:rPr>
          <w:rFonts w:hint="eastAsia" w:cs="Times New Roman"/>
          <w:color w:val="auto"/>
          <w:sz w:val="24"/>
          <w:szCs w:val="24"/>
          <w:lang w:val="en-US" w:eastAsia="zh-CN"/>
        </w:rPr>
        <w:t>①</w:t>
      </w:r>
      <w:r>
        <w:rPr>
          <w:rFonts w:hint="default" w:ascii="Times New Roman" w:hAnsi="Times New Roman" w:cs="Times New Roman"/>
          <w:color w:val="auto"/>
          <w:sz w:val="24"/>
          <w:szCs w:val="24"/>
        </w:rPr>
        <w:t>秧田期用水</w:t>
      </w:r>
    </w:p>
    <w:p>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水稻育秧泡田水为170m</w:t>
      </w:r>
      <w:r>
        <w:rPr>
          <w:rFonts w:hint="eastAsia"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rPr>
        <w:t>/亩，</w:t>
      </w:r>
      <w:r>
        <w:rPr>
          <w:rFonts w:hint="eastAsia" w:ascii="Times New Roman" w:hAnsi="Times New Roman" w:cs="Times New Roman"/>
          <w:color w:val="auto"/>
          <w:sz w:val="24"/>
          <w:szCs w:val="24"/>
          <w:lang w:val="en-US" w:eastAsia="zh-CN"/>
        </w:rPr>
        <w:t>一般在2月下旬</w:t>
      </w:r>
      <w:r>
        <w:rPr>
          <w:rFonts w:hint="default" w:ascii="Times New Roman" w:hAnsi="Times New Roman" w:cs="Times New Roman"/>
          <w:color w:val="auto"/>
          <w:sz w:val="24"/>
          <w:szCs w:val="24"/>
        </w:rPr>
        <w:t>开始育秧，4月初大量移栽，秧期40天，加上秧田期渗漏、腾发量，合计秧田耗水447m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亩。按1亩秧田移裁10亩本田计算，则每亩本田分摊秧田期用水量44.7m</w:t>
      </w:r>
      <w:r>
        <w:rPr>
          <w:rFonts w:hint="eastAsia"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rPr>
        <w:t>/亩。</w:t>
      </w:r>
    </w:p>
    <w:p>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rPr>
      </w:pPr>
      <w:r>
        <w:rPr>
          <w:rFonts w:hint="eastAsia" w:cs="Times New Roman"/>
          <w:color w:val="auto"/>
          <w:sz w:val="24"/>
          <w:szCs w:val="24"/>
          <w:lang w:val="en-US" w:eastAsia="zh-CN"/>
        </w:rPr>
        <w:t>②</w:t>
      </w:r>
      <w:r>
        <w:rPr>
          <w:rFonts w:hint="default" w:ascii="Times New Roman" w:hAnsi="Times New Roman" w:cs="Times New Roman"/>
          <w:color w:val="auto"/>
          <w:sz w:val="24"/>
          <w:szCs w:val="24"/>
        </w:rPr>
        <w:t>本田期用水量</w:t>
      </w:r>
    </w:p>
    <w:p>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根据土壤调查资料，本片区主要为沙壤土，渗漏量大，结合灌区的实际灌水经验，拟定泡田定额为170m</w:t>
      </w:r>
      <w:r>
        <w:rPr>
          <w:rFonts w:hint="eastAsia"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rPr>
        <w:t>/亩，泡田延续时间为15天。栽插时间拟定为20天，从4月上旬初开始泡田，4月20日左右栽插基本结束。移栽进度为前5天20%，中旬10天60%，后5天20%。</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水稻本田期用水量包括泡田用水量、田间渗漏水量、作物需水量之和再扣除有效降雨。根据灌区气象资料采用联合国粮农组织推荐的彭曼法计算，水稻的灌溉制度采用时历年法1977~2020年确定灌溉制度，根据灌溉定额分析选出1980、1979、1993三个基本符合设计保证率的年份，以其中灌水分配不利的一</w:t>
      </w:r>
      <w:r>
        <w:rPr>
          <w:rFonts w:hint="default" w:ascii="Times New Roman" w:hAnsi="Times New Roman" w:eastAsia="宋体" w:cs="Times New Roman"/>
          <w:color w:val="auto"/>
          <w:kern w:val="0"/>
          <w:sz w:val="24"/>
          <w:szCs w:val="24"/>
          <w:lang w:val="en-US" w:eastAsia="zh-CN" w:bidi="ar"/>
        </w:rPr>
        <w:t>年为典型年，计算结果以1979年的灌溉制度作为灌溉制度（P=75%）水稻本田灌溉用水定额为621.0m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/亩。</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（3）全生育期用水量</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秧田期用水量和本天期用水量之和即为全生育期用水量。全生育期净需水量为665.7m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/亩。通过查《云南省用水定额》（2019年版经云水发[2019]122号发布）元谋县为干热河谷区（Ⅵ—1区），P=75%水稻用水量为645～685m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/亩（泡田定额为170～180m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/亩，基本用水定额475～505m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/亩），计算成果在定额范围内，说明水稻的用水定额合理。</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cs="Times New Roman"/>
          <w:color w:val="auto"/>
          <w:sz w:val="24"/>
          <w:szCs w:val="24"/>
        </w:rPr>
      </w:pPr>
      <w:r>
        <w:rPr>
          <w:rFonts w:hint="eastAsia" w:ascii="Times New Roman" w:hAnsi="Times New Roman" w:eastAsia="宋体" w:cs="Times New Roman"/>
          <w:color w:val="auto"/>
          <w:kern w:val="0"/>
          <w:sz w:val="24"/>
          <w:szCs w:val="24"/>
          <w:highlight w:val="none"/>
          <w:lang w:val="en-US" w:eastAsia="zh-CN" w:bidi="ar"/>
        </w:rPr>
        <w:t>根据调查，</w:t>
      </w:r>
      <w:r>
        <w:rPr>
          <w:rFonts w:hint="default" w:ascii="Times New Roman" w:hAnsi="Times New Roman" w:eastAsia="宋体" w:cs="Times New Roman"/>
          <w:color w:val="auto"/>
          <w:kern w:val="0"/>
          <w:sz w:val="24"/>
          <w:szCs w:val="24"/>
          <w:highlight w:val="none"/>
          <w:lang w:val="en-US" w:eastAsia="zh-CN" w:bidi="ar"/>
        </w:rPr>
        <w:t>规划水平年水稻将不再本次规划灌片中种植。维持现状</w:t>
      </w:r>
      <w:r>
        <w:rPr>
          <w:rFonts w:hint="eastAsia" w:ascii="Times New Roman" w:hAnsi="Times New Roman" w:eastAsia="宋体" w:cs="Times New Roman"/>
          <w:color w:val="auto"/>
          <w:kern w:val="0"/>
          <w:sz w:val="24"/>
          <w:szCs w:val="24"/>
          <w:highlight w:val="none"/>
          <w:lang w:val="en-US" w:eastAsia="zh-CN" w:bidi="ar"/>
        </w:rPr>
        <w:t>9</w:t>
      </w:r>
      <w:r>
        <w:rPr>
          <w:rFonts w:hint="default" w:ascii="Times New Roman" w:hAnsi="Times New Roman" w:eastAsia="宋体" w:cs="Times New Roman"/>
          <w:color w:val="auto"/>
          <w:kern w:val="0"/>
          <w:sz w:val="24"/>
          <w:szCs w:val="24"/>
          <w:highlight w:val="none"/>
          <w:lang w:val="en-US" w:eastAsia="zh-CN" w:bidi="ar"/>
        </w:rPr>
        <w:t>%种值比例。灌</w:t>
      </w:r>
      <w:r>
        <w:rPr>
          <w:rFonts w:hint="default" w:ascii="Times New Roman" w:hAnsi="Times New Roman" w:eastAsia="宋体" w:cs="Times New Roman"/>
          <w:color w:val="auto"/>
          <w:kern w:val="0"/>
          <w:sz w:val="24"/>
          <w:szCs w:val="24"/>
          <w:lang w:val="en-US" w:eastAsia="zh-CN" w:bidi="ar"/>
        </w:rPr>
        <w:t>区总面积为</w:t>
      </w:r>
      <w:r>
        <w:rPr>
          <w:rFonts w:hint="eastAsia" w:ascii="Times New Roman" w:hAnsi="Times New Roman" w:eastAsia="宋体" w:cs="Times New Roman"/>
          <w:color w:val="auto"/>
          <w:kern w:val="0"/>
          <w:sz w:val="24"/>
          <w:szCs w:val="24"/>
          <w:lang w:val="en-US" w:eastAsia="zh-CN" w:bidi="ar"/>
        </w:rPr>
        <w:t>34900</w:t>
      </w:r>
      <w:r>
        <w:rPr>
          <w:rFonts w:hint="default" w:ascii="Times New Roman" w:hAnsi="Times New Roman" w:eastAsia="宋体" w:cs="Times New Roman"/>
          <w:color w:val="auto"/>
          <w:kern w:val="0"/>
          <w:sz w:val="24"/>
          <w:szCs w:val="24"/>
          <w:lang w:val="en-US" w:eastAsia="zh-CN" w:bidi="ar"/>
        </w:rPr>
        <w:t>亩，则水稻田面积约</w:t>
      </w:r>
      <w:r>
        <w:rPr>
          <w:rFonts w:hint="eastAsia" w:ascii="Times New Roman" w:hAnsi="Times New Roman" w:eastAsia="宋体" w:cs="Times New Roman"/>
          <w:color w:val="auto"/>
          <w:kern w:val="0"/>
          <w:sz w:val="24"/>
          <w:szCs w:val="24"/>
          <w:lang w:val="en-US" w:eastAsia="zh-CN" w:bidi="ar"/>
        </w:rPr>
        <w:t>3141</w:t>
      </w:r>
      <w:r>
        <w:rPr>
          <w:rFonts w:hint="default" w:ascii="Times New Roman" w:hAnsi="Times New Roman" w:eastAsia="宋体" w:cs="Times New Roman"/>
          <w:color w:val="auto"/>
          <w:kern w:val="0"/>
          <w:sz w:val="24"/>
          <w:szCs w:val="24"/>
          <w:lang w:val="en-US" w:eastAsia="zh-CN" w:bidi="ar"/>
        </w:rPr>
        <w:t>亩。根据农业部门提供的经验数据，水稻全生育期退水系数取15%，灌区泡田期后插秧前退水量占水田总退水量的55%，由于泡田期水田不施用农药化肥，所以农田退水污染物控制时可以不考虑泡田期退水，只考虑本田期退水，则退水量约</w:t>
      </w:r>
      <w:r>
        <w:rPr>
          <w:rFonts w:hint="eastAsia" w:ascii="Times New Roman" w:hAnsi="Times New Roman" w:eastAsia="宋体" w:cs="Times New Roman"/>
          <w:color w:val="auto"/>
          <w:kern w:val="0"/>
          <w:sz w:val="24"/>
          <w:szCs w:val="24"/>
          <w:lang w:val="en-US" w:eastAsia="zh-CN" w:bidi="ar"/>
        </w:rPr>
        <w:t>131662.87</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/a。主要退水时期为分蘖期、拔节期孕穗期、黄熟期，考虑沟渠拦截、节制和透水潴留作用，每次退水持续时间为20天，合计60天，则计算出退水其平均流量为0.025</w:t>
      </w:r>
      <w:r>
        <w:rPr>
          <w:rFonts w:hint="eastAsia" w:ascii="Times New Roman" w:hAnsi="Times New Roman" w:eastAsia="宋体"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/s。</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（4）灌溉退水污染负荷估算</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灌溉退水的水质主要由土壤中原有的氮、磷等可溶性营养物质和农业生产中所使用的农药和化肥来决定。灌溉将使土壤中的养分溶出并随回归水进入地表和地下水体，对水质造成影响。</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根据元谋农业局提供的资料，灌区内耕地所施用的农药、化肥种类和用量如下：农田施用化肥的种类主要有（按折纯量计）：氮肥（水稻13kg/亩）；磷肥（水稻5kg/亩）。</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对于化肥中氮、磷的流失，采用农田肥料流失系数法对氨氮、总磷进行估算。氮肥流失系数：一般水稻对氮肥的吸收利用率为35％左右，其余的部分将滞留在土壤中。土壤中的氮肥在运输过程中会发生沿程消耗，消耗系数约为70%，则约有30％的氮随田间退水流失。NH</w:t>
      </w:r>
      <w:r>
        <w:rPr>
          <w:rFonts w:hint="default" w:ascii="Times New Roman" w:hAnsi="Times New Roman" w:eastAsia="宋体" w:cs="Times New Roman"/>
          <w:color w:val="auto"/>
          <w:kern w:val="0"/>
          <w:sz w:val="24"/>
          <w:szCs w:val="24"/>
          <w:vertAlign w:val="subscript"/>
          <w:lang w:val="en-US" w:eastAsia="zh-CN" w:bidi="ar"/>
        </w:rPr>
        <w:t>3</w:t>
      </w:r>
      <w:r>
        <w:rPr>
          <w:rFonts w:hint="default" w:ascii="Times New Roman" w:hAnsi="Times New Roman" w:eastAsia="宋体" w:cs="Times New Roman"/>
          <w:color w:val="auto"/>
          <w:kern w:val="0"/>
          <w:sz w:val="24"/>
          <w:szCs w:val="24"/>
          <w:lang w:val="en-US" w:eastAsia="zh-CN" w:bidi="ar"/>
        </w:rPr>
        <w:t>-N流失量按照TN流失量的10%估算。农药为有机物，故其可贡献灌溉退水COD的浓度。</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磷肥流失系数：一般作物对磷肥的当季吸收利用率为20％左右，土壤中磷的消耗系数为95%，约5％的磷随田间退水流失。</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灌溉退水污染物入河量COD采用“标准农田法”估算，产污系数为COD10kg/亩•a，入河系数根据《长江片水资源综合规划报告》研究成果选取，按19.3%进行估算。</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项目实施后，灌区水利条件得到改善。根据工程建设前后灌溉区作物种植结构计算单位面积污染物质相应的流失系数，结合预测原则中提到的高效节水灌溉等原则，从而得出工程建设后灌区范围的COD、氨氮、总磷的流失量，见下表。</w:t>
      </w:r>
    </w:p>
    <w:p>
      <w:pPr>
        <w:keepNext w:val="0"/>
        <w:keepLines w:val="0"/>
        <w:widowControl/>
        <w:suppressLineNumbers w:val="0"/>
        <w:spacing w:line="240" w:lineRule="auto"/>
        <w:jc w:val="center"/>
        <w:rPr>
          <w:color w:val="auto"/>
        </w:rPr>
      </w:pPr>
      <w:r>
        <w:rPr>
          <w:rFonts w:hint="eastAsia" w:ascii="宋体" w:hAnsi="宋体" w:eastAsia="宋体" w:cs="宋体"/>
          <w:b/>
          <w:bCs/>
          <w:color w:val="auto"/>
          <w:kern w:val="0"/>
          <w:sz w:val="24"/>
          <w:szCs w:val="24"/>
          <w:lang w:val="en-US" w:eastAsia="zh-CN" w:bidi="ar"/>
        </w:rPr>
        <w:t xml:space="preserve">表 </w:t>
      </w:r>
      <w:r>
        <w:rPr>
          <w:rFonts w:hint="default" w:ascii="Times New Roman" w:hAnsi="Times New Roman" w:eastAsia="宋体" w:cs="Times New Roman"/>
          <w:b/>
          <w:bCs/>
          <w:color w:val="auto"/>
          <w:kern w:val="0"/>
          <w:sz w:val="24"/>
          <w:szCs w:val="24"/>
          <w:lang w:val="en-US" w:eastAsia="zh-CN" w:bidi="ar"/>
        </w:rPr>
        <w:t>3.2</w:t>
      </w:r>
      <w:r>
        <w:rPr>
          <w:rFonts w:hint="eastAsia" w:cs="Times New Roman"/>
          <w:b/>
          <w:bCs/>
          <w:color w:val="auto"/>
          <w:kern w:val="0"/>
          <w:sz w:val="24"/>
          <w:szCs w:val="24"/>
          <w:lang w:val="en-US" w:eastAsia="zh-CN" w:bidi="ar"/>
        </w:rPr>
        <w:t>.2</w:t>
      </w:r>
      <w:r>
        <w:rPr>
          <w:rFonts w:hint="default" w:ascii="Times New Roman" w:hAnsi="Times New Roman" w:eastAsia="宋体" w:cs="Times New Roman"/>
          <w:b/>
          <w:bCs/>
          <w:color w:val="auto"/>
          <w:kern w:val="0"/>
          <w:sz w:val="24"/>
          <w:szCs w:val="24"/>
          <w:lang w:val="en-US" w:eastAsia="zh-CN" w:bidi="ar"/>
        </w:rPr>
        <w:t xml:space="preserve">-1 </w:t>
      </w:r>
      <w:r>
        <w:rPr>
          <w:rFonts w:hint="eastAsia" w:ascii="宋体" w:hAnsi="宋体" w:eastAsia="宋体" w:cs="宋体"/>
          <w:b/>
          <w:bCs/>
          <w:color w:val="auto"/>
          <w:kern w:val="0"/>
          <w:sz w:val="24"/>
          <w:szCs w:val="24"/>
          <w:lang w:val="en-US" w:eastAsia="zh-CN" w:bidi="ar"/>
        </w:rPr>
        <w:t>灌区农业面源污染物负荷估算表</w:t>
      </w:r>
      <w:r>
        <w:rPr>
          <w:rFonts w:hint="default" w:ascii="Times New Roman" w:hAnsi="Times New Roman" w:eastAsia="宋体" w:cs="Times New Roman"/>
          <w:b/>
          <w:bCs/>
          <w:color w:val="auto"/>
          <w:kern w:val="0"/>
          <w:sz w:val="24"/>
          <w:szCs w:val="24"/>
          <w:lang w:val="en-US" w:eastAsia="zh-CN" w:bidi="ar"/>
        </w:rPr>
        <w:t xml:space="preserve"> </w:t>
      </w:r>
      <w:r>
        <w:rPr>
          <w:rFonts w:hint="eastAsia" w:ascii="宋体" w:hAnsi="宋体" w:eastAsia="宋体" w:cs="宋体"/>
          <w:b/>
          <w:bCs/>
          <w:color w:val="auto"/>
          <w:kern w:val="0"/>
          <w:sz w:val="24"/>
          <w:szCs w:val="24"/>
          <w:lang w:val="en-US" w:eastAsia="zh-CN" w:bidi="ar"/>
        </w:rPr>
        <w:t>单位：</w:t>
      </w:r>
      <w:r>
        <w:rPr>
          <w:rFonts w:hint="default" w:ascii="Times New Roman" w:hAnsi="Times New Roman" w:eastAsia="宋体" w:cs="Times New Roman"/>
          <w:b/>
          <w:bCs/>
          <w:color w:val="auto"/>
          <w:kern w:val="0"/>
          <w:sz w:val="24"/>
          <w:szCs w:val="24"/>
          <w:lang w:val="en-US" w:eastAsia="zh-CN" w:bidi="ar"/>
        </w:rPr>
        <w:t>t/a</w:t>
      </w:r>
    </w:p>
    <w:tbl>
      <w:tblPr>
        <w:tblStyle w:val="3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6"/>
        <w:gridCol w:w="1414"/>
        <w:gridCol w:w="1414"/>
        <w:gridCol w:w="1414"/>
        <w:gridCol w:w="1416"/>
        <w:gridCol w:w="14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3"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退水量（</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/a</w:t>
            </w:r>
            <w:r>
              <w:rPr>
                <w:rFonts w:hint="eastAsia" w:ascii="Times New Roman" w:hAnsi="Times New Roman" w:cs="Times New Roman"/>
                <w:color w:val="auto"/>
                <w:sz w:val="21"/>
                <w:szCs w:val="21"/>
                <w:vertAlign w:val="baseline"/>
                <w:lang w:val="en-US" w:eastAsia="zh-CN"/>
              </w:rPr>
              <w:t>）</w:t>
            </w:r>
          </w:p>
        </w:tc>
        <w:tc>
          <w:tcPr>
            <w:tcW w:w="830"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流量（</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/s</w:t>
            </w:r>
            <w:r>
              <w:rPr>
                <w:rFonts w:hint="eastAsia" w:ascii="Times New Roman" w:hAnsi="Times New Roman" w:cs="Times New Roman"/>
                <w:color w:val="auto"/>
                <w:sz w:val="21"/>
                <w:szCs w:val="21"/>
                <w:vertAlign w:val="baseline"/>
                <w:lang w:val="en-US" w:eastAsia="zh-CN"/>
              </w:rPr>
              <w:t>）</w:t>
            </w:r>
          </w:p>
        </w:tc>
        <w:tc>
          <w:tcPr>
            <w:tcW w:w="830"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受纳水体</w:t>
            </w:r>
          </w:p>
        </w:tc>
        <w:tc>
          <w:tcPr>
            <w:tcW w:w="2494"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设计水平年2035年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3"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830"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830"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p>
        </w:tc>
        <w:tc>
          <w:tcPr>
            <w:tcW w:w="83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cs="Times New Roman" w:eastAsiaTheme="minorEastAsia"/>
                <w:color w:val="auto"/>
                <w:sz w:val="21"/>
                <w:szCs w:val="21"/>
                <w:vertAlign w:val="baseline"/>
                <w:lang w:eastAsia="zh-CN"/>
              </w:rPr>
            </w:pPr>
            <w:r>
              <w:rPr>
                <w:rFonts w:hint="default" w:ascii="Times New Roman" w:hAnsi="Times New Roman" w:eastAsia="宋体" w:cs="Times New Roman"/>
                <w:color w:val="auto"/>
                <w:kern w:val="0"/>
                <w:sz w:val="21"/>
                <w:szCs w:val="21"/>
                <w:lang w:val="en-US" w:eastAsia="zh-CN" w:bidi="ar"/>
              </w:rPr>
              <w:t>COD</w:t>
            </w:r>
          </w:p>
        </w:tc>
        <w:tc>
          <w:tcPr>
            <w:tcW w:w="83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氨氮</w:t>
            </w:r>
          </w:p>
        </w:tc>
        <w:tc>
          <w:tcPr>
            <w:tcW w:w="83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1"/>
                <w:szCs w:val="21"/>
                <w:lang w:val="en-US" w:eastAsia="zh-CN" w:bidi="ar"/>
              </w:rPr>
              <w:t>总磷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eastAsia" w:ascii="Times New Roman" w:hAnsi="Times New Roman" w:eastAsia="宋体" w:cs="Times New Roman"/>
                <w:color w:val="auto"/>
                <w:kern w:val="0"/>
                <w:sz w:val="24"/>
                <w:szCs w:val="24"/>
                <w:lang w:val="en-US" w:eastAsia="zh-CN" w:bidi="ar"/>
              </w:rPr>
              <w:t>131662.87</w:t>
            </w:r>
          </w:p>
        </w:tc>
        <w:tc>
          <w:tcPr>
            <w:tcW w:w="83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kern w:val="0"/>
                <w:sz w:val="24"/>
                <w:szCs w:val="24"/>
                <w:lang w:val="en-US" w:eastAsia="zh-CN" w:bidi="ar"/>
              </w:rPr>
              <w:t>0.025</w:t>
            </w:r>
            <w:r>
              <w:rPr>
                <w:rFonts w:hint="eastAsia" w:ascii="Times New Roman" w:hAnsi="Times New Roman" w:eastAsia="宋体" w:cs="Times New Roman"/>
                <w:color w:val="auto"/>
                <w:kern w:val="0"/>
                <w:sz w:val="24"/>
                <w:szCs w:val="24"/>
                <w:lang w:val="en-US" w:eastAsia="zh-CN" w:bidi="ar"/>
              </w:rPr>
              <w:t>4</w:t>
            </w:r>
          </w:p>
        </w:tc>
        <w:tc>
          <w:tcPr>
            <w:tcW w:w="83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姜驿河、沙沟箐</w:t>
            </w:r>
          </w:p>
        </w:tc>
        <w:tc>
          <w:tcPr>
            <w:tcW w:w="83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6.062</w:t>
            </w:r>
          </w:p>
        </w:tc>
        <w:tc>
          <w:tcPr>
            <w:tcW w:w="83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0.796</w:t>
            </w:r>
          </w:p>
        </w:tc>
        <w:tc>
          <w:tcPr>
            <w:tcW w:w="83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0.628</w:t>
            </w:r>
          </w:p>
        </w:tc>
      </w:tr>
    </w:tbl>
    <w:p>
      <w:pPr>
        <w:rPr>
          <w:rFonts w:hint="default"/>
          <w:b/>
          <w:bCs/>
          <w:color w:val="auto"/>
          <w:lang w:val="en-US" w:eastAsia="zh-CN"/>
        </w:rPr>
      </w:pPr>
      <w:r>
        <w:rPr>
          <w:rFonts w:hint="eastAsia"/>
          <w:b/>
          <w:bCs/>
          <w:color w:val="auto"/>
          <w:lang w:val="en-US" w:eastAsia="zh-CN"/>
        </w:rPr>
        <w:t>3、管理所工作人员生活污水</w:t>
      </w:r>
    </w:p>
    <w:p>
      <w:pPr>
        <w:rPr>
          <w:rFonts w:hint="eastAsia" w:ascii="Times New Roman" w:hAnsi="Times New Roman" w:eastAsia="宋体" w:cs="Times New Roman"/>
          <w:color w:val="0000FF"/>
          <w:kern w:val="0"/>
          <w:sz w:val="24"/>
          <w:lang w:eastAsia="zh-CN" w:bidi="ar"/>
        </w:rPr>
      </w:pPr>
      <w:r>
        <w:rPr>
          <w:rFonts w:hint="eastAsia"/>
          <w:color w:val="0000FF"/>
          <w:highlight w:val="none"/>
          <w:lang w:val="en-US" w:eastAsia="zh-CN"/>
        </w:rPr>
        <w:t>灌区管理所工作人及平时到访人员以10人计</w:t>
      </w:r>
      <w:r>
        <w:rPr>
          <w:rFonts w:hint="default" w:ascii="Times New Roman" w:hAnsi="Times New Roman" w:cs="Times New Roman"/>
          <w:color w:val="0000FF"/>
          <w:highlight w:val="none"/>
          <w:lang w:val="en-US" w:eastAsia="zh-CN"/>
        </w:rPr>
        <w:t>，根据《云南省地方标准 用水定额》（DB53/T 168-2019），人均生活用水量以90L/人∙d计，用水量</w:t>
      </w:r>
      <w:r>
        <w:rPr>
          <w:rFonts w:hint="eastAsia" w:cs="Times New Roman"/>
          <w:color w:val="0000FF"/>
          <w:highlight w:val="none"/>
          <w:lang w:val="en-US" w:eastAsia="zh-CN"/>
        </w:rPr>
        <w:t>0.9</w:t>
      </w:r>
      <w:r>
        <w:rPr>
          <w:rFonts w:hint="default" w:ascii="Times New Roman" w:hAnsi="Times New Roman" w:cs="Times New Roman"/>
          <w:color w:val="0000FF"/>
          <w:highlight w:val="none"/>
          <w:lang w:val="en-US" w:eastAsia="zh-CN"/>
        </w:rPr>
        <w:t>m</w:t>
      </w:r>
      <w:r>
        <w:rPr>
          <w:rFonts w:hint="default" w:ascii="Times New Roman" w:hAnsi="Times New Roman" w:cs="Times New Roman"/>
          <w:color w:val="0000FF"/>
          <w:highlight w:val="none"/>
          <w:vertAlign w:val="superscript"/>
          <w:lang w:val="en-US" w:eastAsia="zh-CN"/>
        </w:rPr>
        <w:t>3</w:t>
      </w:r>
      <w:r>
        <w:rPr>
          <w:rFonts w:hint="default" w:ascii="Times New Roman" w:hAnsi="Times New Roman" w:cs="Times New Roman"/>
          <w:color w:val="0000FF"/>
          <w:highlight w:val="none"/>
          <w:lang w:val="en-US" w:eastAsia="zh-CN"/>
        </w:rPr>
        <w:t>/d，污水排放系数为0.8，则水库管理所生活污水产生量为</w:t>
      </w:r>
      <w:r>
        <w:rPr>
          <w:rFonts w:hint="eastAsia" w:cs="Times New Roman"/>
          <w:color w:val="0000FF"/>
          <w:highlight w:val="none"/>
          <w:lang w:val="en-US" w:eastAsia="zh-CN"/>
        </w:rPr>
        <w:t>0.72</w:t>
      </w:r>
      <w:r>
        <w:rPr>
          <w:rFonts w:hint="default" w:ascii="Times New Roman" w:hAnsi="Times New Roman" w:cs="Times New Roman"/>
          <w:color w:val="0000FF"/>
          <w:highlight w:val="none"/>
          <w:lang w:val="en-US" w:eastAsia="zh-CN"/>
        </w:rPr>
        <w:t>m</w:t>
      </w:r>
      <w:r>
        <w:rPr>
          <w:rFonts w:hint="default" w:ascii="Times New Roman" w:hAnsi="Times New Roman" w:cs="Times New Roman"/>
          <w:color w:val="0000FF"/>
          <w:highlight w:val="none"/>
          <w:vertAlign w:val="superscript"/>
          <w:lang w:val="en-US" w:eastAsia="zh-CN"/>
        </w:rPr>
        <w:t>3</w:t>
      </w:r>
      <w:r>
        <w:rPr>
          <w:rFonts w:hint="default" w:ascii="Times New Roman" w:hAnsi="Times New Roman" w:cs="Times New Roman"/>
          <w:color w:val="0000FF"/>
          <w:highlight w:val="none"/>
          <w:lang w:val="en-US" w:eastAsia="zh-CN"/>
        </w:rPr>
        <w:t>/d，</w:t>
      </w:r>
      <w:r>
        <w:rPr>
          <w:rFonts w:hint="eastAsia" w:cs="Times New Roman"/>
          <w:color w:val="0000FF"/>
          <w:highlight w:val="none"/>
          <w:lang w:val="en-US" w:eastAsia="zh-CN"/>
        </w:rPr>
        <w:t>262.8</w:t>
      </w:r>
      <w:r>
        <w:rPr>
          <w:rFonts w:hint="default" w:ascii="Times New Roman" w:hAnsi="Times New Roman" w:cs="Times New Roman"/>
          <w:color w:val="0000FF"/>
          <w:highlight w:val="none"/>
          <w:lang w:val="en-US" w:eastAsia="zh-CN"/>
        </w:rPr>
        <w:t>m</w:t>
      </w:r>
      <w:r>
        <w:rPr>
          <w:rFonts w:hint="default" w:ascii="Times New Roman" w:hAnsi="Times New Roman" w:cs="Times New Roman"/>
          <w:color w:val="0000FF"/>
          <w:highlight w:val="none"/>
          <w:vertAlign w:val="superscript"/>
          <w:lang w:val="en-US" w:eastAsia="zh-CN"/>
        </w:rPr>
        <w:t>3</w:t>
      </w:r>
      <w:r>
        <w:rPr>
          <w:rFonts w:hint="default" w:ascii="Times New Roman" w:hAnsi="Times New Roman" w:cs="Times New Roman"/>
          <w:color w:val="0000FF"/>
          <w:highlight w:val="none"/>
          <w:lang w:val="en-US" w:eastAsia="zh-CN"/>
        </w:rPr>
        <w:t>/a。环评提出设置容积</w:t>
      </w:r>
      <w:r>
        <w:rPr>
          <w:rFonts w:hint="default" w:ascii="Times New Roman" w:hAnsi="Times New Roman" w:cs="Times New Roman"/>
          <w:color w:val="0000FF"/>
          <w:highlight w:val="none"/>
          <w:shd w:val="clear"/>
          <w:lang w:val="en-US" w:eastAsia="zh-CN"/>
        </w:rPr>
        <w:t>为</w:t>
      </w:r>
      <w:r>
        <w:rPr>
          <w:rFonts w:hint="eastAsia" w:cs="Times New Roman"/>
          <w:color w:val="0000FF"/>
          <w:highlight w:val="none"/>
          <w:shd w:val="clear"/>
          <w:lang w:val="en-US" w:eastAsia="zh-CN"/>
        </w:rPr>
        <w:t>1</w:t>
      </w:r>
      <w:r>
        <w:rPr>
          <w:rFonts w:hint="default" w:ascii="Times New Roman" w:hAnsi="Times New Roman" w:cs="Times New Roman"/>
          <w:color w:val="0000FF"/>
          <w:highlight w:val="none"/>
          <w:shd w:val="clear"/>
          <w:lang w:val="en-US" w:eastAsia="zh-CN"/>
        </w:rPr>
        <w:t>m</w:t>
      </w:r>
      <w:r>
        <w:rPr>
          <w:rFonts w:hint="default" w:ascii="Times New Roman" w:hAnsi="Times New Roman" w:cs="Times New Roman"/>
          <w:color w:val="0000FF"/>
          <w:highlight w:val="none"/>
          <w:shd w:val="clear"/>
          <w:vertAlign w:val="superscript"/>
          <w:lang w:val="en-US" w:eastAsia="zh-CN"/>
        </w:rPr>
        <w:t>3</w:t>
      </w:r>
      <w:r>
        <w:rPr>
          <w:rFonts w:hint="default" w:ascii="Times New Roman" w:hAnsi="Times New Roman" w:cs="Times New Roman"/>
          <w:color w:val="0000FF"/>
          <w:highlight w:val="none"/>
          <w:shd w:val="clear"/>
          <w:lang w:val="en-US" w:eastAsia="zh-CN"/>
        </w:rPr>
        <w:t>的隔油池处理食堂废水，设置容积为</w:t>
      </w:r>
      <w:r>
        <w:rPr>
          <w:rFonts w:hint="eastAsia" w:cs="Times New Roman"/>
          <w:color w:val="0000FF"/>
          <w:highlight w:val="none"/>
          <w:shd w:val="clear"/>
          <w:lang w:val="en-US" w:eastAsia="zh-CN"/>
        </w:rPr>
        <w:t>1.5</w:t>
      </w:r>
      <w:r>
        <w:rPr>
          <w:rFonts w:hint="default" w:ascii="Times New Roman" w:hAnsi="Times New Roman" w:cs="Times New Roman"/>
          <w:color w:val="0000FF"/>
          <w:highlight w:val="none"/>
          <w:shd w:val="clear"/>
          <w:lang w:val="en-US" w:eastAsia="zh-CN"/>
        </w:rPr>
        <w:t>m</w:t>
      </w:r>
      <w:r>
        <w:rPr>
          <w:rFonts w:hint="eastAsia"/>
          <w:color w:val="0000FF"/>
          <w:highlight w:val="none"/>
          <w:shd w:val="clear"/>
          <w:vertAlign w:val="superscript"/>
          <w:lang w:val="en-US" w:eastAsia="zh-CN"/>
        </w:rPr>
        <w:t>3</w:t>
      </w:r>
      <w:r>
        <w:rPr>
          <w:rFonts w:hint="eastAsia"/>
          <w:color w:val="0000FF"/>
          <w:highlight w:val="none"/>
          <w:lang w:val="en-US" w:eastAsia="zh-CN"/>
        </w:rPr>
        <w:t>的化粪池收集生活污水（含经隔油池处理的餐饮废水）</w:t>
      </w:r>
      <w:r>
        <w:rPr>
          <w:rFonts w:hint="eastAsia" w:ascii="Times New Roman" w:hAnsi="Times New Roman" w:eastAsia="宋体" w:cs="Times New Roman"/>
          <w:color w:val="0000FF"/>
          <w:kern w:val="0"/>
          <w:sz w:val="24"/>
          <w:lang w:val="en-US" w:eastAsia="zh-CN" w:bidi="ar"/>
        </w:rPr>
        <w:t>后</w:t>
      </w:r>
      <w:r>
        <w:rPr>
          <w:rFonts w:hint="eastAsia" w:ascii="Times New Roman" w:hAnsi="Times New Roman" w:eastAsia="宋体" w:cs="Times New Roman"/>
          <w:color w:val="0000FF"/>
          <w:kern w:val="0"/>
          <w:sz w:val="24"/>
          <w:lang w:eastAsia="zh-CN" w:bidi="ar"/>
        </w:rPr>
        <w:t>委托当地村民定期清掏用于农田施肥，无粪便污水排放。</w:t>
      </w:r>
    </w:p>
    <w:p>
      <w:pPr>
        <w:pStyle w:val="5"/>
        <w:tabs>
          <w:tab w:val="clear" w:pos="420"/>
        </w:tabs>
        <w:bidi w:val="0"/>
        <w:ind w:left="480" w:leftChars="0" w:firstLineChars="0"/>
        <w:rPr>
          <w:rFonts w:hint="eastAsia"/>
          <w:color w:val="auto"/>
          <w:lang w:val="en-US" w:eastAsia="zh-CN"/>
        </w:rPr>
      </w:pPr>
      <w:r>
        <w:rPr>
          <w:rFonts w:hint="eastAsia"/>
          <w:color w:val="auto"/>
          <w:lang w:val="en-US" w:eastAsia="zh-CN"/>
        </w:rPr>
        <w:t>噪声</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灌区工程新建提水泵站</w:t>
      </w:r>
      <w:r>
        <w:rPr>
          <w:rFonts w:hint="eastAsia" w:ascii="Times New Roman" w:hAnsi="Times New Roman" w:eastAsia="宋体" w:cs="Times New Roman"/>
          <w:color w:val="auto"/>
          <w:kern w:val="0"/>
          <w:sz w:val="24"/>
          <w:szCs w:val="24"/>
          <w:lang w:val="en-US" w:eastAsia="zh-CN" w:bidi="ar"/>
        </w:rPr>
        <w:t>2</w:t>
      </w:r>
      <w:r>
        <w:rPr>
          <w:rFonts w:hint="eastAsia" w:ascii="宋体" w:hAnsi="宋体" w:eastAsia="宋体" w:cs="宋体"/>
          <w:color w:val="auto"/>
          <w:kern w:val="0"/>
          <w:sz w:val="24"/>
          <w:szCs w:val="24"/>
          <w:lang w:val="en-US" w:eastAsia="zh-CN" w:bidi="ar"/>
        </w:rPr>
        <w:t>座，即白秧树泵站、平坦泵站，工程运行期噪声主要来自提水泵站，提水泵站噪声一般在</w:t>
      </w:r>
      <w:r>
        <w:rPr>
          <w:rFonts w:hint="default" w:ascii="Times New Roman" w:hAnsi="Times New Roman" w:eastAsia="宋体" w:cs="Times New Roman"/>
          <w:color w:val="auto"/>
          <w:kern w:val="0"/>
          <w:sz w:val="24"/>
          <w:szCs w:val="24"/>
          <w:lang w:val="en-US" w:eastAsia="zh-CN" w:bidi="ar"/>
        </w:rPr>
        <w:t>75~85dB</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A</w:t>
      </w:r>
      <w:r>
        <w:rPr>
          <w:rFonts w:hint="eastAsia" w:ascii="宋体" w:hAnsi="宋体" w:eastAsia="宋体" w:cs="宋体"/>
          <w:color w:val="auto"/>
          <w:kern w:val="0"/>
          <w:sz w:val="24"/>
          <w:szCs w:val="24"/>
          <w:lang w:val="en-US" w:eastAsia="zh-CN" w:bidi="ar"/>
        </w:rPr>
        <w:t>）之间，根据工程总体布置，拟建泵站外延</w:t>
      </w:r>
      <w:r>
        <w:rPr>
          <w:rFonts w:hint="default" w:ascii="Times New Roman" w:hAnsi="Times New Roman" w:eastAsia="宋体" w:cs="Times New Roman"/>
          <w:color w:val="auto"/>
          <w:kern w:val="0"/>
          <w:sz w:val="24"/>
          <w:szCs w:val="24"/>
          <w:lang w:val="en-US" w:eastAsia="zh-CN" w:bidi="ar"/>
        </w:rPr>
        <w:t>200m</w:t>
      </w:r>
      <w:r>
        <w:rPr>
          <w:rFonts w:hint="eastAsia" w:ascii="宋体" w:hAnsi="宋体" w:eastAsia="宋体" w:cs="宋体"/>
          <w:color w:val="auto"/>
          <w:kern w:val="0"/>
          <w:sz w:val="24"/>
          <w:szCs w:val="24"/>
          <w:lang w:val="en-US" w:eastAsia="zh-CN" w:bidi="ar"/>
        </w:rPr>
        <w:t>范围内无村和居民点分布，因此运行期噪声对外环境基本无影响。</w:t>
      </w:r>
    </w:p>
    <w:p>
      <w:pPr>
        <w:pStyle w:val="5"/>
        <w:tabs>
          <w:tab w:val="clear" w:pos="420"/>
        </w:tabs>
        <w:bidi w:val="0"/>
        <w:ind w:left="480" w:leftChars="0" w:firstLineChars="0"/>
        <w:rPr>
          <w:rFonts w:hint="default"/>
          <w:color w:val="auto"/>
          <w:lang w:val="en-US" w:eastAsia="zh-CN"/>
        </w:rPr>
      </w:pPr>
      <w:r>
        <w:rPr>
          <w:rFonts w:hint="eastAsia"/>
          <w:color w:val="auto"/>
          <w:lang w:val="en-US" w:eastAsia="zh-CN"/>
        </w:rPr>
        <w:t>固废</w:t>
      </w:r>
    </w:p>
    <w:p>
      <w:pPr>
        <w:keepNext w:val="0"/>
        <w:keepLines w:val="0"/>
        <w:widowControl/>
        <w:suppressLineNumbers w:val="0"/>
        <w:jc w:val="left"/>
        <w:rPr>
          <w:rFonts w:hint="eastAsia"/>
          <w:color w:val="auto"/>
          <w:sz w:val="24"/>
          <w:szCs w:val="24"/>
          <w:lang w:eastAsia="zh-CN"/>
        </w:rPr>
      </w:pPr>
      <w:r>
        <w:rPr>
          <w:rFonts w:hint="default" w:ascii="Times New Roman" w:hAnsi="Times New Roman" w:eastAsia="宋体" w:cs="Times New Roman"/>
          <w:color w:val="auto"/>
          <w:kern w:val="0"/>
          <w:sz w:val="24"/>
          <w:szCs w:val="24"/>
          <w:lang w:val="en-US" w:eastAsia="zh-CN" w:bidi="ar"/>
        </w:rPr>
        <w:t>管理所</w:t>
      </w:r>
      <w:r>
        <w:rPr>
          <w:rFonts w:hint="eastAsia" w:cs="Times New Roman"/>
          <w:color w:val="auto"/>
          <w:kern w:val="0"/>
          <w:sz w:val="24"/>
          <w:szCs w:val="24"/>
          <w:lang w:val="en-US" w:eastAsia="zh-CN" w:bidi="ar"/>
        </w:rPr>
        <w:t>工作人员与平均到访人员以10人计</w:t>
      </w:r>
      <w:r>
        <w:rPr>
          <w:rFonts w:hint="default" w:ascii="Times New Roman" w:hAnsi="Times New Roman" w:eastAsia="宋体" w:cs="Times New Roman"/>
          <w:color w:val="auto"/>
          <w:kern w:val="0"/>
          <w:sz w:val="24"/>
          <w:szCs w:val="24"/>
          <w:lang w:val="en-US" w:eastAsia="zh-CN" w:bidi="ar"/>
        </w:rPr>
        <w:t>，按照每人每天产生生活垃圾1kg计，</w:t>
      </w:r>
      <w:r>
        <w:rPr>
          <w:rFonts w:hint="default" w:ascii="Times New Roman" w:hAnsi="Times New Roman" w:cs="Times New Roman"/>
          <w:color w:val="auto"/>
          <w:sz w:val="24"/>
          <w:szCs w:val="24"/>
          <w:lang w:eastAsia="zh-CN"/>
        </w:rPr>
        <w:t>生活垃圾，产</w:t>
      </w:r>
      <w:r>
        <w:rPr>
          <w:rFonts w:hint="eastAsia"/>
          <w:color w:val="auto"/>
          <w:sz w:val="24"/>
          <w:szCs w:val="24"/>
          <w:lang w:eastAsia="zh-CN"/>
        </w:rPr>
        <w:t>生量</w:t>
      </w:r>
      <w:r>
        <w:rPr>
          <w:rFonts w:hint="eastAsia"/>
          <w:color w:val="auto"/>
          <w:sz w:val="24"/>
          <w:szCs w:val="24"/>
          <w:lang w:val="en-US" w:eastAsia="zh-CN"/>
        </w:rPr>
        <w:t>10</w:t>
      </w:r>
      <w:r>
        <w:rPr>
          <w:rFonts w:hint="eastAsia"/>
          <w:color w:val="auto"/>
          <w:sz w:val="24"/>
          <w:szCs w:val="24"/>
          <w:lang w:eastAsia="zh-CN"/>
        </w:rPr>
        <w:t>kg/d，自行清理至集镇集中处置点处置，对外环境影响较小。</w:t>
      </w:r>
    </w:p>
    <w:p>
      <w:pPr>
        <w:pStyle w:val="28"/>
        <w:spacing w:after="0" w:line="360" w:lineRule="auto"/>
        <w:ind w:left="0" w:leftChars="0" w:firstLine="480"/>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lang w:eastAsia="zh-CN"/>
        </w:rPr>
        <w:t>泵站水泵在产生故障或例行检修时会产生一定的机修废油，产生量约为0.005t/a，</w:t>
      </w:r>
      <w:r>
        <w:rPr>
          <w:rFonts w:hint="default" w:ascii="Times New Roman" w:hAnsi="Times New Roman" w:cs="Times New Roman"/>
          <w:color w:val="auto"/>
          <w:sz w:val="24"/>
          <w:szCs w:val="24"/>
          <w:highlight w:val="none"/>
          <w:lang w:eastAsia="zh-CN"/>
        </w:rPr>
        <w:t>属于《国家危险废物名录（2021年版）》中的 HW08 废矿物油与含矿物油废物，废物代码为900-214-08，暂存于危废暂存间，定期交由有资质单位处置。</w:t>
      </w:r>
    </w:p>
    <w:p>
      <w:pPr>
        <w:pStyle w:val="5"/>
        <w:tabs>
          <w:tab w:val="clear" w:pos="420"/>
        </w:tabs>
        <w:bidi w:val="0"/>
        <w:ind w:left="480" w:leftChars="0" w:firstLineChars="0"/>
        <w:rPr>
          <w:rFonts w:hint="default"/>
          <w:color w:val="auto"/>
          <w:lang w:val="en-US" w:eastAsia="zh-CN"/>
        </w:rPr>
      </w:pPr>
      <w:r>
        <w:rPr>
          <w:rFonts w:hint="eastAsia"/>
          <w:color w:val="auto"/>
          <w:lang w:val="en-US" w:eastAsia="zh-CN"/>
        </w:rPr>
        <w:t>生态环境</w:t>
      </w:r>
    </w:p>
    <w:p>
      <w:pPr>
        <w:keepNext w:val="0"/>
        <w:keepLines w:val="0"/>
        <w:widowControl/>
        <w:suppressLineNumbers w:val="0"/>
        <w:jc w:val="left"/>
        <w:rPr>
          <w:rFonts w:hint="default"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1、对陆生生态的影响</w:t>
      </w:r>
    </w:p>
    <w:p>
      <w:pPr>
        <w:keepNext w:val="0"/>
        <w:keepLines w:val="0"/>
        <w:widowControl/>
        <w:suppressLineNumbers w:val="0"/>
        <w:jc w:val="left"/>
        <w:rPr>
          <w:rFonts w:hint="default" w:eastAsia="宋体"/>
          <w:color w:val="auto"/>
          <w:lang w:val="en-US" w:eastAsia="zh-CN"/>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lang w:val="en-US" w:eastAsia="zh-CN"/>
        </w:rPr>
        <w:t>植物植被</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随着渣场、施工便道等处植被的恢复，本工程对评价区植物及植被的影响将逐渐降低。同时运行期线路输水，沿线向各灌区供水，对植被的影响主要为水分条件改善。</w:t>
      </w:r>
      <w:r>
        <w:rPr>
          <w:rFonts w:hint="default" w:ascii="Times New Roman" w:hAnsi="Times New Roman" w:cs="Times New Roman"/>
          <w:color w:val="auto"/>
          <w:lang w:val="en-US" w:eastAsia="zh-CN"/>
        </w:rPr>
        <w:t>评价区</w:t>
      </w:r>
      <w:r>
        <w:rPr>
          <w:rFonts w:hint="default" w:ascii="Times New Roman" w:hAnsi="Times New Roman" w:cs="Times New Roman"/>
          <w:color w:val="auto"/>
          <w:sz w:val="24"/>
          <w:szCs w:val="24"/>
        </w:rPr>
        <w:t>植被类型在评价区及周边还有广泛分布</w:t>
      </w:r>
      <w:r>
        <w:rPr>
          <w:rFonts w:hint="default" w:ascii="Times New Roman" w:hAnsi="Times New Roman" w:cs="Times New Roman"/>
          <w:color w:val="auto"/>
          <w:lang w:val="en-US" w:eastAsia="zh-CN"/>
        </w:rPr>
        <w:t>，</w:t>
      </w:r>
      <w:r>
        <w:rPr>
          <w:rFonts w:hint="default" w:ascii="Times New Roman" w:hAnsi="Times New Roman" w:cs="Times New Roman"/>
          <w:color w:val="auto"/>
          <w:lang w:val="en-US"/>
        </w:rPr>
        <w:t>不会造成某种植被类型在评价区内消失，不会导致景观的单一化，对评价区内的植被</w:t>
      </w:r>
      <w:r>
        <w:rPr>
          <w:rFonts w:hint="default" w:ascii="Times New Roman" w:hAnsi="Times New Roman" w:cs="Times New Roman"/>
          <w:color w:val="auto"/>
          <w:lang w:val="en-US" w:eastAsia="zh-CN"/>
        </w:rPr>
        <w:t>影响较小。</w:t>
      </w:r>
      <w:r>
        <w:rPr>
          <w:rFonts w:hint="default" w:ascii="Times New Roman" w:hAnsi="Times New Roman" w:eastAsia="宋体" w:cs="Times New Roman"/>
          <w:color w:val="auto"/>
          <w:kern w:val="0"/>
          <w:sz w:val="24"/>
          <w:szCs w:val="24"/>
          <w:lang w:val="en-US" w:eastAsia="zh-CN" w:bidi="ar"/>
        </w:rPr>
        <w:t>本工程的建设目的主要在于灌溉，工程运行后，将增加工程农业区域的灌溉用水，提高灌溉效率，改善区域植被干旱缺水的现状，促进植物的生长发育，对区域的植被发育有利。</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（2）陆生脊椎动物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default" w:ascii="Times New Roman" w:hAnsi="Times New Roman" w:eastAsia="宋体" w:cs="Times New Roman"/>
          <w:color w:val="auto"/>
          <w:sz w:val="24"/>
          <w:szCs w:val="24"/>
          <w:highlight w:val="none"/>
          <w:lang w:val="en-US" w:eastAsia="en-US"/>
        </w:rPr>
        <w:t>项目建成后，泵站、</w:t>
      </w:r>
      <w:r>
        <w:rPr>
          <w:rFonts w:hint="default" w:ascii="Times New Roman" w:hAnsi="Times New Roman" w:eastAsia="宋体" w:cs="Times New Roman"/>
          <w:color w:val="auto"/>
          <w:sz w:val="24"/>
          <w:szCs w:val="24"/>
          <w:highlight w:val="none"/>
          <w:lang w:val="en-US" w:eastAsia="zh-CN"/>
        </w:rPr>
        <w:t>水池</w:t>
      </w:r>
      <w:r>
        <w:rPr>
          <w:rFonts w:hint="default" w:ascii="Times New Roman" w:hAnsi="Times New Roman" w:eastAsia="宋体" w:cs="Times New Roman"/>
          <w:color w:val="auto"/>
          <w:sz w:val="24"/>
          <w:szCs w:val="24"/>
          <w:highlight w:val="none"/>
          <w:lang w:val="en-US" w:eastAsia="en-US"/>
        </w:rPr>
        <w:t>等成为永久性的非自然物体，对于善于飞行的鸟类动物而言所产生的阻隔效应不明显。但是对于两栖类、爬行类和哺乳类动物而言，由于活动主要在地面进行，项目的建设对其地面的运动将造成一定的障碍。但项目但占地面积较小，工程主要为提水管线但阻隔，并非无法跨越，因此，本项目运营期对于陆生动物的隔离效应较建设前增加不显著。</w:t>
      </w:r>
    </w:p>
    <w:p>
      <w:pPr>
        <w:keepNext w:val="0"/>
        <w:keepLines w:val="0"/>
        <w:pageBreakBefore w:val="0"/>
        <w:widowControl w:val="0"/>
        <w:numPr>
          <w:ilvl w:val="0"/>
          <w:numId w:val="16"/>
        </w:numPr>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水生生态的影响</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受水水库内以人工放养的鲢、鲤、鲫、草鱼等喜缓流型常见鱼类为主，河流中多见喜湍流鱼类为主，均未调查到珍稀鱼类、特有鱼类、长距离洄游性鱼类及鱼类</w:t>
      </w:r>
      <w:r>
        <w:rPr>
          <w:rFonts w:hint="eastAsia"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三场</w:t>
      </w:r>
      <w:r>
        <w:rPr>
          <w:rFonts w:hint="eastAsia"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（越冬场、产卵场、索饵场）分布。工程退水对受水区河流水文情势的影响不大，水位不会发生大幅涨落，对受水区鱼类生存环境的影响较为有限。</w:t>
      </w:r>
    </w:p>
    <w:p>
      <w:pPr>
        <w:rPr>
          <w:rFonts w:hint="default"/>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p>
    <w:p>
      <w:pPr>
        <w:pStyle w:val="2"/>
        <w:numPr>
          <w:ilvl w:val="0"/>
          <w:numId w:val="1"/>
        </w:numPr>
        <w:bidi w:val="0"/>
        <w:rPr>
          <w:rFonts w:hint="default"/>
          <w:color w:val="auto"/>
          <w:highlight w:val="none"/>
        </w:rPr>
      </w:pPr>
      <w:bookmarkStart w:id="426" w:name="_Toc11343"/>
      <w:bookmarkStart w:id="427" w:name="_Toc15454"/>
      <w:bookmarkStart w:id="428" w:name="_Toc32543"/>
      <w:bookmarkStart w:id="429" w:name="_Toc3816"/>
      <w:bookmarkStart w:id="430" w:name="_Toc24327"/>
      <w:bookmarkStart w:id="431" w:name="_Toc6544"/>
      <w:bookmarkStart w:id="432" w:name="_Toc30768"/>
      <w:bookmarkStart w:id="433" w:name="_Toc22407"/>
      <w:bookmarkStart w:id="434" w:name="_Toc29151"/>
      <w:r>
        <w:rPr>
          <w:rFonts w:hint="default"/>
          <w:color w:val="auto"/>
          <w:highlight w:val="none"/>
        </w:rPr>
        <w:t>环境现状调查与评价</w:t>
      </w:r>
      <w:bookmarkEnd w:id="426"/>
      <w:bookmarkEnd w:id="427"/>
      <w:bookmarkEnd w:id="428"/>
      <w:bookmarkEnd w:id="429"/>
      <w:bookmarkEnd w:id="430"/>
      <w:bookmarkEnd w:id="431"/>
      <w:bookmarkEnd w:id="432"/>
      <w:bookmarkEnd w:id="433"/>
      <w:bookmarkEnd w:id="434"/>
    </w:p>
    <w:p>
      <w:pPr>
        <w:pStyle w:val="3"/>
        <w:numPr>
          <w:ilvl w:val="1"/>
          <w:numId w:val="1"/>
        </w:numPr>
        <w:bidi w:val="0"/>
        <w:rPr>
          <w:rFonts w:hint="default"/>
          <w:color w:val="auto"/>
          <w:highlight w:val="none"/>
        </w:rPr>
      </w:pPr>
      <w:bookmarkStart w:id="435" w:name="_Toc19628"/>
      <w:bookmarkStart w:id="436" w:name="_Toc25881"/>
      <w:bookmarkStart w:id="437" w:name="_Toc24064"/>
      <w:bookmarkStart w:id="438" w:name="_Toc16460"/>
      <w:bookmarkStart w:id="439" w:name="_Toc7997"/>
      <w:bookmarkStart w:id="440" w:name="_Toc7064"/>
      <w:bookmarkStart w:id="441" w:name="_Toc18055"/>
      <w:r>
        <w:rPr>
          <w:rFonts w:hint="default"/>
          <w:color w:val="auto"/>
          <w:highlight w:val="none"/>
        </w:rPr>
        <w:t>自然环境概况</w:t>
      </w:r>
      <w:bookmarkEnd w:id="435"/>
      <w:bookmarkEnd w:id="436"/>
      <w:bookmarkEnd w:id="437"/>
      <w:bookmarkEnd w:id="438"/>
      <w:bookmarkEnd w:id="439"/>
      <w:bookmarkEnd w:id="440"/>
      <w:bookmarkEnd w:id="441"/>
    </w:p>
    <w:p>
      <w:pPr>
        <w:pStyle w:val="4"/>
        <w:numPr>
          <w:ilvl w:val="2"/>
          <w:numId w:val="1"/>
        </w:numPr>
        <w:bidi w:val="0"/>
        <w:rPr>
          <w:rFonts w:hint="default"/>
          <w:color w:val="auto"/>
          <w:highlight w:val="none"/>
        </w:rPr>
      </w:pPr>
      <w:bookmarkStart w:id="442" w:name="_Toc28034"/>
      <w:bookmarkStart w:id="443" w:name="_Toc31910"/>
      <w:bookmarkStart w:id="444" w:name="_Toc14810"/>
      <w:bookmarkStart w:id="445" w:name="_Toc8530"/>
      <w:bookmarkStart w:id="446" w:name="_Toc14273"/>
      <w:bookmarkStart w:id="447" w:name="_Toc31758"/>
      <w:bookmarkStart w:id="448" w:name="_Toc62473862"/>
      <w:r>
        <w:rPr>
          <w:rFonts w:hint="default"/>
          <w:color w:val="auto"/>
          <w:highlight w:val="none"/>
        </w:rPr>
        <w:t>项目区地理位置</w:t>
      </w:r>
      <w:bookmarkEnd w:id="442"/>
      <w:bookmarkEnd w:id="443"/>
      <w:bookmarkEnd w:id="444"/>
      <w:bookmarkEnd w:id="445"/>
      <w:bookmarkEnd w:id="446"/>
      <w:bookmarkEnd w:id="447"/>
      <w:bookmarkEnd w:id="448"/>
    </w:p>
    <w:p>
      <w:pPr>
        <w:bidi w:val="0"/>
        <w:ind w:firstLine="480" w:firstLineChars="200"/>
        <w:rPr>
          <w:rFonts w:hint="eastAsia"/>
          <w:color w:val="auto"/>
          <w:highlight w:val="none"/>
          <w:lang w:eastAsia="zh-CN"/>
        </w:rPr>
      </w:pPr>
      <w:r>
        <w:rPr>
          <w:rFonts w:hint="default"/>
          <w:color w:val="auto"/>
          <w:highlight w:val="none"/>
        </w:rPr>
        <w:t>本项目位于金沙江元谋县姜驿乡段，工程涉及范围为姜驿乡水平石、半箐、姜驿</w:t>
      </w:r>
      <w:r>
        <w:rPr>
          <w:rFonts w:hint="eastAsia"/>
          <w:color w:val="auto"/>
          <w:highlight w:val="none"/>
          <w:lang w:eastAsia="zh-CN"/>
        </w:rPr>
        <w:t>、</w:t>
      </w:r>
      <w:r>
        <w:rPr>
          <w:rFonts w:hint="default"/>
          <w:color w:val="auto"/>
          <w:highlight w:val="none"/>
          <w:lang w:val="en-US" w:eastAsia="zh-CN"/>
        </w:rPr>
        <w:t>糯拉</w:t>
      </w:r>
      <w:r>
        <w:rPr>
          <w:rFonts w:hint="eastAsia"/>
          <w:color w:val="auto"/>
          <w:highlight w:val="none"/>
          <w:lang w:val="en-US" w:eastAsia="zh-CN"/>
        </w:rPr>
        <w:t>鲊</w:t>
      </w:r>
      <w:r>
        <w:rPr>
          <w:rFonts w:hint="default"/>
          <w:color w:val="auto"/>
          <w:highlight w:val="none"/>
        </w:rPr>
        <w:t>4个村委会32个自然村和江边乡盐水井村委会3个自然村</w:t>
      </w:r>
      <w:r>
        <w:rPr>
          <w:rFonts w:hint="eastAsia"/>
          <w:color w:val="auto"/>
          <w:highlight w:val="none"/>
          <w:lang w:eastAsia="zh-CN"/>
        </w:rPr>
        <w:t>，</w:t>
      </w:r>
      <w:r>
        <w:rPr>
          <w:rFonts w:hint="default"/>
          <w:color w:val="auto"/>
          <w:highlight w:val="none"/>
        </w:rPr>
        <w:t>姜驿乡隶属于云南省楚雄州彝族自治州元谋县，位于元谋县最北部，与四川省凉山彝族自治州会理市绿水镇相邻，距县城66km</w:t>
      </w:r>
      <w:r>
        <w:rPr>
          <w:rFonts w:hint="eastAsia"/>
          <w:color w:val="auto"/>
          <w:highlight w:val="none"/>
          <w:lang w:eastAsia="zh-CN"/>
        </w:rPr>
        <w:t>。</w:t>
      </w:r>
    </w:p>
    <w:p>
      <w:pPr>
        <w:pStyle w:val="4"/>
        <w:numPr>
          <w:ilvl w:val="2"/>
          <w:numId w:val="1"/>
        </w:numPr>
        <w:bidi w:val="0"/>
        <w:rPr>
          <w:rFonts w:hint="default"/>
          <w:color w:val="auto"/>
          <w:highlight w:val="none"/>
        </w:rPr>
      </w:pPr>
      <w:bookmarkStart w:id="449" w:name="_Toc26670"/>
      <w:bookmarkStart w:id="450" w:name="_Toc7352"/>
      <w:bookmarkStart w:id="451" w:name="_Toc3191"/>
      <w:bookmarkStart w:id="452" w:name="_Toc4929"/>
      <w:bookmarkStart w:id="453" w:name="_Toc16436"/>
      <w:bookmarkStart w:id="454" w:name="_Toc7048"/>
      <w:bookmarkStart w:id="455" w:name="_Toc18511"/>
      <w:bookmarkStart w:id="456" w:name="_Toc28337"/>
      <w:r>
        <w:rPr>
          <w:rFonts w:hint="default"/>
          <w:color w:val="auto"/>
          <w:highlight w:val="none"/>
        </w:rPr>
        <w:t>地形地貌</w:t>
      </w:r>
      <w:bookmarkEnd w:id="449"/>
      <w:bookmarkEnd w:id="450"/>
      <w:bookmarkEnd w:id="451"/>
      <w:bookmarkEnd w:id="452"/>
      <w:bookmarkEnd w:id="453"/>
      <w:bookmarkEnd w:id="454"/>
      <w:bookmarkEnd w:id="455"/>
      <w:bookmarkEnd w:id="456"/>
    </w:p>
    <w:p>
      <w:pPr>
        <w:ind w:firstLine="480" w:firstLineChars="200"/>
        <w:rPr>
          <w:rFonts w:hint="default"/>
          <w:color w:val="auto"/>
          <w:highlight w:val="none"/>
        </w:rPr>
      </w:pPr>
      <w:r>
        <w:rPr>
          <w:rFonts w:hint="default"/>
          <w:color w:val="auto"/>
          <w:highlight w:val="none"/>
        </w:rPr>
        <w:t>元谋县位于滇中高原北部，东西宽42km，南北长78km，呈南北向长条形展布。境内四周山峦环抱，东南高，西北低，中部为元谋盆地，海拔在898～2835.9m之间，金沙江、龙川江、猛岗河纵穿中部而过。元谋县境属大雪山系，其分支有三台山脉，白草岭山脉和鲁南山脉，三台山自南而北，伸入元谋；白草岭山脉由牟定、大姚延伸入境；鲁南山脉自北而南由四川会理延伸入境。境内旱季和雨界限分明风气候显著，气温随海拔增加而递减，降雨随海拔增加而递，</w:t>
      </w:r>
      <w:r>
        <w:rPr>
          <w:rFonts w:hint="eastAsia"/>
          <w:color w:val="auto"/>
          <w:highlight w:val="none"/>
          <w:lang w:eastAsia="zh-CN"/>
        </w:rPr>
        <w:t>“</w:t>
      </w:r>
      <w:r>
        <w:rPr>
          <w:rFonts w:hint="default"/>
          <w:color w:val="auto"/>
          <w:highlight w:val="none"/>
        </w:rPr>
        <w:t>立体气候</w:t>
      </w:r>
      <w:r>
        <w:rPr>
          <w:rFonts w:hint="eastAsia"/>
          <w:color w:val="auto"/>
          <w:highlight w:val="none"/>
          <w:lang w:eastAsia="zh-CN"/>
        </w:rPr>
        <w:t>”</w:t>
      </w:r>
      <w:r>
        <w:rPr>
          <w:rFonts w:hint="default"/>
          <w:color w:val="auto"/>
          <w:highlight w:val="none"/>
        </w:rPr>
        <w:t>特征明显。海拔2001～2835m区面积272.74km²，为暖温带-温带气候区；海拔1701～2000m区面积314.09km²，为北亚热带气候区；海拔1351～1700m区面积636.70km²，为中亚热带气候区；海拔898～1350m区面积797.51km²，为南亚热带气候区。</w:t>
      </w:r>
    </w:p>
    <w:p>
      <w:pPr>
        <w:ind w:firstLine="480" w:firstLineChars="200"/>
        <w:rPr>
          <w:rFonts w:hint="default"/>
          <w:color w:val="auto"/>
          <w:highlight w:val="none"/>
        </w:rPr>
      </w:pPr>
      <w:r>
        <w:rPr>
          <w:rFonts w:hint="default"/>
          <w:color w:val="auto"/>
          <w:highlight w:val="none"/>
        </w:rPr>
        <w:t>本项目位于云南省楚雄彝族自治州元谋县境内，项目区为元谋县金沙江以北地区，工程区域为金沙江干热河谷地带，涉及姜驿乡水平石、半箐、姜驿、</w:t>
      </w:r>
      <w:r>
        <w:rPr>
          <w:rFonts w:hint="default"/>
          <w:color w:val="auto"/>
          <w:highlight w:val="none"/>
          <w:lang w:val="en-US" w:eastAsia="zh-CN"/>
        </w:rPr>
        <w:t>糯拉</w:t>
      </w:r>
      <w:r>
        <w:rPr>
          <w:rFonts w:hint="eastAsia"/>
          <w:color w:val="auto"/>
          <w:highlight w:val="none"/>
          <w:lang w:val="en-US" w:eastAsia="zh-CN"/>
        </w:rPr>
        <w:t>鲊</w:t>
      </w:r>
      <w:r>
        <w:rPr>
          <w:rFonts w:hint="default"/>
          <w:color w:val="auto"/>
          <w:highlight w:val="none"/>
        </w:rPr>
        <w:t>4个村委会32个自然村和江边乡盐水井村委会3个自然村。姜驿乡北高南低，属川西高原边界地貌，境内最高海拔2398米，最低海拔899米，其中在1800-2100米主要为高原地貌，地势相对平坦。输水管线位于金沙江北岸的夷平面上，区内山脉、水系受地质构造控制，大致呈WE、SE向排列，受金沙江及其支流切割，整体地势东部高，西部低。按成因，输水线路区地貌类型包括：河谷侵蚀构造地貌和构造剥蚀地貌。河谷为少量堆积物，为近期仍在下切的侵蚀构造地貌。受地壳上升运动作用，区内构造剥蚀地貌明显，表现为</w:t>
      </w:r>
      <w:r>
        <w:rPr>
          <w:rFonts w:hint="eastAsia"/>
          <w:color w:val="auto"/>
          <w:highlight w:val="none"/>
          <w:lang w:eastAsia="zh-CN"/>
        </w:rPr>
        <w:t>剥离面</w:t>
      </w:r>
      <w:r>
        <w:rPr>
          <w:rFonts w:hint="default"/>
          <w:color w:val="auto"/>
          <w:highlight w:val="none"/>
        </w:rPr>
        <w:t>：</w:t>
      </w:r>
      <w:r>
        <w:rPr>
          <w:rFonts w:hint="eastAsia"/>
          <w:color w:val="auto"/>
          <w:highlight w:val="none"/>
          <w:lang w:eastAsia="zh-CN"/>
        </w:rPr>
        <w:t>剥离面</w:t>
      </w:r>
      <w:r>
        <w:rPr>
          <w:rFonts w:hint="default"/>
          <w:color w:val="auto"/>
          <w:highlight w:val="none"/>
        </w:rPr>
        <w:t>高程1800～2000m，覆盖物少且略有起伏，多为低中山及丘陵或宽缓谷地。</w:t>
      </w:r>
    </w:p>
    <w:p>
      <w:pPr>
        <w:pStyle w:val="4"/>
        <w:numPr>
          <w:ilvl w:val="2"/>
          <w:numId w:val="1"/>
        </w:numPr>
        <w:bidi w:val="0"/>
        <w:rPr>
          <w:rFonts w:hint="eastAsia"/>
          <w:color w:val="auto"/>
          <w:highlight w:val="none"/>
          <w:lang w:val="en-US" w:eastAsia="zh-CN"/>
        </w:rPr>
      </w:pPr>
      <w:bookmarkStart w:id="457" w:name="_Toc17318"/>
      <w:bookmarkStart w:id="458" w:name="_Toc19543"/>
      <w:bookmarkStart w:id="459" w:name="_Toc26468"/>
      <w:bookmarkStart w:id="460" w:name="_Toc8543"/>
      <w:r>
        <w:rPr>
          <w:rFonts w:hint="default"/>
          <w:color w:val="auto"/>
          <w:highlight w:val="none"/>
          <w:lang w:val="en-US" w:eastAsia="zh-CN"/>
        </w:rPr>
        <w:t>地质</w:t>
      </w:r>
      <w:bookmarkEnd w:id="457"/>
      <w:bookmarkEnd w:id="458"/>
      <w:bookmarkEnd w:id="459"/>
      <w:bookmarkEnd w:id="460"/>
    </w:p>
    <w:p>
      <w:pPr>
        <w:pStyle w:val="5"/>
        <w:numPr>
          <w:ilvl w:val="3"/>
          <w:numId w:val="1"/>
        </w:numPr>
        <w:bidi w:val="0"/>
        <w:ind w:left="480" w:leftChars="0" w:firstLineChars="0"/>
        <w:rPr>
          <w:rFonts w:hint="eastAsia"/>
          <w:color w:val="auto"/>
          <w:lang w:val="en-US" w:eastAsia="zh-CN"/>
        </w:rPr>
      </w:pPr>
      <w:r>
        <w:rPr>
          <w:rFonts w:hint="eastAsia"/>
          <w:color w:val="auto"/>
          <w:lang w:val="en-US" w:eastAsia="zh-CN"/>
        </w:rPr>
        <w:t>地质岩性</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工程区域内分布的地层有元古界上昆阳群、中生界侏罗系、白垩系、新生界第四系。早元古代时期堆积了巨厚的类复理式泥质、砂泥质及砂质碎屑物，晋宁运动使该区褶皱上升及花岗岩的侵入，长期遭受剥蚀、冲刷。燕山运动早期内大面积凹陷，形成了以红色为主的碎屑物堆积，致使中生代地层超覆于上昆阳群基底之上，呈不整合接触。燕山晚期运动使区内普遍褶皱、隆起，并伴有断裂活动，基底断裂再度复活，使姜驿阿腊益山、元谋东山强烈上升为高山区，元谋断陷盆地开始形成。新生代早期元谋盆地及周边堆积了数米至上百米第四系砂、砾、粘土。在风化、剥蚀、冲刷的作用下，河床冲积、坡残积堆积相继形成。根据该区内各类地层分布范围、岩性特征、沉积韵律、岩相变化、岩性组合特征，由老到新分述如下：</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一、元古界上昆阳群（Pt</w:t>
      </w:r>
      <w:r>
        <w:rPr>
          <w:rFonts w:hint="default"/>
          <w:color w:val="auto"/>
          <w:highlight w:val="none"/>
          <w:vertAlign w:val="subscript"/>
          <w:lang w:val="en-US" w:eastAsia="zh-CN"/>
        </w:rPr>
        <w:t>1</w:t>
      </w:r>
      <w:r>
        <w:rPr>
          <w:rFonts w:hint="default"/>
          <w:color w:val="auto"/>
          <w:highlight w:val="none"/>
          <w:lang w:val="en-US" w:eastAsia="zh-CN"/>
        </w:rPr>
        <w:t>kn</w:t>
      </w:r>
      <w:r>
        <w:rPr>
          <w:rFonts w:hint="default"/>
          <w:color w:val="auto"/>
          <w:highlight w:val="none"/>
          <w:vertAlign w:val="subscript"/>
          <w:lang w:val="en-US" w:eastAsia="zh-CN"/>
        </w:rPr>
        <w:t>2</w:t>
      </w:r>
      <w:r>
        <w:rPr>
          <w:rFonts w:hint="default"/>
          <w:color w:val="auto"/>
          <w:highlight w:val="none"/>
          <w:vertAlign w:val="superscript"/>
          <w:lang w:val="en-US" w:eastAsia="zh-CN"/>
        </w:rPr>
        <w:t>1</w:t>
      </w:r>
      <w:r>
        <w:rPr>
          <w:rFonts w:hint="default"/>
          <w:color w:val="auto"/>
          <w:highlight w:val="none"/>
          <w:lang w:val="en-US" w:eastAsia="zh-CN"/>
        </w:rPr>
        <w:t>）：</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厚度大于1400m，分布于工程区南西江边渡口、棋盘山大部：该区称苴林群，外露的是下部地层，即苴林群第一段。上部花岗质片麻岩、云母石英片岩夹石英岩及云母石英片岩；中部石英片岩夹大理岩透镜体，下部片麻岩夹石英片岩，未见底。</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二、晋宁期花岗岩（γ</w:t>
      </w:r>
      <w:r>
        <w:rPr>
          <w:rFonts w:hint="default"/>
          <w:color w:val="auto"/>
          <w:highlight w:val="none"/>
          <w:vertAlign w:val="subscript"/>
          <w:lang w:val="en-US" w:eastAsia="zh-CN"/>
        </w:rPr>
        <w:t>2</w:t>
      </w:r>
      <w:r>
        <w:rPr>
          <w:rFonts w:hint="default"/>
          <w:color w:val="auto"/>
          <w:highlight w:val="none"/>
          <w:vertAlign w:val="superscript"/>
          <w:lang w:val="en-US" w:eastAsia="zh-CN"/>
        </w:rPr>
        <w:t>1</w:t>
      </w:r>
      <w:r>
        <w:rPr>
          <w:rFonts w:hint="default"/>
          <w:color w:val="auto"/>
          <w:highlight w:val="none"/>
          <w:lang w:val="en-US" w:eastAsia="zh-CN"/>
        </w:rPr>
        <w:t>）：</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零星出露于工程区北西他马噶西侧，岩体侵入于上昆阳群片麻岩、片岩段所组成的棋盘山背斜中，呈北北东延伸约2.5Km，东西出露宽度约1.5Km，岩体呈北东—北北东向流面产状与上昆阳群的主要构造线基本相同。岩体中有较多长英角岩捕掳体，同时见岩体被华力西期早期超基性岩体—辉长岩所侵入。</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三、中生界三叠系上统（T</w:t>
      </w:r>
      <w:r>
        <w:rPr>
          <w:rFonts w:hint="default"/>
          <w:color w:val="auto"/>
          <w:highlight w:val="none"/>
          <w:vertAlign w:val="subscript"/>
          <w:lang w:val="en-US" w:eastAsia="zh-CN"/>
        </w:rPr>
        <w:t>3</w:t>
      </w:r>
      <w:r>
        <w:rPr>
          <w:rFonts w:hint="default"/>
          <w:color w:val="auto"/>
          <w:highlight w:val="none"/>
          <w:lang w:val="en-US" w:eastAsia="zh-CN"/>
        </w:rPr>
        <w:t>）：</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（1）三叠系上统大箐组（T</w:t>
      </w:r>
      <w:r>
        <w:rPr>
          <w:rFonts w:hint="default"/>
          <w:color w:val="auto"/>
          <w:highlight w:val="none"/>
          <w:vertAlign w:val="subscript"/>
          <w:lang w:val="en-US" w:eastAsia="zh-CN"/>
        </w:rPr>
        <w:t>3</w:t>
      </w:r>
      <w:r>
        <w:rPr>
          <w:rFonts w:hint="default"/>
          <w:color w:val="auto"/>
          <w:highlight w:val="none"/>
          <w:lang w:val="en-US" w:eastAsia="zh-CN"/>
        </w:rPr>
        <w:t>dq）：</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灰白、黄白色细至中粒石英砂岩、含长石石英砂岩，灰黑、黄绿色泥岩、页岩。厚度190～2700m。分布于工程区阿腊益北西一带。</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四、中生界侏罗系（J）：</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（1）侏罗系下统冯家河组（J1f）：</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上部为棕红、暗紫红色厚层至块状泥岩，灰色、紫红色细至细粒石英砂岩。下部为紫红至斑杂色泥岩为主夹灰白至浅灰白色细至中细粒石英砂岩。层厚 300～1616m。分布在姜驿乡南侧一带。</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（2）侏罗系中统张河组（J2z）：</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上部紫红、灰紫色粉砂质页岩、粉砂岩夹黄绿色层纹状泥灰岩。下部黄绿色、灰绿色长石砂岩、长石石英砂岩及紫红色页岩。厚250～883m。分布在工程区中部一带。</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（3）侏罗系中统蛇店组（J2s）：</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暗紫红色泥岩与浅灰、紫红色石英砂岩、长石石英砂岩不等厚互层，砂岩约占40%。厚453～1112m。分布于</w:t>
      </w:r>
      <w:r>
        <w:rPr>
          <w:rFonts w:hint="eastAsia"/>
          <w:color w:val="auto"/>
          <w:highlight w:val="none"/>
          <w:lang w:val="en-US" w:eastAsia="zh-CN"/>
        </w:rPr>
        <w:t>华峰</w:t>
      </w:r>
      <w:r>
        <w:rPr>
          <w:rFonts w:hint="default"/>
          <w:color w:val="auto"/>
          <w:highlight w:val="none"/>
          <w:lang w:val="en-US" w:eastAsia="zh-CN"/>
        </w:rPr>
        <w:t>村南侧工程区大部。</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五、中生界白垩系上统（K</w:t>
      </w:r>
      <w:r>
        <w:rPr>
          <w:rFonts w:hint="default"/>
          <w:color w:val="auto"/>
          <w:highlight w:val="none"/>
          <w:vertAlign w:val="subscript"/>
          <w:lang w:val="en-US" w:eastAsia="zh-CN"/>
        </w:rPr>
        <w:t>2</w:t>
      </w:r>
      <w:r>
        <w:rPr>
          <w:rFonts w:hint="default"/>
          <w:color w:val="auto"/>
          <w:highlight w:val="none"/>
          <w:lang w:val="en-US" w:eastAsia="zh-CN"/>
        </w:rPr>
        <w:t>）：</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（1）白垩系上统马头山组（K</w:t>
      </w:r>
      <w:r>
        <w:rPr>
          <w:rFonts w:hint="default"/>
          <w:color w:val="auto"/>
          <w:highlight w:val="none"/>
          <w:vertAlign w:val="subscript"/>
          <w:lang w:val="en-US" w:eastAsia="zh-CN"/>
        </w:rPr>
        <w:t>2</w:t>
      </w:r>
      <w:r>
        <w:rPr>
          <w:rFonts w:hint="default"/>
          <w:color w:val="auto"/>
          <w:highlight w:val="none"/>
          <w:lang w:val="en-US" w:eastAsia="zh-CN"/>
        </w:rPr>
        <w:t>m）：</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为浅紫红色中厚层～厚层状中～粗粒长石石英砂岩，局部含铜，底部为3～5m厚的底砾岩，砂、砾岩约75%，厚272m左右。分布于工程区以东依里古小断裂北东盘。</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（2）白垩系上统江底河组第一段（K</w:t>
      </w:r>
      <w:r>
        <w:rPr>
          <w:rFonts w:hint="default"/>
          <w:color w:val="auto"/>
          <w:highlight w:val="none"/>
          <w:vertAlign w:val="subscript"/>
          <w:lang w:val="en-US" w:eastAsia="zh-CN"/>
        </w:rPr>
        <w:t>1</w:t>
      </w:r>
      <w:r>
        <w:rPr>
          <w:rFonts w:hint="default"/>
          <w:color w:val="auto"/>
          <w:highlight w:val="none"/>
          <w:lang w:val="en-US" w:eastAsia="zh-CN"/>
        </w:rPr>
        <w:t>j</w:t>
      </w:r>
      <w:r>
        <w:rPr>
          <w:rFonts w:hint="default"/>
          <w:color w:val="auto"/>
          <w:highlight w:val="none"/>
          <w:vertAlign w:val="superscript"/>
          <w:lang w:val="en-US" w:eastAsia="zh-CN"/>
        </w:rPr>
        <w:t>1</w:t>
      </w:r>
      <w:r>
        <w:rPr>
          <w:rFonts w:hint="default"/>
          <w:color w:val="auto"/>
          <w:highlight w:val="none"/>
          <w:lang w:val="en-US" w:eastAsia="zh-CN"/>
        </w:rPr>
        <w:t>）：</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以紫红色泥岩为主夹钙质泥岩及泥灰岩。厚0～770m，分布于依里古东大部。</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（3）白垩系上统江底河组第二段（K</w:t>
      </w:r>
      <w:r>
        <w:rPr>
          <w:rFonts w:hint="default"/>
          <w:color w:val="auto"/>
          <w:highlight w:val="none"/>
          <w:vertAlign w:val="subscript"/>
          <w:lang w:val="en-US" w:eastAsia="zh-CN"/>
        </w:rPr>
        <w:t>1</w:t>
      </w:r>
      <w:r>
        <w:rPr>
          <w:rFonts w:hint="default"/>
          <w:color w:val="auto"/>
          <w:highlight w:val="none"/>
          <w:lang w:val="en-US" w:eastAsia="zh-CN"/>
        </w:rPr>
        <w:t>j</w:t>
      </w:r>
      <w:r>
        <w:rPr>
          <w:rFonts w:hint="default"/>
          <w:color w:val="auto"/>
          <w:highlight w:val="none"/>
          <w:vertAlign w:val="superscript"/>
          <w:lang w:val="en-US" w:eastAsia="zh-CN"/>
        </w:rPr>
        <w:t>2</w:t>
      </w:r>
      <w:r>
        <w:rPr>
          <w:rFonts w:hint="default"/>
          <w:color w:val="auto"/>
          <w:highlight w:val="none"/>
          <w:lang w:val="en-US" w:eastAsia="zh-CN"/>
        </w:rPr>
        <w:t>）：</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以暗紫红色中厚层状泥质粉砂岩为主夹泥岩、粉砂质泥岩。厚 0～365m，分布于工程区东部五里谷一带。</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（4）白垩系上统江底河组第三段（K</w:t>
      </w:r>
      <w:r>
        <w:rPr>
          <w:rFonts w:hint="default"/>
          <w:color w:val="auto"/>
          <w:highlight w:val="none"/>
          <w:vertAlign w:val="subscript"/>
          <w:lang w:val="en-US" w:eastAsia="zh-CN"/>
        </w:rPr>
        <w:t>1</w:t>
      </w:r>
      <w:r>
        <w:rPr>
          <w:rFonts w:hint="default"/>
          <w:color w:val="auto"/>
          <w:highlight w:val="none"/>
          <w:lang w:val="en-US" w:eastAsia="zh-CN"/>
        </w:rPr>
        <w:t>j</w:t>
      </w:r>
      <w:r>
        <w:rPr>
          <w:rFonts w:hint="default"/>
          <w:color w:val="auto"/>
          <w:highlight w:val="none"/>
          <w:vertAlign w:val="superscript"/>
          <w:lang w:val="en-US" w:eastAsia="zh-CN"/>
        </w:rPr>
        <w:t>3</w:t>
      </w:r>
      <w:r>
        <w:rPr>
          <w:rFonts w:hint="default"/>
          <w:color w:val="auto"/>
          <w:highlight w:val="none"/>
          <w:lang w:val="en-US" w:eastAsia="zh-CN"/>
        </w:rPr>
        <w:t>）：</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上部为紫红色块状灰质泥岩夹灰绿、灰黄色灰质泥岩，中部为紫色块状灰质粉砂岩、泥岩，下部为紫红色灰质页岩夹灰绿、灰黄色灰质泥岩。厚度90～477m。分布于输水管旧村～新海村一带。</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（5）白垩系上统江底河组第四段（K</w:t>
      </w:r>
      <w:r>
        <w:rPr>
          <w:rFonts w:hint="default"/>
          <w:color w:val="auto"/>
          <w:highlight w:val="none"/>
          <w:vertAlign w:val="subscript"/>
          <w:lang w:val="en-US" w:eastAsia="zh-CN"/>
        </w:rPr>
        <w:t>1</w:t>
      </w:r>
      <w:r>
        <w:rPr>
          <w:rFonts w:hint="default"/>
          <w:color w:val="auto"/>
          <w:highlight w:val="none"/>
          <w:lang w:val="en-US" w:eastAsia="zh-CN"/>
        </w:rPr>
        <w:t>j</w:t>
      </w:r>
      <w:r>
        <w:rPr>
          <w:rFonts w:hint="default"/>
          <w:color w:val="auto"/>
          <w:highlight w:val="none"/>
          <w:vertAlign w:val="superscript"/>
          <w:lang w:val="en-US" w:eastAsia="zh-CN"/>
        </w:rPr>
        <w:t>4</w:t>
      </w:r>
      <w:r>
        <w:rPr>
          <w:rFonts w:hint="default"/>
          <w:color w:val="auto"/>
          <w:highlight w:val="none"/>
          <w:lang w:val="en-US" w:eastAsia="zh-CN"/>
        </w:rPr>
        <w:t>）：</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上部为紫红色粉砂岩、砂质泥岩、泥岩夹少量细泥长石石英砂岩。下部为紫红色泥岩，砂质泥岩、粉砂岩。厚度30～960m。分布于新海村一带。</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（6）白垩系上统赵家店组砂岩段（K</w:t>
      </w:r>
      <w:r>
        <w:rPr>
          <w:rFonts w:hint="default"/>
          <w:color w:val="auto"/>
          <w:highlight w:val="none"/>
          <w:vertAlign w:val="subscript"/>
          <w:lang w:val="en-US" w:eastAsia="zh-CN"/>
        </w:rPr>
        <w:t>2</w:t>
      </w:r>
      <w:r>
        <w:rPr>
          <w:rFonts w:hint="default"/>
          <w:color w:val="auto"/>
          <w:highlight w:val="none"/>
          <w:lang w:val="en-US" w:eastAsia="zh-CN"/>
        </w:rPr>
        <w:t>z</w:t>
      </w:r>
      <w:r>
        <w:rPr>
          <w:rFonts w:hint="default"/>
          <w:color w:val="auto"/>
          <w:highlight w:val="none"/>
          <w:vertAlign w:val="superscript"/>
          <w:lang w:val="en-US" w:eastAsia="zh-CN"/>
        </w:rPr>
        <w:t>1</w:t>
      </w:r>
      <w:r>
        <w:rPr>
          <w:rFonts w:hint="default"/>
          <w:color w:val="auto"/>
          <w:highlight w:val="none"/>
          <w:lang w:val="en-US" w:eastAsia="zh-CN"/>
        </w:rPr>
        <w:t>）：</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紫红、暗紫红色厚层至黄细粒长石石英砂岩，夹紫红色粉砂岩，砂质泥岩。厚度大于393m。分布于新海村、贡茶村一带。</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六、第四系更新统（Q</w:t>
      </w:r>
      <w:r>
        <w:rPr>
          <w:rFonts w:hint="default"/>
          <w:color w:val="auto"/>
          <w:highlight w:val="none"/>
          <w:vertAlign w:val="superscript"/>
          <w:lang w:val="en-US" w:eastAsia="zh-CN"/>
        </w:rPr>
        <w:t>1-2</w:t>
      </w:r>
      <w:r>
        <w:rPr>
          <w:rFonts w:hint="default"/>
          <w:color w:val="auto"/>
          <w:highlight w:val="none"/>
          <w:lang w:val="en-US" w:eastAsia="zh-CN"/>
        </w:rPr>
        <w:t>）：</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出露的是该统下部层位，为棕红色、桔红色、棕灰色冲湖积粘土为主夹砾砂土，泥炭及草煤，分布于姜驿及其北东大部及盐水井一带。</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七、第四系全新统（Q</w:t>
      </w:r>
      <w:r>
        <w:rPr>
          <w:rFonts w:hint="default"/>
          <w:color w:val="auto"/>
          <w:highlight w:val="none"/>
          <w:vertAlign w:val="superscript"/>
          <w:lang w:val="en-US" w:eastAsia="zh-CN"/>
        </w:rPr>
        <w:t>3-4</w:t>
      </w:r>
      <w:r>
        <w:rPr>
          <w:rFonts w:hint="default"/>
          <w:color w:val="auto"/>
          <w:highlight w:val="none"/>
          <w:lang w:val="en-US" w:eastAsia="zh-CN"/>
        </w:rPr>
        <w:t>）：</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（1）冲洪积层（Q</w:t>
      </w:r>
      <w:r>
        <w:rPr>
          <w:rFonts w:hint="default"/>
          <w:color w:val="auto"/>
          <w:highlight w:val="none"/>
          <w:vertAlign w:val="superscript"/>
          <w:lang w:val="en-US" w:eastAsia="zh-CN"/>
        </w:rPr>
        <w:t>alp</w:t>
      </w:r>
      <w:r>
        <w:rPr>
          <w:rFonts w:hint="default"/>
          <w:color w:val="auto"/>
          <w:highlight w:val="none"/>
          <w:lang w:val="en-US" w:eastAsia="zh-CN"/>
        </w:rPr>
        <w:t>）分布于金沙江、龙川江等河床阶地及盐水井西大箐底部，两岸阶地表层（上部耕植土层）以棕褐色壤土为主，下部及河床以砂、卵、砾、漂石为主，厚1～10m，次级小支流河床混淤泥粉土较多，松散。</w:t>
      </w:r>
    </w:p>
    <w:p>
      <w:pPr>
        <w:numPr>
          <w:ilvl w:val="0"/>
          <w:numId w:val="0"/>
        </w:numPr>
        <w:ind w:firstLine="480" w:firstLineChars="200"/>
        <w:rPr>
          <w:rFonts w:hint="default"/>
          <w:color w:val="auto"/>
          <w:highlight w:val="none"/>
          <w:lang w:val="en-US" w:eastAsia="zh-CN"/>
        </w:rPr>
      </w:pPr>
      <w:r>
        <w:rPr>
          <w:rFonts w:hint="default"/>
          <w:color w:val="auto"/>
          <w:highlight w:val="none"/>
          <w:lang w:val="en-US" w:eastAsia="zh-CN"/>
        </w:rPr>
        <w:t>（2）残坡积层（Q</w:t>
      </w:r>
      <w:r>
        <w:rPr>
          <w:rFonts w:hint="default"/>
          <w:color w:val="auto"/>
          <w:highlight w:val="none"/>
          <w:vertAlign w:val="superscript"/>
          <w:lang w:val="en-US" w:eastAsia="zh-CN"/>
        </w:rPr>
        <w:t>eld</w:t>
      </w:r>
      <w:r>
        <w:rPr>
          <w:rFonts w:hint="default"/>
          <w:color w:val="auto"/>
          <w:highlight w:val="none"/>
          <w:lang w:val="en-US" w:eastAsia="zh-CN"/>
        </w:rPr>
        <w:t>）零星分布于缓坡凹地中，以棕色、棕褐色含砾粉土、粉质粘土为主，厚1～4m，大部与下伏更新统堆积层无明显差别，仅四周基岩出露区界限明显。</w:t>
      </w:r>
    </w:p>
    <w:p>
      <w:pPr>
        <w:pStyle w:val="5"/>
        <w:numPr>
          <w:ilvl w:val="3"/>
          <w:numId w:val="1"/>
        </w:numPr>
        <w:bidi w:val="0"/>
        <w:ind w:left="480" w:leftChars="0" w:firstLineChars="0"/>
        <w:rPr>
          <w:rFonts w:hint="eastAsia"/>
          <w:color w:val="auto"/>
          <w:lang w:val="en-US" w:eastAsia="zh-CN"/>
        </w:rPr>
      </w:pPr>
      <w:r>
        <w:rPr>
          <w:rFonts w:hint="eastAsia"/>
          <w:color w:val="auto"/>
          <w:lang w:val="en-US" w:eastAsia="zh-CN"/>
        </w:rPr>
        <w:t>地质构造</w:t>
      </w:r>
    </w:p>
    <w:p>
      <w:pPr>
        <w:bidi w:val="0"/>
        <w:ind w:firstLine="480" w:firstLineChars="200"/>
        <w:rPr>
          <w:rFonts w:hint="default"/>
          <w:color w:val="auto"/>
          <w:highlight w:val="none"/>
          <w:lang w:val="en-US" w:eastAsia="zh-CN"/>
        </w:rPr>
      </w:pPr>
      <w:r>
        <w:rPr>
          <w:rFonts w:hint="default"/>
          <w:color w:val="auto"/>
          <w:highlight w:val="none"/>
          <w:lang w:val="en-US" w:eastAsia="zh-CN"/>
        </w:rPr>
        <w:t>工程区地处一级构造单元扬子准地台内，属川滇台背斜二级构造单元的武定～石屏隆断束的禄丰拱褶带上。即康滇地轴南端与滇东台褶皱区之间，康滇地轴是自震旦系时形成的大型隆起区，这一单元内发育有更次一级的坳陷—田心～环州台凹。田心～环州台凹西以元谋大断裂为界，其东界及南北两端均延入邻近中生界的小型凹盆地。白垩系地层较发育，在南部马头山一带与中侏罗系呈不整合接触。构造线为北北东～北北西向，断裂较不发育，褶皱开阔平缓，以短轴为主，主要有环州向斜南部的马德平背斜，次为古米达背斜等。环州向斜近南北向，核部由第三系赵家店组组成。两翼倾角10°～18°，为宽缓对称的短轴向斜。从属于向斜构造的次级褶曲有五毒箐向斜。</w:t>
      </w:r>
    </w:p>
    <w:p>
      <w:pPr>
        <w:bidi w:val="0"/>
        <w:ind w:firstLine="480" w:firstLineChars="200"/>
        <w:rPr>
          <w:rFonts w:hint="default"/>
          <w:color w:val="auto"/>
          <w:highlight w:val="none"/>
          <w:lang w:val="en-US" w:eastAsia="zh-CN"/>
        </w:rPr>
      </w:pPr>
      <w:r>
        <w:rPr>
          <w:rFonts w:hint="default"/>
          <w:color w:val="auto"/>
          <w:highlight w:val="none"/>
          <w:lang w:val="en-US" w:eastAsia="zh-CN"/>
        </w:rPr>
        <w:t>1、断裂构造：区内主要断裂构造为元谋绿汁江断层、发窝～中干河断裂为逆断层，除此之外主要为北西向小断层，其规模甚小。根据断层性质、特征及分布规律分述如下：</w:t>
      </w:r>
    </w:p>
    <w:p>
      <w:pPr>
        <w:bidi w:val="0"/>
        <w:ind w:firstLine="480" w:firstLineChars="200"/>
        <w:rPr>
          <w:rFonts w:hint="default"/>
          <w:color w:val="auto"/>
          <w:highlight w:val="none"/>
          <w:lang w:val="en-US" w:eastAsia="zh-CN"/>
        </w:rPr>
      </w:pPr>
      <w:r>
        <w:rPr>
          <w:rFonts w:hint="default"/>
          <w:color w:val="auto"/>
          <w:highlight w:val="none"/>
          <w:lang w:val="en-US" w:eastAsia="zh-CN"/>
        </w:rPr>
        <w:t>元谋～绿汁江断层：横穿金马片输水干管，南段称绿汁江断裂，断裂北延四川盐边、南至易门与红河断裂相交，全长约300km。断裂分布在东山脚，工程区域南起小黄瓜园，经龙街、江边、跨金沙江、过盐水井，在姜驿出境。工程区域内断裂全长30km，断裂面呈舒缓波状、断裂面倾向东，倾角 74°～90°，断裂破碎带构造岩为糜棱岩透镜体、断层泥，为东盘上升、西盘下降的逆断层，盐水井以北断裂分为两支、断裂东侧派生了一系列北西向分支断层、与主干断裂呈</w:t>
      </w:r>
      <w:r>
        <w:rPr>
          <w:rFonts w:hint="eastAsia"/>
          <w:color w:val="auto"/>
          <w:highlight w:val="none"/>
          <w:lang w:val="en-US" w:eastAsia="zh-CN"/>
        </w:rPr>
        <w:t>“</w:t>
      </w:r>
      <w:r>
        <w:rPr>
          <w:rFonts w:hint="default"/>
          <w:color w:val="auto"/>
          <w:highlight w:val="none"/>
          <w:lang w:val="en-US" w:eastAsia="zh-CN"/>
        </w:rPr>
        <w:t>入</w:t>
      </w:r>
      <w:r>
        <w:rPr>
          <w:rFonts w:hint="eastAsia"/>
          <w:color w:val="auto"/>
          <w:highlight w:val="none"/>
          <w:lang w:val="en-US" w:eastAsia="zh-CN"/>
        </w:rPr>
        <w:t>”</w:t>
      </w:r>
      <w:r>
        <w:rPr>
          <w:rFonts w:hint="default"/>
          <w:color w:val="auto"/>
          <w:highlight w:val="none"/>
          <w:lang w:val="en-US" w:eastAsia="zh-CN"/>
        </w:rPr>
        <w:t>字型相交，根据分支断裂与主干断裂的复合关系判断。元谋断裂为一压扭性断裂、平面上为左行扭动，断裂影响宽度50～200Km。</w:t>
      </w:r>
    </w:p>
    <w:p>
      <w:pPr>
        <w:bidi w:val="0"/>
        <w:ind w:firstLine="480" w:firstLineChars="200"/>
        <w:rPr>
          <w:rFonts w:hint="default"/>
          <w:color w:val="auto"/>
          <w:highlight w:val="none"/>
          <w:lang w:val="en-US" w:eastAsia="zh-CN"/>
        </w:rPr>
      </w:pPr>
      <w:r>
        <w:rPr>
          <w:rFonts w:hint="default"/>
          <w:color w:val="auto"/>
          <w:highlight w:val="none"/>
          <w:lang w:val="en-US" w:eastAsia="zh-CN"/>
        </w:rPr>
        <w:t>发窝～中干河断裂为逆断层：走向呈南北向，倾向西，倾角85°，向北至四川汤浪以北，向南经罗茨到易门全长200多千米，控制测区地质构造的主要大断层。沿主干断层有基性岩侵入及一系列的温泉和铜铅锌矿产分布。还发育有一系列</w:t>
      </w:r>
      <w:r>
        <w:rPr>
          <w:rFonts w:hint="eastAsia"/>
          <w:color w:val="auto"/>
          <w:highlight w:val="none"/>
          <w:lang w:val="en-US" w:eastAsia="zh-CN"/>
        </w:rPr>
        <w:t>“</w:t>
      </w:r>
      <w:r>
        <w:rPr>
          <w:rFonts w:hint="default"/>
          <w:color w:val="auto"/>
          <w:highlight w:val="none"/>
          <w:lang w:val="en-US" w:eastAsia="zh-CN"/>
        </w:rPr>
        <w:t>入</w:t>
      </w:r>
      <w:r>
        <w:rPr>
          <w:rFonts w:hint="eastAsia"/>
          <w:color w:val="auto"/>
          <w:highlight w:val="none"/>
          <w:lang w:val="en-US" w:eastAsia="zh-CN"/>
        </w:rPr>
        <w:t>”</w:t>
      </w:r>
      <w:r>
        <w:rPr>
          <w:rFonts w:hint="default"/>
          <w:color w:val="auto"/>
          <w:highlight w:val="none"/>
          <w:lang w:val="en-US" w:eastAsia="zh-CN"/>
        </w:rPr>
        <w:t>字形和帚状分支断裂，如通过区内的贺铭厂断层等。小仓、普渡河断裂组走向北东（0°～35°），倾向南西，倾角70°～80°，仍为区内主要控制性断裂构造之一。</w:t>
      </w:r>
    </w:p>
    <w:p>
      <w:pPr>
        <w:bidi w:val="0"/>
        <w:ind w:firstLine="480" w:firstLineChars="200"/>
        <w:rPr>
          <w:rFonts w:hint="default"/>
          <w:color w:val="auto"/>
          <w:highlight w:val="none"/>
          <w:lang w:val="en-US" w:eastAsia="zh-CN"/>
        </w:rPr>
      </w:pPr>
      <w:r>
        <w:rPr>
          <w:rFonts w:hint="default"/>
          <w:color w:val="auto"/>
          <w:highlight w:val="none"/>
          <w:lang w:val="en-US" w:eastAsia="zh-CN"/>
        </w:rPr>
        <w:t>2、褶皱构造：由于构造线呈北北东向、少数为北西向，受中干河断层、元谋绿汁江断层，以及迤纳厂断裂带的影响，褶皱轴南、北端发生了扭曲，呈</w:t>
      </w:r>
      <w:r>
        <w:rPr>
          <w:rFonts w:hint="eastAsia"/>
          <w:color w:val="auto"/>
          <w:highlight w:val="none"/>
          <w:lang w:val="en-US" w:eastAsia="zh-CN"/>
        </w:rPr>
        <w:t>“</w:t>
      </w:r>
      <w:r>
        <w:rPr>
          <w:rFonts w:hint="default"/>
          <w:color w:val="auto"/>
          <w:highlight w:val="none"/>
          <w:lang w:val="en-US" w:eastAsia="zh-CN"/>
        </w:rPr>
        <w:t>S 型</w:t>
      </w:r>
      <w:r>
        <w:rPr>
          <w:rFonts w:hint="eastAsia"/>
          <w:color w:val="auto"/>
          <w:highlight w:val="none"/>
          <w:lang w:val="en-US" w:eastAsia="zh-CN"/>
        </w:rPr>
        <w:t>”</w:t>
      </w:r>
      <w:r>
        <w:rPr>
          <w:rFonts w:hint="default"/>
          <w:color w:val="auto"/>
          <w:highlight w:val="none"/>
          <w:lang w:val="en-US" w:eastAsia="zh-CN"/>
        </w:rPr>
        <w:t>、反</w:t>
      </w:r>
      <w:r>
        <w:rPr>
          <w:rFonts w:hint="eastAsia"/>
          <w:color w:val="auto"/>
          <w:highlight w:val="none"/>
          <w:lang w:val="en-US" w:eastAsia="zh-CN"/>
        </w:rPr>
        <w:t>“</w:t>
      </w:r>
      <w:r>
        <w:rPr>
          <w:rFonts w:hint="default"/>
          <w:color w:val="auto"/>
          <w:highlight w:val="none"/>
          <w:lang w:val="en-US" w:eastAsia="zh-CN"/>
        </w:rPr>
        <w:t>S</w:t>
      </w:r>
      <w:r>
        <w:rPr>
          <w:rFonts w:hint="eastAsia"/>
          <w:color w:val="auto"/>
          <w:highlight w:val="none"/>
          <w:lang w:val="en-US" w:eastAsia="zh-CN"/>
        </w:rPr>
        <w:t>”</w:t>
      </w:r>
      <w:r>
        <w:rPr>
          <w:rFonts w:hint="default"/>
          <w:color w:val="auto"/>
          <w:highlight w:val="none"/>
          <w:lang w:val="en-US" w:eastAsia="zh-CN"/>
        </w:rPr>
        <w:t>展布，褶皱开阔平缓以长轴为主，并伴有次级小褶曲，断裂不发育。主要褶皱如下：</w:t>
      </w:r>
    </w:p>
    <w:p>
      <w:pPr>
        <w:bidi w:val="0"/>
        <w:ind w:firstLine="480" w:firstLineChars="200"/>
        <w:rPr>
          <w:rFonts w:hint="default"/>
          <w:color w:val="auto"/>
          <w:highlight w:val="none"/>
          <w:lang w:val="en-US" w:eastAsia="zh-CN"/>
        </w:rPr>
      </w:pPr>
      <w:r>
        <w:rPr>
          <w:rFonts w:hint="default"/>
          <w:color w:val="auto"/>
          <w:highlight w:val="none"/>
          <w:lang w:val="en-US" w:eastAsia="zh-CN"/>
        </w:rPr>
        <w:t>猪槽山向斜：位于北东部猪槽山，轴向近南北、向南延伸转为北西，向北延入四川境内。核部由上白垩统江底河组组成，两翼倾角7°～15°，为一宽缓对称的短轴向斜。西翼有次级平移断层使地层错位。</w:t>
      </w:r>
    </w:p>
    <w:p>
      <w:pPr>
        <w:bidi w:val="0"/>
        <w:ind w:firstLine="480" w:firstLineChars="200"/>
        <w:rPr>
          <w:rFonts w:hint="default"/>
          <w:color w:val="auto"/>
          <w:highlight w:val="none"/>
          <w:lang w:val="en-US" w:eastAsia="zh-CN"/>
        </w:rPr>
      </w:pPr>
      <w:r>
        <w:rPr>
          <w:rFonts w:hint="default"/>
          <w:color w:val="auto"/>
          <w:highlight w:val="none"/>
          <w:lang w:val="en-US" w:eastAsia="zh-CN"/>
        </w:rPr>
        <w:t>环州向斜：位于环州东2.0km，轴线弯曲、似</w:t>
      </w:r>
      <w:r>
        <w:rPr>
          <w:rFonts w:hint="eastAsia"/>
          <w:color w:val="auto"/>
          <w:highlight w:val="none"/>
          <w:lang w:val="en-US" w:eastAsia="zh-CN"/>
        </w:rPr>
        <w:t>“</w:t>
      </w:r>
      <w:r>
        <w:rPr>
          <w:rFonts w:hint="default"/>
          <w:color w:val="auto"/>
          <w:highlight w:val="none"/>
          <w:lang w:val="en-US" w:eastAsia="zh-CN"/>
        </w:rPr>
        <w:t>S型</w:t>
      </w:r>
      <w:r>
        <w:rPr>
          <w:rFonts w:hint="eastAsia"/>
          <w:color w:val="auto"/>
          <w:highlight w:val="none"/>
          <w:lang w:val="en-US" w:eastAsia="zh-CN"/>
        </w:rPr>
        <w:t>”</w:t>
      </w:r>
      <w:r>
        <w:rPr>
          <w:rFonts w:hint="default"/>
          <w:color w:val="auto"/>
          <w:highlight w:val="none"/>
          <w:lang w:val="en-US" w:eastAsia="zh-CN"/>
        </w:rPr>
        <w:t>，北段轴向南北、南段北东转南北。核部为上白垩统江底河组，翼部为上白垩统马头山组。两翼倾角10°～18°，枢纽南北两端仰起、形态完好，为一宽缓对称的长轴向斜。</w:t>
      </w:r>
    </w:p>
    <w:p>
      <w:pPr>
        <w:pStyle w:val="4"/>
        <w:numPr>
          <w:ilvl w:val="2"/>
          <w:numId w:val="1"/>
        </w:numPr>
        <w:bidi w:val="0"/>
        <w:rPr>
          <w:rFonts w:hint="default"/>
          <w:color w:val="auto"/>
        </w:rPr>
      </w:pPr>
      <w:bookmarkStart w:id="461" w:name="_Toc26569"/>
      <w:bookmarkStart w:id="462" w:name="_Toc13766"/>
      <w:bookmarkStart w:id="463" w:name="_Toc3858"/>
      <w:bookmarkStart w:id="464" w:name="_Toc3591"/>
      <w:bookmarkStart w:id="465" w:name="_Toc20665"/>
      <w:bookmarkStart w:id="466" w:name="_Toc6789"/>
      <w:bookmarkStart w:id="467" w:name="_Toc17242"/>
      <w:bookmarkStart w:id="468" w:name="_Toc29029"/>
      <w:r>
        <w:rPr>
          <w:rFonts w:hint="default"/>
          <w:color w:val="auto"/>
        </w:rPr>
        <w:t>气候气象</w:t>
      </w:r>
      <w:bookmarkEnd w:id="461"/>
      <w:bookmarkEnd w:id="462"/>
      <w:bookmarkEnd w:id="463"/>
      <w:bookmarkEnd w:id="464"/>
      <w:bookmarkEnd w:id="465"/>
      <w:bookmarkEnd w:id="466"/>
      <w:bookmarkEnd w:id="467"/>
      <w:bookmarkEnd w:id="468"/>
    </w:p>
    <w:p>
      <w:pPr>
        <w:ind w:firstLine="480" w:firstLineChars="200"/>
        <w:rPr>
          <w:rFonts w:hint="default"/>
          <w:color w:val="auto"/>
          <w:highlight w:val="none"/>
        </w:rPr>
      </w:pPr>
      <w:r>
        <w:rPr>
          <w:rFonts w:hint="default"/>
          <w:color w:val="auto"/>
          <w:highlight w:val="none"/>
        </w:rPr>
        <w:t>元谋县地处在金沙江燥热河谷区，属亚热带干燥季风气候，根据元谋县气象站多年资料统计平均气温23℃，极高温达到42℃（1963年5月），极低温仅-0.8℃（1982年12月26日），光热资源丰富；日照充足多年平均达日），光热资源丰富；日照充足多年平均达2662小时，日照率在60%以上；霜期短，多年平均仅两天。境内旱季和雨界限分明风气候显著，气温随海拔增加而递减，降雨随海拔增加而递，</w:t>
      </w:r>
      <w:r>
        <w:rPr>
          <w:rFonts w:hint="eastAsia"/>
          <w:color w:val="auto"/>
          <w:highlight w:val="none"/>
          <w:lang w:eastAsia="zh-CN"/>
        </w:rPr>
        <w:t>“</w:t>
      </w:r>
      <w:r>
        <w:rPr>
          <w:rFonts w:hint="default"/>
          <w:color w:val="auto"/>
          <w:highlight w:val="none"/>
        </w:rPr>
        <w:t>立体气候</w:t>
      </w:r>
      <w:r>
        <w:rPr>
          <w:rFonts w:hint="eastAsia"/>
          <w:color w:val="auto"/>
          <w:highlight w:val="none"/>
          <w:lang w:eastAsia="zh-CN"/>
        </w:rPr>
        <w:t>”</w:t>
      </w:r>
      <w:r>
        <w:rPr>
          <w:rFonts w:hint="default"/>
          <w:color w:val="auto"/>
          <w:highlight w:val="none"/>
        </w:rPr>
        <w:t>特征明显特征明显。海拔2001～2835m区面积272.74km²，为暖温带-温带气候区；海拔1701～2000m区面积314.09km²，为北亚热带气候区；海拔1351～1700m区面积636.70km²，为中亚热带气候区；海拔898～1350m区面积797.51km²，为南亚热带气候区。区域内气侯温和，蒸发随高程增加而递减降雨有少蒸发量大，干旱严重的特征。项目区地处金沙江燥热河谷，属亚带干季风气候，年平均降雨量为628.2mm，多年平均蒸发量（20cm观测值）3034mm，相对湿度54%，多年平均风速2.4m/s，实测最大风速23m/s（风向S），多年平均最大风速14.2m/s。</w:t>
      </w:r>
    </w:p>
    <w:p>
      <w:pPr>
        <w:ind w:firstLine="480" w:firstLineChars="200"/>
        <w:rPr>
          <w:rFonts w:hint="default"/>
          <w:color w:val="auto"/>
          <w:highlight w:val="none"/>
        </w:rPr>
      </w:pPr>
      <w:r>
        <w:rPr>
          <w:rFonts w:hint="default"/>
          <w:color w:val="auto"/>
          <w:highlight w:val="none"/>
        </w:rPr>
        <w:t>根据《云南省暴雨洪水查算手册》，项目区20年一遇1h最大降雨量36.5mm，6h最大降雨量57.2mm，24h最大降雨量116.4mm。</w:t>
      </w:r>
    </w:p>
    <w:p>
      <w:pPr>
        <w:pStyle w:val="4"/>
        <w:numPr>
          <w:ilvl w:val="2"/>
          <w:numId w:val="1"/>
        </w:numPr>
        <w:bidi w:val="0"/>
        <w:rPr>
          <w:rFonts w:hint="default"/>
          <w:color w:val="auto"/>
          <w:highlight w:val="none"/>
        </w:rPr>
      </w:pPr>
      <w:bookmarkStart w:id="469" w:name="_Toc17133"/>
      <w:bookmarkStart w:id="470" w:name="_Toc30410"/>
      <w:bookmarkStart w:id="471" w:name="_Toc24131"/>
      <w:bookmarkStart w:id="472" w:name="_Toc28442"/>
      <w:bookmarkStart w:id="473" w:name="_Toc2103"/>
      <w:bookmarkStart w:id="474" w:name="_Toc31804"/>
      <w:bookmarkStart w:id="475" w:name="_Toc30969"/>
      <w:bookmarkStart w:id="476" w:name="_Toc13755"/>
      <w:r>
        <w:rPr>
          <w:rFonts w:hint="default"/>
          <w:color w:val="auto"/>
          <w:highlight w:val="none"/>
        </w:rPr>
        <w:t>水文</w:t>
      </w:r>
      <w:bookmarkEnd w:id="469"/>
      <w:bookmarkEnd w:id="470"/>
      <w:bookmarkEnd w:id="471"/>
      <w:bookmarkEnd w:id="472"/>
      <w:bookmarkEnd w:id="473"/>
      <w:r>
        <w:rPr>
          <w:rFonts w:hint="eastAsia"/>
          <w:color w:val="auto"/>
          <w:highlight w:val="none"/>
          <w:lang w:val="en-US" w:eastAsia="zh-CN"/>
        </w:rPr>
        <w:t>及水资源现状</w:t>
      </w:r>
      <w:bookmarkEnd w:id="474"/>
      <w:bookmarkEnd w:id="475"/>
      <w:bookmarkEnd w:id="476"/>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color w:val="auto"/>
          <w:highlight w:val="none"/>
          <w:lang w:val="en-US"/>
        </w:rPr>
      </w:pPr>
      <w:r>
        <w:rPr>
          <w:rFonts w:hint="eastAsia"/>
          <w:color w:val="auto"/>
          <w:highlight w:val="none"/>
          <w:lang w:val="en-US" w:eastAsia="zh-CN"/>
        </w:rPr>
        <w:t>1、水文现状</w:t>
      </w:r>
    </w:p>
    <w:p>
      <w:pPr>
        <w:keepNext w:val="0"/>
        <w:keepLines w:val="0"/>
        <w:pageBreakBefore w:val="0"/>
        <w:widowControl w:val="0"/>
        <w:numPr>
          <w:ilvl w:val="0"/>
          <w:numId w:val="0"/>
        </w:numPr>
        <w:kinsoku/>
        <w:wordWrap/>
        <w:overflowPunct/>
        <w:topLinePunct w:val="0"/>
        <w:autoSpaceDE/>
        <w:autoSpaceDN/>
        <w:bidi w:val="0"/>
        <w:adjustRightInd/>
        <w:snapToGrid w:val="0"/>
        <w:ind w:firstLine="480" w:firstLineChars="200"/>
        <w:textAlignment w:val="auto"/>
        <w:rPr>
          <w:rFonts w:hint="eastAsia"/>
          <w:color w:val="auto"/>
          <w:highlight w:val="none"/>
          <w:lang w:val="en-US" w:eastAsia="zh-CN"/>
        </w:rPr>
      </w:pPr>
      <w:r>
        <w:rPr>
          <w:rFonts w:hint="eastAsia" w:ascii="Times New Roman" w:hAnsi="Times New Roman" w:eastAsia="宋体" w:cs="Times New Roman"/>
          <w:color w:val="auto"/>
          <w:kern w:val="2"/>
          <w:sz w:val="24"/>
          <w:szCs w:val="21"/>
          <w:highlight w:val="none"/>
          <w:lang w:val="en-US" w:eastAsia="zh-CN" w:bidi="ar-SA"/>
        </w:rPr>
        <w:t>（1）</w:t>
      </w:r>
      <w:r>
        <w:rPr>
          <w:rFonts w:hint="eastAsia"/>
          <w:color w:val="auto"/>
          <w:highlight w:val="none"/>
          <w:lang w:val="en-US" w:eastAsia="zh-CN"/>
        </w:rPr>
        <w:t>受水水库</w:t>
      </w:r>
    </w:p>
    <w:p>
      <w:pPr>
        <w:keepNext w:val="0"/>
        <w:keepLines w:val="0"/>
        <w:pageBreakBefore w:val="0"/>
        <w:widowControl w:val="0"/>
        <w:numPr>
          <w:ilvl w:val="0"/>
          <w:numId w:val="0"/>
        </w:numPr>
        <w:kinsoku/>
        <w:wordWrap/>
        <w:overflowPunct/>
        <w:topLinePunct w:val="0"/>
        <w:autoSpaceDE/>
        <w:autoSpaceDN/>
        <w:bidi w:val="0"/>
        <w:adjustRightInd/>
        <w:snapToGrid w:val="0"/>
        <w:ind w:firstLine="480" w:firstLineChars="200"/>
        <w:textAlignment w:val="auto"/>
        <w:rPr>
          <w:rFonts w:hint="eastAsia" w:eastAsia="宋体"/>
          <w:color w:val="auto"/>
          <w:highlight w:val="none"/>
          <w:lang w:val="en-US" w:eastAsia="zh-CN"/>
        </w:rPr>
      </w:pPr>
      <w:r>
        <w:rPr>
          <w:rFonts w:hint="eastAsia"/>
          <w:color w:val="auto"/>
          <w:highlight w:val="none"/>
          <w:lang w:val="en-US" w:eastAsia="zh-CN"/>
        </w:rPr>
        <w:t>水平石水库，总库容31.5万m³，兴利库容22.2万m³，供水量15.6万m³；姜中水库，总库容11.3万m³，兴利库容8.2万m³，供水量7.5万m³。</w:t>
      </w:r>
    </w:p>
    <w:p>
      <w:pPr>
        <w:keepNext w:val="0"/>
        <w:keepLines w:val="0"/>
        <w:pageBreakBefore w:val="0"/>
        <w:widowControl w:val="0"/>
        <w:numPr>
          <w:ilvl w:val="0"/>
          <w:numId w:val="0"/>
        </w:numPr>
        <w:kinsoku/>
        <w:wordWrap/>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default" w:ascii="Times New Roman" w:hAnsi="Times New Roman" w:eastAsia="宋体" w:cs="Times New Roman"/>
          <w:color w:val="auto"/>
          <w:kern w:val="2"/>
          <w:sz w:val="24"/>
          <w:szCs w:val="21"/>
          <w:highlight w:val="none"/>
          <w:lang w:val="en-US" w:eastAsia="zh-CN" w:bidi="ar-SA"/>
        </w:rPr>
        <w:t>（2）</w:t>
      </w:r>
      <w:r>
        <w:rPr>
          <w:rFonts w:hint="eastAsia"/>
          <w:color w:val="auto"/>
          <w:highlight w:val="none"/>
          <w:lang w:val="en-US" w:eastAsia="zh-CN"/>
        </w:rPr>
        <w:t>退水河流</w:t>
      </w:r>
    </w:p>
    <w:p>
      <w:pPr>
        <w:keepNext w:val="0"/>
        <w:keepLines w:val="0"/>
        <w:pageBreakBefore w:val="0"/>
        <w:widowControl w:val="0"/>
        <w:numPr>
          <w:ilvl w:val="0"/>
          <w:numId w:val="0"/>
        </w:numPr>
        <w:kinsoku/>
        <w:wordWrap/>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default"/>
          <w:color w:val="auto"/>
          <w:highlight w:val="none"/>
          <w:lang w:val="en-US" w:eastAsia="zh-CN"/>
        </w:rPr>
        <w:t>本项目灌区位于元谋县金沙江以北地区，主要河流均为金沙江左岸一级支流，包括姜驿河、沙沟箐等。</w:t>
      </w:r>
    </w:p>
    <w:p>
      <w:pPr>
        <w:keepNext w:val="0"/>
        <w:keepLines w:val="0"/>
        <w:pageBreakBefore w:val="0"/>
        <w:widowControl w:val="0"/>
        <w:numPr>
          <w:ilvl w:val="0"/>
          <w:numId w:val="0"/>
        </w:numPr>
        <w:kinsoku/>
        <w:wordWrap/>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default"/>
          <w:color w:val="auto"/>
          <w:highlight w:val="none"/>
          <w:lang w:val="en-US" w:eastAsia="zh-CN"/>
        </w:rPr>
        <w:t>姜驿河发源于元谋县姜驿乡姜驿村委会附近，流经半箐村委会、贡茶村，进入四川省后称为竹鲊河，于四川省会理县江竹乡竹鲊村汇入金沙江，河流全长约24km。为季节性河流，长期干涸，只在6到9月间有水。</w:t>
      </w:r>
    </w:p>
    <w:p>
      <w:pPr>
        <w:keepNext w:val="0"/>
        <w:keepLines w:val="0"/>
        <w:pageBreakBefore w:val="0"/>
        <w:widowControl w:val="0"/>
        <w:numPr>
          <w:ilvl w:val="0"/>
          <w:numId w:val="0"/>
        </w:numPr>
        <w:kinsoku/>
        <w:wordWrap/>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default"/>
          <w:color w:val="auto"/>
          <w:highlight w:val="none"/>
          <w:lang w:val="en-US" w:eastAsia="zh-CN"/>
        </w:rPr>
        <w:t>沙沟箐发源于元谋县姜驿乡姜驿村委会附近，流经姜驿乡糯拉鲊村、江边乡盐水井村，于元谋县江边乡金沙江大桥上游附近汇入金沙江，河流全长约11km。为季节性河流，长期干涸，只在6到9月间有水。</w:t>
      </w:r>
    </w:p>
    <w:p>
      <w:pPr>
        <w:keepNext w:val="0"/>
        <w:keepLines w:val="0"/>
        <w:pageBreakBefore w:val="0"/>
        <w:widowControl w:val="0"/>
        <w:numPr>
          <w:ilvl w:val="0"/>
          <w:numId w:val="0"/>
        </w:numPr>
        <w:kinsoku/>
        <w:wordWrap/>
        <w:overflowPunct/>
        <w:topLinePunct w:val="0"/>
        <w:autoSpaceDE/>
        <w:autoSpaceDN/>
        <w:bidi w:val="0"/>
        <w:adjustRightInd/>
        <w:snapToGrid w:val="0"/>
        <w:ind w:left="0" w:leftChars="0" w:firstLine="480" w:firstLineChars="200"/>
        <w:textAlignment w:val="auto"/>
        <w:rPr>
          <w:rFonts w:hint="eastAsia"/>
          <w:color w:val="auto"/>
          <w:highlight w:val="none"/>
          <w:lang w:val="en-US" w:eastAsia="zh-CN"/>
        </w:rPr>
      </w:pPr>
      <w:r>
        <w:rPr>
          <w:rFonts w:hint="eastAsia" w:cs="Times New Roman"/>
          <w:color w:val="auto"/>
          <w:kern w:val="2"/>
          <w:sz w:val="24"/>
          <w:szCs w:val="21"/>
          <w:highlight w:val="none"/>
          <w:lang w:val="en-US" w:eastAsia="zh-CN" w:bidi="ar-SA"/>
        </w:rPr>
        <w:t>2</w:t>
      </w:r>
      <w:r>
        <w:rPr>
          <w:rFonts w:hint="eastAsia" w:ascii="Times New Roman" w:hAnsi="Times New Roman" w:eastAsia="宋体" w:cs="Times New Roman"/>
          <w:color w:val="auto"/>
          <w:kern w:val="2"/>
          <w:sz w:val="24"/>
          <w:szCs w:val="21"/>
          <w:highlight w:val="none"/>
          <w:lang w:val="en-US" w:eastAsia="zh-CN" w:bidi="ar-SA"/>
        </w:rPr>
        <w:t>、</w:t>
      </w:r>
      <w:r>
        <w:rPr>
          <w:rFonts w:hint="eastAsia"/>
          <w:color w:val="auto"/>
          <w:highlight w:val="none"/>
          <w:lang w:val="en-US" w:eastAsia="zh-CN"/>
        </w:rPr>
        <w:t>水资源利用现状</w:t>
      </w:r>
    </w:p>
    <w:p>
      <w:pPr>
        <w:keepNext w:val="0"/>
        <w:keepLines w:val="0"/>
        <w:pageBreakBefore w:val="0"/>
        <w:widowControl w:val="0"/>
        <w:numPr>
          <w:ilvl w:val="0"/>
          <w:numId w:val="0"/>
        </w:numPr>
        <w:kinsoku/>
        <w:wordWrap/>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default"/>
          <w:color w:val="auto"/>
          <w:highlight w:val="none"/>
          <w:lang w:val="en-US" w:eastAsia="zh-CN"/>
        </w:rPr>
        <w:t>现状水平年，项目区灌溉面积3.49万亩，均为常规灌溉，灌溉水利用系数仅为0.56。</w:t>
      </w:r>
      <w:r>
        <w:rPr>
          <w:rFonts w:hint="default"/>
          <w:color w:val="auto"/>
          <w:highlight w:val="none"/>
          <w:shd w:val="clear"/>
          <w:lang w:val="en-US" w:eastAsia="zh-CN"/>
        </w:rPr>
        <w:t>灌区总需水量为1993.8万m³，水利工程总供水量</w:t>
      </w:r>
      <w:r>
        <w:rPr>
          <w:rFonts w:hint="eastAsia"/>
          <w:color w:val="auto"/>
          <w:highlight w:val="none"/>
          <w:shd w:val="clear"/>
          <w:lang w:val="en-US" w:eastAsia="zh-CN"/>
        </w:rPr>
        <w:t>124.5</w:t>
      </w:r>
      <w:r>
        <w:rPr>
          <w:rFonts w:hint="default"/>
          <w:color w:val="auto"/>
          <w:highlight w:val="none"/>
          <w:shd w:val="clear"/>
          <w:lang w:val="en-US" w:eastAsia="zh-CN"/>
        </w:rPr>
        <w:t>万m³，缺水量18</w:t>
      </w:r>
      <w:r>
        <w:rPr>
          <w:rFonts w:hint="eastAsia"/>
          <w:color w:val="auto"/>
          <w:highlight w:val="none"/>
          <w:shd w:val="clear"/>
          <w:lang w:val="en-US" w:eastAsia="zh-CN"/>
        </w:rPr>
        <w:t>69.3</w:t>
      </w:r>
      <w:r>
        <w:rPr>
          <w:rFonts w:hint="default"/>
          <w:color w:val="auto"/>
          <w:highlight w:val="none"/>
          <w:shd w:val="clear"/>
          <w:lang w:val="en-US" w:eastAsia="zh-CN"/>
        </w:rPr>
        <w:t>万m³，</w:t>
      </w:r>
      <w:r>
        <w:rPr>
          <w:rFonts w:hint="default"/>
          <w:color w:val="auto"/>
          <w:highlight w:val="none"/>
          <w:lang w:val="en-US" w:eastAsia="zh-CN"/>
        </w:rPr>
        <w:t>缺水量占总需水量的9</w:t>
      </w:r>
      <w:r>
        <w:rPr>
          <w:rFonts w:hint="eastAsia"/>
          <w:color w:val="auto"/>
          <w:highlight w:val="none"/>
          <w:lang w:val="en-US" w:eastAsia="zh-CN"/>
        </w:rPr>
        <w:t>3</w:t>
      </w:r>
      <w:r>
        <w:rPr>
          <w:rFonts w:hint="default"/>
          <w:color w:val="auto"/>
          <w:highlight w:val="none"/>
          <w:lang w:val="en-US" w:eastAsia="zh-CN"/>
        </w:rPr>
        <w:t>.</w:t>
      </w:r>
      <w:r>
        <w:rPr>
          <w:rFonts w:hint="eastAsia"/>
          <w:color w:val="auto"/>
          <w:highlight w:val="none"/>
          <w:lang w:val="en-US" w:eastAsia="zh-CN"/>
        </w:rPr>
        <w:t>76</w:t>
      </w:r>
      <w:r>
        <w:rPr>
          <w:rFonts w:hint="default"/>
          <w:color w:val="auto"/>
          <w:highlight w:val="none"/>
          <w:lang w:val="en-US" w:eastAsia="zh-CN"/>
        </w:rPr>
        <w:t>%。其中：集镇生活需水量4.6万m³，供水量4.6万m³，供需水平衡，保证0.1009万人集镇人口生活用水；农村生活需水量34.5万m³，供水量34.5万m³，供需水平衡，保证0.6891万人农村人口和1.3046万头大小牲畜生活用水；农业灌溉需水量为1993.8万m³，供水量</w:t>
      </w:r>
      <w:r>
        <w:rPr>
          <w:rFonts w:hint="eastAsia"/>
          <w:color w:val="auto"/>
          <w:highlight w:val="none"/>
          <w:lang w:val="en-US" w:eastAsia="zh-CN"/>
        </w:rPr>
        <w:t>85.4</w:t>
      </w:r>
      <w:r>
        <w:rPr>
          <w:rFonts w:hint="default"/>
          <w:color w:val="auto"/>
          <w:highlight w:val="none"/>
          <w:lang w:val="en-US" w:eastAsia="zh-CN"/>
        </w:rPr>
        <w:t>万m³，保证灌溉面积0.14万亩，缺水量</w:t>
      </w:r>
      <w:r>
        <w:rPr>
          <w:rFonts w:hint="eastAsia"/>
          <w:color w:val="auto"/>
          <w:highlight w:val="none"/>
          <w:lang w:val="en-US" w:eastAsia="zh-CN"/>
        </w:rPr>
        <w:t>1869.3</w:t>
      </w:r>
      <w:r>
        <w:rPr>
          <w:rFonts w:hint="default"/>
          <w:color w:val="auto"/>
          <w:highlight w:val="none"/>
          <w:lang w:val="en-US" w:eastAsia="zh-CN"/>
        </w:rPr>
        <w:t>万m³，缺灌面积3.35万亩。由于项目区产水量低、水利工程可供水量少，且大多耕地属于望天田，形成了地多水少的局面，导致灌区现状水平年农灌缺水状况十分严峻。</w:t>
      </w:r>
    </w:p>
    <w:p>
      <w:pPr>
        <w:keepNext w:val="0"/>
        <w:keepLines w:val="0"/>
        <w:pageBreakBefore w:val="0"/>
        <w:widowControl w:val="0"/>
        <w:numPr>
          <w:ilvl w:val="0"/>
          <w:numId w:val="0"/>
        </w:numPr>
        <w:kinsoku/>
        <w:wordWrap/>
        <w:overflowPunct/>
        <w:topLinePunct w:val="0"/>
        <w:autoSpaceDE/>
        <w:autoSpaceDN/>
        <w:bidi w:val="0"/>
        <w:adjustRightInd/>
        <w:snapToGrid w:val="0"/>
        <w:ind w:left="0" w:leftChars="0" w:firstLine="480" w:firstLineChars="200"/>
        <w:textAlignment w:val="auto"/>
        <w:rPr>
          <w:rFonts w:hint="eastAsia"/>
          <w:color w:val="auto"/>
          <w:highlight w:val="none"/>
          <w:lang w:val="en-US" w:eastAsia="zh-CN"/>
        </w:rPr>
      </w:pPr>
      <w:r>
        <w:rPr>
          <w:rFonts w:hint="eastAsia" w:ascii="Times New Roman" w:hAnsi="Times New Roman" w:eastAsia="宋体" w:cs="Times New Roman"/>
          <w:color w:val="auto"/>
          <w:kern w:val="2"/>
          <w:sz w:val="24"/>
          <w:szCs w:val="21"/>
          <w:highlight w:val="none"/>
          <w:lang w:val="en-US" w:eastAsia="zh-CN" w:bidi="ar-SA"/>
        </w:rPr>
        <w:t>3、</w:t>
      </w:r>
      <w:r>
        <w:rPr>
          <w:rFonts w:hint="eastAsia"/>
          <w:color w:val="auto"/>
          <w:highlight w:val="none"/>
          <w:lang w:val="en-US" w:eastAsia="zh-CN"/>
        </w:rPr>
        <w:t>调蓄水库生态流量现状</w:t>
      </w:r>
    </w:p>
    <w:p>
      <w:pPr>
        <w:keepNext w:val="0"/>
        <w:keepLines w:val="0"/>
        <w:pageBreakBefore w:val="0"/>
        <w:widowControl w:val="0"/>
        <w:numPr>
          <w:ilvl w:val="0"/>
          <w:numId w:val="0"/>
        </w:numPr>
        <w:kinsoku/>
        <w:wordWrap/>
        <w:overflowPunct/>
        <w:topLinePunct w:val="0"/>
        <w:autoSpaceDE/>
        <w:autoSpaceDN/>
        <w:bidi w:val="0"/>
        <w:adjustRightInd/>
        <w:snapToGrid w:val="0"/>
        <w:ind w:leftChars="0" w:firstLine="480" w:firstLineChars="200"/>
        <w:textAlignment w:val="auto"/>
        <w:rPr>
          <w:rFonts w:hint="eastAsia"/>
          <w:color w:val="auto"/>
          <w:highlight w:val="none"/>
          <w:lang w:val="en-US" w:eastAsia="zh-CN"/>
        </w:rPr>
      </w:pPr>
      <w:r>
        <w:rPr>
          <w:rFonts w:hint="eastAsia"/>
          <w:color w:val="auto"/>
          <w:highlight w:val="none"/>
          <w:lang w:val="en-US" w:eastAsia="zh-CN"/>
        </w:rPr>
        <w:t>本工程提水后运至灌区当地调蓄水库界牌箐水库（界牌箐水库）、水平石水库，灌区所在地区大部分为农村地区，水库下游无生活用水取水口。调蓄水库均为小型水库，且建设时间较早，建设期间未考虑最小下泄流量，前文及后述兴利调节计算中均按多年平均流量的10%规定最小下泄流量，满足下游生态需要。</w:t>
      </w:r>
    </w:p>
    <w:p>
      <w:pPr>
        <w:keepNext w:val="0"/>
        <w:keepLines w:val="0"/>
        <w:pageBreakBefore w:val="0"/>
        <w:widowControl w:val="0"/>
        <w:numPr>
          <w:ilvl w:val="0"/>
          <w:numId w:val="0"/>
        </w:numPr>
        <w:kinsoku/>
        <w:wordWrap/>
        <w:overflowPunct/>
        <w:topLinePunct w:val="0"/>
        <w:autoSpaceDE/>
        <w:autoSpaceDN/>
        <w:bidi w:val="0"/>
        <w:adjustRightInd/>
        <w:snapToGrid w:val="0"/>
        <w:ind w:left="0" w:leftChars="0" w:firstLine="480" w:firstLineChars="200"/>
        <w:textAlignment w:val="auto"/>
        <w:rPr>
          <w:rFonts w:hint="default"/>
          <w:color w:val="auto"/>
          <w:highlight w:val="none"/>
          <w:lang w:val="en-US" w:eastAsia="zh-CN"/>
        </w:rPr>
      </w:pPr>
      <w:r>
        <w:rPr>
          <w:rFonts w:hint="default" w:ascii="Times New Roman" w:hAnsi="Times New Roman" w:eastAsia="宋体" w:cs="Times New Roman"/>
          <w:color w:val="auto"/>
          <w:kern w:val="2"/>
          <w:sz w:val="24"/>
          <w:szCs w:val="21"/>
          <w:highlight w:val="none"/>
          <w:lang w:val="en-US" w:eastAsia="zh-CN" w:bidi="ar-SA"/>
        </w:rPr>
        <w:t>4、</w:t>
      </w:r>
      <w:r>
        <w:rPr>
          <w:rFonts w:hint="eastAsia"/>
          <w:color w:val="auto"/>
          <w:highlight w:val="none"/>
          <w:lang w:val="en-US" w:eastAsia="zh-CN"/>
        </w:rPr>
        <w:t>污染源现状调查</w:t>
      </w:r>
    </w:p>
    <w:p>
      <w:pPr>
        <w:keepNext w:val="0"/>
        <w:keepLines w:val="0"/>
        <w:pageBreakBefore w:val="0"/>
        <w:widowControl w:val="0"/>
        <w:numPr>
          <w:ilvl w:val="0"/>
          <w:numId w:val="0"/>
        </w:numPr>
        <w:kinsoku/>
        <w:wordWrap/>
        <w:overflowPunct/>
        <w:topLinePunct w:val="0"/>
        <w:autoSpaceDE/>
        <w:autoSpaceDN/>
        <w:bidi w:val="0"/>
        <w:adjustRightInd/>
        <w:snapToGrid w:val="0"/>
        <w:ind w:leftChars="0" w:firstLine="480" w:firstLineChars="200"/>
        <w:textAlignment w:val="auto"/>
        <w:rPr>
          <w:rFonts w:hint="default"/>
          <w:color w:val="auto"/>
          <w:highlight w:val="none"/>
          <w:lang w:val="en-US" w:eastAsia="zh-CN"/>
        </w:rPr>
      </w:pPr>
      <w:r>
        <w:rPr>
          <w:rFonts w:hint="default"/>
          <w:color w:val="auto"/>
          <w:highlight w:val="none"/>
          <w:lang w:val="en-US" w:eastAsia="zh-CN"/>
        </w:rPr>
        <w:t>根据《元谋县</w:t>
      </w:r>
      <w:r>
        <w:rPr>
          <w:rFonts w:hint="eastAsia"/>
          <w:color w:val="auto"/>
          <w:highlight w:val="none"/>
          <w:lang w:val="en-US" w:eastAsia="zh-CN"/>
        </w:rPr>
        <w:t>“</w:t>
      </w:r>
      <w:r>
        <w:rPr>
          <w:rFonts w:hint="default"/>
          <w:color w:val="auto"/>
          <w:highlight w:val="none"/>
          <w:lang w:val="en-US" w:eastAsia="zh-CN"/>
        </w:rPr>
        <w:t>十四五</w:t>
      </w:r>
      <w:r>
        <w:rPr>
          <w:rFonts w:hint="eastAsia"/>
          <w:color w:val="auto"/>
          <w:highlight w:val="none"/>
          <w:lang w:val="en-US" w:eastAsia="zh-CN"/>
        </w:rPr>
        <w:t>”</w:t>
      </w:r>
      <w:r>
        <w:rPr>
          <w:rFonts w:hint="default"/>
          <w:color w:val="auto"/>
          <w:highlight w:val="none"/>
          <w:lang w:val="en-US" w:eastAsia="zh-CN"/>
        </w:rPr>
        <w:t>生态环境保护规划》分析，本工程受退水区的污染源主要来源于农业面源污染、农村生活污染、工业污染、移动污染源等组成。</w:t>
      </w:r>
    </w:p>
    <w:p>
      <w:pPr>
        <w:pStyle w:val="4"/>
        <w:numPr>
          <w:ilvl w:val="2"/>
          <w:numId w:val="1"/>
        </w:numPr>
        <w:bidi w:val="0"/>
        <w:rPr>
          <w:rFonts w:hint="default"/>
          <w:color w:val="auto"/>
          <w:highlight w:val="none"/>
        </w:rPr>
      </w:pPr>
      <w:bookmarkStart w:id="477" w:name="_Toc10295"/>
      <w:bookmarkStart w:id="478" w:name="_Toc26776"/>
      <w:bookmarkStart w:id="479" w:name="_Toc2951"/>
      <w:bookmarkStart w:id="480" w:name="_Toc10455"/>
      <w:bookmarkStart w:id="481" w:name="_Toc1377"/>
      <w:bookmarkStart w:id="482" w:name="_Toc1568"/>
      <w:bookmarkStart w:id="483" w:name="_Toc22068"/>
      <w:r>
        <w:rPr>
          <w:rFonts w:hint="default"/>
          <w:color w:val="auto"/>
          <w:highlight w:val="none"/>
        </w:rPr>
        <w:t>土壤</w:t>
      </w:r>
      <w:bookmarkEnd w:id="477"/>
      <w:bookmarkEnd w:id="478"/>
      <w:bookmarkEnd w:id="479"/>
      <w:bookmarkEnd w:id="480"/>
      <w:bookmarkEnd w:id="481"/>
      <w:bookmarkEnd w:id="482"/>
      <w:bookmarkEnd w:id="483"/>
    </w:p>
    <w:p>
      <w:pPr>
        <w:ind w:firstLine="480" w:firstLineChars="200"/>
        <w:rPr>
          <w:rFonts w:hint="default"/>
          <w:color w:val="auto"/>
          <w:highlight w:val="none"/>
        </w:rPr>
      </w:pPr>
      <w:r>
        <w:rPr>
          <w:rFonts w:hint="default"/>
          <w:color w:val="auto"/>
          <w:highlight w:val="none"/>
        </w:rPr>
        <w:t>元谋县土壤共分9个土类，14个亚类，25个土属，51个土种，在9个土类中，自然土壤占总面积的85%，农业土壤占15%，海拔2300－2400米的阳坡为紫色土，冲积土分布在河流两岸，水稻土多分布于低海拔地带。</w:t>
      </w:r>
    </w:p>
    <w:p>
      <w:pPr>
        <w:ind w:firstLine="480" w:firstLineChars="200"/>
        <w:rPr>
          <w:rFonts w:hint="default"/>
          <w:color w:val="auto"/>
          <w:highlight w:val="none"/>
        </w:rPr>
      </w:pPr>
      <w:r>
        <w:rPr>
          <w:rFonts w:hint="default"/>
          <w:color w:val="auto"/>
          <w:highlight w:val="none"/>
        </w:rPr>
        <w:t>根据外业现场调查，项目区土壤以黄棕壤、燥红壤、紫色土为主。</w:t>
      </w:r>
    </w:p>
    <w:p>
      <w:pPr>
        <w:pStyle w:val="4"/>
        <w:numPr>
          <w:ilvl w:val="2"/>
          <w:numId w:val="1"/>
        </w:numPr>
        <w:bidi w:val="0"/>
        <w:rPr>
          <w:rFonts w:hint="default"/>
          <w:color w:val="auto"/>
          <w:highlight w:val="none"/>
        </w:rPr>
      </w:pPr>
      <w:bookmarkStart w:id="484" w:name="_Toc8620"/>
      <w:bookmarkStart w:id="485" w:name="_Toc7222"/>
      <w:bookmarkStart w:id="486" w:name="_Toc12028"/>
      <w:bookmarkStart w:id="487" w:name="_Toc19712"/>
      <w:bookmarkStart w:id="488" w:name="_Toc28975"/>
      <w:bookmarkStart w:id="489" w:name="_Toc19822"/>
      <w:bookmarkStart w:id="490" w:name="_Toc18057"/>
      <w:bookmarkStart w:id="491" w:name="_Toc26087"/>
      <w:r>
        <w:rPr>
          <w:rFonts w:hint="default"/>
          <w:color w:val="auto"/>
          <w:highlight w:val="none"/>
        </w:rPr>
        <w:t>矿产资源</w:t>
      </w:r>
      <w:bookmarkEnd w:id="484"/>
      <w:bookmarkEnd w:id="485"/>
      <w:bookmarkEnd w:id="486"/>
      <w:bookmarkEnd w:id="487"/>
      <w:bookmarkEnd w:id="488"/>
      <w:bookmarkEnd w:id="489"/>
      <w:bookmarkEnd w:id="490"/>
      <w:bookmarkEnd w:id="491"/>
    </w:p>
    <w:p>
      <w:pPr>
        <w:ind w:firstLine="480" w:firstLineChars="200"/>
        <w:rPr>
          <w:rFonts w:hint="default"/>
          <w:color w:val="auto"/>
          <w:highlight w:val="none"/>
        </w:rPr>
      </w:pPr>
      <w:r>
        <w:rPr>
          <w:rFonts w:hint="default"/>
          <w:color w:val="auto"/>
          <w:highlight w:val="none"/>
        </w:rPr>
        <w:t>姜驿乡境内已探明地下矿藏主要有铁、铜、褐铁、磁铁等。铁矿储量694万吨，平均品位45%。</w:t>
      </w:r>
    </w:p>
    <w:p>
      <w:pPr>
        <w:pStyle w:val="3"/>
        <w:numPr>
          <w:ilvl w:val="1"/>
          <w:numId w:val="1"/>
        </w:numPr>
        <w:bidi w:val="0"/>
        <w:rPr>
          <w:rFonts w:hint="default"/>
          <w:color w:val="auto"/>
          <w:highlight w:val="none"/>
        </w:rPr>
      </w:pPr>
      <w:bookmarkStart w:id="492" w:name="_Toc29584"/>
      <w:bookmarkStart w:id="493" w:name="_Toc7705"/>
      <w:bookmarkStart w:id="494" w:name="_Toc1448"/>
      <w:bookmarkStart w:id="495" w:name="_Toc8150"/>
      <w:bookmarkStart w:id="496" w:name="_Toc21847"/>
      <w:bookmarkStart w:id="497" w:name="_Toc22726"/>
      <w:bookmarkStart w:id="498" w:name="_Toc17623"/>
      <w:bookmarkStart w:id="499" w:name="_Toc9641"/>
      <w:bookmarkStart w:id="500" w:name="_Toc19262"/>
      <w:r>
        <w:rPr>
          <w:rFonts w:hint="default"/>
          <w:color w:val="auto"/>
          <w:highlight w:val="none"/>
        </w:rPr>
        <w:t>环境质量现状</w:t>
      </w:r>
      <w:bookmarkEnd w:id="492"/>
      <w:bookmarkEnd w:id="493"/>
      <w:bookmarkEnd w:id="494"/>
      <w:bookmarkEnd w:id="495"/>
      <w:bookmarkEnd w:id="496"/>
      <w:bookmarkEnd w:id="497"/>
      <w:bookmarkEnd w:id="498"/>
      <w:bookmarkEnd w:id="499"/>
      <w:bookmarkEnd w:id="500"/>
    </w:p>
    <w:p>
      <w:pPr>
        <w:pStyle w:val="4"/>
        <w:numPr>
          <w:ilvl w:val="2"/>
          <w:numId w:val="1"/>
        </w:numPr>
        <w:bidi w:val="0"/>
        <w:rPr>
          <w:rFonts w:hint="default"/>
          <w:color w:val="auto"/>
          <w:highlight w:val="none"/>
        </w:rPr>
      </w:pPr>
      <w:bookmarkStart w:id="501" w:name="_Toc721"/>
      <w:bookmarkStart w:id="502" w:name="_Toc3347"/>
      <w:bookmarkStart w:id="503" w:name="_Toc1134"/>
      <w:bookmarkStart w:id="504" w:name="_Toc25080"/>
      <w:bookmarkStart w:id="505" w:name="_Toc16003"/>
      <w:bookmarkStart w:id="506" w:name="_Toc5543"/>
      <w:r>
        <w:rPr>
          <w:rFonts w:hint="default"/>
          <w:color w:val="auto"/>
          <w:highlight w:val="none"/>
        </w:rPr>
        <w:t>环境空气质量现状</w:t>
      </w:r>
      <w:bookmarkEnd w:id="501"/>
      <w:bookmarkEnd w:id="502"/>
      <w:bookmarkEnd w:id="503"/>
      <w:bookmarkEnd w:id="504"/>
      <w:bookmarkEnd w:id="505"/>
      <w:bookmarkEnd w:id="506"/>
    </w:p>
    <w:p>
      <w:pPr>
        <w:pStyle w:val="5"/>
        <w:numPr>
          <w:ilvl w:val="3"/>
          <w:numId w:val="17"/>
        </w:numPr>
        <w:bidi w:val="0"/>
        <w:ind w:left="480" w:leftChars="0" w:firstLineChars="0"/>
        <w:rPr>
          <w:rFonts w:hint="default"/>
          <w:color w:val="auto"/>
        </w:rPr>
      </w:pPr>
      <w:r>
        <w:rPr>
          <w:rFonts w:hint="default"/>
          <w:color w:val="auto"/>
        </w:rPr>
        <w:t>达标区判定</w:t>
      </w:r>
    </w:p>
    <w:p>
      <w:pPr>
        <w:bidi w:val="0"/>
        <w:ind w:firstLine="480" w:firstLineChars="200"/>
        <w:rPr>
          <w:rFonts w:hint="default" w:eastAsia="宋体"/>
          <w:color w:val="auto"/>
          <w:highlight w:val="none"/>
          <w:lang w:val="en-US" w:eastAsia="zh-CN"/>
        </w:rPr>
      </w:pPr>
      <w:r>
        <w:rPr>
          <w:rFonts w:hint="eastAsia"/>
          <w:color w:val="auto"/>
          <w:highlight w:val="none"/>
          <w:lang w:val="en-US" w:eastAsia="zh-CN"/>
        </w:rPr>
        <w:t>本项目涉及元谋风景名胜区为一类区，由于在元谋风景名胜区没有例行监测点，本次评价引用</w:t>
      </w:r>
      <w:r>
        <w:rPr>
          <w:color w:val="auto"/>
          <w:highlight w:val="none"/>
        </w:rPr>
        <w:t>《202</w:t>
      </w:r>
      <w:r>
        <w:rPr>
          <w:rFonts w:hint="eastAsia"/>
          <w:color w:val="auto"/>
          <w:highlight w:val="none"/>
          <w:lang w:val="en-US" w:eastAsia="zh-CN"/>
        </w:rPr>
        <w:t>2</w:t>
      </w:r>
      <w:r>
        <w:rPr>
          <w:color w:val="auto"/>
          <w:highlight w:val="none"/>
        </w:rPr>
        <w:t>年元谋县环境质量状况》</w:t>
      </w:r>
      <w:r>
        <w:rPr>
          <w:rFonts w:hint="eastAsia"/>
          <w:color w:val="auto"/>
          <w:highlight w:val="none"/>
          <w:lang w:val="en-US" w:eastAsia="zh-CN"/>
        </w:rPr>
        <w:t>并对TSP补充监测说明达标区的情况。</w:t>
      </w:r>
    </w:p>
    <w:p>
      <w:pPr>
        <w:keepNext w:val="0"/>
        <w:keepLines w:val="0"/>
        <w:pageBreakBefore w:val="0"/>
        <w:widowControl w:val="0"/>
        <w:kinsoku/>
        <w:wordWrap/>
        <w:overflowPunct/>
        <w:topLinePunct w:val="0"/>
        <w:autoSpaceDE/>
        <w:autoSpaceDN/>
        <w:bidi w:val="0"/>
        <w:adjustRightInd/>
        <w:snapToGrid w:val="0"/>
        <w:ind w:firstLine="482" w:firstLineChars="200"/>
        <w:textAlignment w:val="auto"/>
        <w:rPr>
          <w:b/>
          <w:bCs/>
          <w:color w:val="auto"/>
          <w:highlight w:val="none"/>
        </w:rPr>
      </w:pPr>
      <w:r>
        <w:rPr>
          <w:rFonts w:hint="eastAsia"/>
          <w:b/>
          <w:bCs/>
          <w:color w:val="auto"/>
          <w:highlight w:val="none"/>
        </w:rPr>
        <w:t>1、环境质量公报</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采用《202</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年元谋县环境质量状况》，从监测指标来看，2022年元谋县可吸入颗粒物(PM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）、细颗粒物（PM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）、二氧化硫（SO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）、二氧化氮（NO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)4个监测指标年均值及一氧化碳（CO)95百分位数监测结果均为一级，臭氧（O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-8h)90百分位数监测结果为二级，其中，细颗粒物（PM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）年均值为11微克每立方米，满足省、州下达的20微克每立方米的考核目标要求。元谋县各监测指标评价均为二级及以上，空气质量均达标。元谋县202</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年环境空气质量状况见下表。</w:t>
      </w:r>
    </w:p>
    <w:p>
      <w:pPr>
        <w:pStyle w:val="40"/>
        <w:bidi w:val="0"/>
        <w:spacing w:line="240" w:lineRule="auto"/>
        <w:rPr>
          <w:color w:val="auto"/>
          <w:highlight w:val="none"/>
        </w:rPr>
      </w:pPr>
      <w:r>
        <w:rPr>
          <w:color w:val="auto"/>
          <w:highlight w:val="none"/>
        </w:rPr>
        <w:t>表 4.2</w:t>
      </w:r>
      <w:r>
        <w:rPr>
          <w:rFonts w:hint="eastAsia"/>
          <w:color w:val="auto"/>
          <w:highlight w:val="none"/>
          <w:lang w:val="en-US" w:eastAsia="zh-CN"/>
        </w:rPr>
        <w:t>.1</w:t>
      </w:r>
      <w:r>
        <w:rPr>
          <w:color w:val="auto"/>
          <w:highlight w:val="none"/>
        </w:rPr>
        <w:t>-1  元谋县环境空气质量</w:t>
      </w:r>
    </w:p>
    <w:tbl>
      <w:tblPr>
        <w:tblStyle w:val="57"/>
        <w:tblW w:w="852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74"/>
        <w:gridCol w:w="2304"/>
        <w:gridCol w:w="1693"/>
        <w:gridCol w:w="355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4" w:hRule="atLeast"/>
        </w:trPr>
        <w:tc>
          <w:tcPr>
            <w:tcW w:w="974"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序号</w:t>
            </w:r>
          </w:p>
        </w:tc>
        <w:tc>
          <w:tcPr>
            <w:tcW w:w="2304"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污染物</w:t>
            </w:r>
          </w:p>
        </w:tc>
        <w:tc>
          <w:tcPr>
            <w:tcW w:w="1693"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年均浓度(μg/m³)</w:t>
            </w:r>
          </w:p>
        </w:tc>
        <w:tc>
          <w:tcPr>
            <w:tcW w:w="3557"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974"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1</w:t>
            </w:r>
          </w:p>
        </w:tc>
        <w:tc>
          <w:tcPr>
            <w:tcW w:w="2304"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SO</w:t>
            </w:r>
            <w:r>
              <w:rPr>
                <w:color w:val="auto"/>
                <w:highlight w:val="none"/>
                <w:vertAlign w:val="subscript"/>
              </w:rPr>
              <w:t>2</w:t>
            </w:r>
          </w:p>
        </w:tc>
        <w:tc>
          <w:tcPr>
            <w:tcW w:w="1693"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eastAsia="宋"/>
                <w:color w:val="auto"/>
                <w:highlight w:val="none"/>
                <w:lang w:eastAsia="zh-CN"/>
              </w:rPr>
            </w:pPr>
            <w:r>
              <w:rPr>
                <w:rFonts w:hint="eastAsia"/>
                <w:color w:val="auto"/>
                <w:highlight w:val="none"/>
                <w:lang w:val="en-US" w:eastAsia="zh-CN"/>
              </w:rPr>
              <w:t>9</w:t>
            </w:r>
          </w:p>
        </w:tc>
        <w:tc>
          <w:tcPr>
            <w:tcW w:w="3557"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lang w:eastAsia="zh-CN"/>
              </w:rPr>
              <w:t>达到</w:t>
            </w:r>
            <w:r>
              <w:rPr>
                <w:color w:val="auto"/>
                <w:highlight w:val="none"/>
              </w:rPr>
              <w:t>年均值</w:t>
            </w:r>
            <w:r>
              <w:rPr>
                <w:rFonts w:hint="eastAsia"/>
                <w:color w:val="auto"/>
                <w:highlight w:val="none"/>
                <w:lang w:eastAsia="zh-CN"/>
              </w:rPr>
              <w:t>一</w:t>
            </w:r>
            <w:r>
              <w:rPr>
                <w:color w:val="auto"/>
                <w:highlight w:val="none"/>
              </w:rPr>
              <w:t>级标准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4" w:hRule="atLeast"/>
        </w:trPr>
        <w:tc>
          <w:tcPr>
            <w:tcW w:w="974"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2</w:t>
            </w:r>
          </w:p>
        </w:tc>
        <w:tc>
          <w:tcPr>
            <w:tcW w:w="2304"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NO</w:t>
            </w:r>
            <w:r>
              <w:rPr>
                <w:color w:val="auto"/>
                <w:highlight w:val="none"/>
                <w:vertAlign w:val="subscript"/>
              </w:rPr>
              <w:t>2</w:t>
            </w:r>
          </w:p>
        </w:tc>
        <w:tc>
          <w:tcPr>
            <w:tcW w:w="1693"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10</w:t>
            </w:r>
          </w:p>
        </w:tc>
        <w:tc>
          <w:tcPr>
            <w:tcW w:w="3557"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lang w:eastAsia="zh-CN"/>
              </w:rPr>
              <w:t>达到</w:t>
            </w:r>
            <w:r>
              <w:rPr>
                <w:color w:val="auto"/>
                <w:highlight w:val="none"/>
              </w:rPr>
              <w:t>年均值</w:t>
            </w:r>
            <w:r>
              <w:rPr>
                <w:rFonts w:hint="eastAsia"/>
                <w:color w:val="auto"/>
                <w:highlight w:val="none"/>
                <w:lang w:eastAsia="zh-CN"/>
              </w:rPr>
              <w:t>一</w:t>
            </w:r>
            <w:r>
              <w:rPr>
                <w:color w:val="auto"/>
                <w:highlight w:val="none"/>
              </w:rPr>
              <w:t>级标准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4" w:hRule="atLeast"/>
        </w:trPr>
        <w:tc>
          <w:tcPr>
            <w:tcW w:w="974"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olor w:val="auto"/>
                <w:highlight w:val="none"/>
                <w:lang w:val="en-US" w:eastAsia="zh-CN"/>
              </w:rPr>
            </w:pPr>
            <w:r>
              <w:rPr>
                <w:rFonts w:hint="eastAsia"/>
                <w:color w:val="auto"/>
                <w:highlight w:val="none"/>
                <w:lang w:val="en-US" w:eastAsia="zh-CN"/>
              </w:rPr>
              <w:t>3</w:t>
            </w:r>
          </w:p>
        </w:tc>
        <w:tc>
          <w:tcPr>
            <w:tcW w:w="2304"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rPr>
              <w:t>PM</w:t>
            </w:r>
            <w:r>
              <w:rPr>
                <w:rFonts w:hint="eastAsia"/>
                <w:color w:val="auto"/>
                <w:highlight w:val="none"/>
                <w:vertAlign w:val="subscript"/>
              </w:rPr>
              <w:t>10</w:t>
            </w:r>
          </w:p>
        </w:tc>
        <w:tc>
          <w:tcPr>
            <w:tcW w:w="1693"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22</w:t>
            </w:r>
          </w:p>
        </w:tc>
        <w:tc>
          <w:tcPr>
            <w:tcW w:w="3557"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lang w:eastAsia="zh-CN"/>
              </w:rPr>
              <w:t>达到</w:t>
            </w:r>
            <w:r>
              <w:rPr>
                <w:color w:val="auto"/>
                <w:highlight w:val="none"/>
              </w:rPr>
              <w:t>年均值</w:t>
            </w:r>
            <w:r>
              <w:rPr>
                <w:rFonts w:hint="eastAsia"/>
                <w:color w:val="auto"/>
                <w:highlight w:val="none"/>
                <w:lang w:eastAsia="zh-CN"/>
              </w:rPr>
              <w:t>一</w:t>
            </w:r>
            <w:r>
              <w:rPr>
                <w:color w:val="auto"/>
                <w:highlight w:val="none"/>
              </w:rPr>
              <w:t>级标准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4" w:hRule="atLeast"/>
        </w:trPr>
        <w:tc>
          <w:tcPr>
            <w:tcW w:w="974"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olor w:val="auto"/>
                <w:highlight w:val="none"/>
                <w:lang w:val="en-US" w:eastAsia="zh-CN"/>
              </w:rPr>
            </w:pPr>
            <w:r>
              <w:rPr>
                <w:rFonts w:hint="eastAsia"/>
                <w:color w:val="auto"/>
                <w:highlight w:val="none"/>
                <w:lang w:val="en-US" w:eastAsia="zh-CN"/>
              </w:rPr>
              <w:t>4</w:t>
            </w:r>
          </w:p>
        </w:tc>
        <w:tc>
          <w:tcPr>
            <w:tcW w:w="2304"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rPr>
              <w:t>PM</w:t>
            </w:r>
            <w:r>
              <w:rPr>
                <w:rFonts w:hint="eastAsia"/>
                <w:color w:val="auto"/>
                <w:highlight w:val="none"/>
                <w:vertAlign w:val="subscript"/>
              </w:rPr>
              <w:t>2.5</w:t>
            </w:r>
          </w:p>
        </w:tc>
        <w:tc>
          <w:tcPr>
            <w:tcW w:w="1693"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11</w:t>
            </w:r>
          </w:p>
        </w:tc>
        <w:tc>
          <w:tcPr>
            <w:tcW w:w="3557"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lang w:eastAsia="zh-CN"/>
              </w:rPr>
              <w:t>达到</w:t>
            </w:r>
            <w:r>
              <w:rPr>
                <w:color w:val="auto"/>
                <w:highlight w:val="none"/>
              </w:rPr>
              <w:t>年均值</w:t>
            </w:r>
            <w:r>
              <w:rPr>
                <w:rFonts w:hint="eastAsia"/>
                <w:color w:val="auto"/>
                <w:highlight w:val="none"/>
                <w:lang w:eastAsia="zh-CN"/>
              </w:rPr>
              <w:t>一</w:t>
            </w:r>
            <w:r>
              <w:rPr>
                <w:color w:val="auto"/>
                <w:highlight w:val="none"/>
              </w:rPr>
              <w:t>级标准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4" w:hRule="atLeast"/>
        </w:trPr>
        <w:tc>
          <w:tcPr>
            <w:tcW w:w="974"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olor w:val="auto"/>
                <w:highlight w:val="none"/>
                <w:lang w:val="en-US" w:eastAsia="zh-CN"/>
              </w:rPr>
            </w:pPr>
            <w:r>
              <w:rPr>
                <w:rFonts w:hint="eastAsia"/>
                <w:color w:val="auto"/>
                <w:highlight w:val="none"/>
                <w:lang w:val="en-US" w:eastAsia="zh-CN"/>
              </w:rPr>
              <w:t>5</w:t>
            </w:r>
          </w:p>
        </w:tc>
        <w:tc>
          <w:tcPr>
            <w:tcW w:w="2304"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rPr>
              <w:t>（CO)95百分位数</w:t>
            </w:r>
          </w:p>
        </w:tc>
        <w:tc>
          <w:tcPr>
            <w:tcW w:w="1693"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1.1</w:t>
            </w:r>
          </w:p>
        </w:tc>
        <w:tc>
          <w:tcPr>
            <w:tcW w:w="3557"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lang w:eastAsia="zh-CN"/>
              </w:rPr>
              <w:t>达到</w:t>
            </w:r>
            <w:r>
              <w:rPr>
                <w:color w:val="auto"/>
                <w:highlight w:val="none"/>
              </w:rPr>
              <w:t>年均值</w:t>
            </w:r>
            <w:r>
              <w:rPr>
                <w:rFonts w:hint="eastAsia"/>
                <w:color w:val="auto"/>
                <w:highlight w:val="none"/>
                <w:lang w:eastAsia="zh-CN"/>
              </w:rPr>
              <w:t>一</w:t>
            </w:r>
            <w:r>
              <w:rPr>
                <w:color w:val="auto"/>
                <w:highlight w:val="none"/>
              </w:rPr>
              <w:t>级标准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4" w:hRule="atLeast"/>
        </w:trPr>
        <w:tc>
          <w:tcPr>
            <w:tcW w:w="974"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eastAsia"/>
                <w:color w:val="auto"/>
                <w:highlight w:val="none"/>
                <w:lang w:val="en-US" w:eastAsia="zh-CN"/>
              </w:rPr>
            </w:pPr>
            <w:r>
              <w:rPr>
                <w:rFonts w:hint="eastAsia"/>
                <w:color w:val="auto"/>
                <w:highlight w:val="none"/>
                <w:lang w:val="en-US" w:eastAsia="zh-CN"/>
              </w:rPr>
              <w:t>6</w:t>
            </w:r>
          </w:p>
        </w:tc>
        <w:tc>
          <w:tcPr>
            <w:tcW w:w="2304"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rPr>
              <w:t>臭氧（O</w:t>
            </w:r>
            <w:r>
              <w:rPr>
                <w:rFonts w:hint="eastAsia"/>
                <w:color w:val="auto"/>
                <w:highlight w:val="none"/>
                <w:vertAlign w:val="subscript"/>
              </w:rPr>
              <w:t>3</w:t>
            </w:r>
            <w:r>
              <w:rPr>
                <w:rFonts w:hint="eastAsia"/>
                <w:color w:val="auto"/>
                <w:highlight w:val="none"/>
              </w:rPr>
              <w:t>-8h)90百分位数</w:t>
            </w:r>
          </w:p>
        </w:tc>
        <w:tc>
          <w:tcPr>
            <w:tcW w:w="1693"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107</w:t>
            </w:r>
          </w:p>
        </w:tc>
        <w:tc>
          <w:tcPr>
            <w:tcW w:w="3557" w:type="dxa"/>
            <w:vAlign w:val="top"/>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lang w:eastAsia="zh-CN"/>
              </w:rPr>
              <w:t>达到</w:t>
            </w:r>
            <w:r>
              <w:rPr>
                <w:color w:val="auto"/>
                <w:highlight w:val="none"/>
              </w:rPr>
              <w:t>年均值</w:t>
            </w:r>
            <w:r>
              <w:rPr>
                <w:rFonts w:hint="eastAsia"/>
                <w:color w:val="auto"/>
                <w:highlight w:val="none"/>
                <w:lang w:eastAsia="zh-CN"/>
              </w:rPr>
              <w:t>二</w:t>
            </w:r>
            <w:r>
              <w:rPr>
                <w:color w:val="auto"/>
                <w:highlight w:val="none"/>
              </w:rPr>
              <w:t>级标准</w:t>
            </w:r>
          </w:p>
        </w:tc>
      </w:tr>
    </w:tbl>
    <w:p>
      <w:pPr>
        <w:bidi w:val="0"/>
        <w:ind w:firstLine="480" w:firstLineChars="200"/>
        <w:rPr>
          <w:rFonts w:hint="eastAsia"/>
          <w:color w:val="auto"/>
          <w:highlight w:val="none"/>
          <w:lang w:eastAsia="zh-CN"/>
        </w:rPr>
      </w:pPr>
      <w:r>
        <w:rPr>
          <w:color w:val="auto"/>
          <w:highlight w:val="none"/>
        </w:rPr>
        <w:t>项目涉及元谋风景名胜区，</w:t>
      </w:r>
      <w:r>
        <w:rPr>
          <w:rFonts w:hint="eastAsia"/>
          <w:color w:val="auto"/>
          <w:highlight w:val="none"/>
          <w:lang w:eastAsia="zh-CN"/>
        </w:rPr>
        <w:t>属于一级环境功能区，因此补测元谋风景名胜区内</w:t>
      </w:r>
      <w:r>
        <w:rPr>
          <w:rFonts w:hint="eastAsia"/>
          <w:color w:val="auto"/>
          <w:highlight w:val="none"/>
        </w:rPr>
        <w:t>臭氧（O</w:t>
      </w:r>
      <w:r>
        <w:rPr>
          <w:rFonts w:hint="eastAsia"/>
          <w:color w:val="auto"/>
          <w:highlight w:val="none"/>
          <w:vertAlign w:val="subscript"/>
        </w:rPr>
        <w:t>3</w:t>
      </w:r>
      <w:r>
        <w:rPr>
          <w:rFonts w:hint="eastAsia"/>
          <w:color w:val="auto"/>
          <w:highlight w:val="none"/>
        </w:rPr>
        <w:t>-8h)</w:t>
      </w:r>
      <w:r>
        <w:rPr>
          <w:rFonts w:hint="eastAsia"/>
          <w:color w:val="auto"/>
          <w:highlight w:val="none"/>
          <w:lang w:eastAsia="zh-CN"/>
        </w:rPr>
        <w:t>和</w:t>
      </w:r>
      <w:r>
        <w:rPr>
          <w:rFonts w:hint="eastAsia"/>
          <w:color w:val="auto"/>
          <w:highlight w:val="none"/>
          <w:lang w:val="en-US" w:eastAsia="zh-CN"/>
        </w:rPr>
        <w:t>1小时平均</w:t>
      </w:r>
      <w:r>
        <w:rPr>
          <w:rFonts w:hint="eastAsia"/>
          <w:color w:val="auto"/>
          <w:highlight w:val="none"/>
          <w:lang w:eastAsia="zh-CN"/>
        </w:rPr>
        <w:t>监测数据，建设单位委托云南天倪检测有限</w:t>
      </w:r>
      <w:r>
        <w:rPr>
          <w:rFonts w:hint="eastAsia"/>
          <w:color w:val="auto"/>
          <w:highlight w:val="none"/>
          <w:lang w:val="en-US" w:eastAsia="zh-CN"/>
        </w:rPr>
        <w:t>公司于2023年12月25日~12月31日对</w:t>
      </w:r>
      <w:r>
        <w:rPr>
          <w:color w:val="auto"/>
          <w:highlight w:val="none"/>
        </w:rPr>
        <w:t>元谋风景名胜区金沙江景区内进行了</w:t>
      </w:r>
      <w:r>
        <w:rPr>
          <w:rFonts w:hint="eastAsia"/>
          <w:color w:val="auto"/>
          <w:highlight w:val="none"/>
        </w:rPr>
        <w:t>臭氧（O</w:t>
      </w:r>
      <w:r>
        <w:rPr>
          <w:rFonts w:hint="eastAsia"/>
          <w:color w:val="auto"/>
          <w:highlight w:val="none"/>
          <w:vertAlign w:val="subscript"/>
        </w:rPr>
        <w:t>3</w:t>
      </w:r>
      <w:r>
        <w:rPr>
          <w:rFonts w:hint="eastAsia"/>
          <w:color w:val="auto"/>
          <w:highlight w:val="none"/>
        </w:rPr>
        <w:t>-8h)</w:t>
      </w:r>
      <w:r>
        <w:rPr>
          <w:rFonts w:hint="eastAsia"/>
          <w:color w:val="auto"/>
          <w:highlight w:val="none"/>
          <w:lang w:eastAsia="zh-CN"/>
        </w:rPr>
        <w:t>和</w:t>
      </w:r>
      <w:r>
        <w:rPr>
          <w:rFonts w:hint="eastAsia"/>
          <w:color w:val="auto"/>
          <w:highlight w:val="none"/>
          <w:lang w:val="en-US" w:eastAsia="zh-CN"/>
        </w:rPr>
        <w:t>1小时平均的</w:t>
      </w:r>
      <w:r>
        <w:rPr>
          <w:rFonts w:hint="eastAsia"/>
          <w:color w:val="auto"/>
          <w:highlight w:val="none"/>
          <w:lang w:eastAsia="zh-CN"/>
        </w:rPr>
        <w:t>监测。</w:t>
      </w:r>
    </w:p>
    <w:p>
      <w:pPr>
        <w:bidi w:val="0"/>
        <w:ind w:firstLine="480" w:firstLineChars="200"/>
        <w:rPr>
          <w:color w:val="auto"/>
          <w:highlight w:val="none"/>
        </w:rPr>
      </w:pPr>
      <w:r>
        <w:rPr>
          <w:color w:val="auto"/>
          <w:highlight w:val="none"/>
        </w:rPr>
        <w:t>①监测点位：元谋风景名胜区金沙江景区内（不受人为活动影响的地方）。共1个点位；</w:t>
      </w:r>
    </w:p>
    <w:p>
      <w:pPr>
        <w:bidi w:val="0"/>
        <w:ind w:firstLine="480" w:firstLineChars="200"/>
        <w:rPr>
          <w:color w:val="auto"/>
          <w:highlight w:val="none"/>
        </w:rPr>
      </w:pPr>
      <w:r>
        <w:rPr>
          <w:color w:val="auto"/>
          <w:highlight w:val="none"/>
        </w:rPr>
        <w:t>②监测频次：连续监测7天，监测日</w:t>
      </w:r>
      <w:r>
        <w:rPr>
          <w:rFonts w:hint="eastAsia"/>
          <w:color w:val="auto"/>
          <w:highlight w:val="none"/>
          <w:lang w:eastAsia="zh-CN"/>
        </w:rPr>
        <w:t>最大</w:t>
      </w:r>
      <w:r>
        <w:rPr>
          <w:rFonts w:hint="eastAsia"/>
          <w:color w:val="auto"/>
          <w:highlight w:val="none"/>
          <w:lang w:val="en-US" w:eastAsia="zh-CN"/>
        </w:rPr>
        <w:t>8h平</w:t>
      </w:r>
      <w:r>
        <w:rPr>
          <w:color w:val="auto"/>
          <w:highlight w:val="none"/>
        </w:rPr>
        <w:t>均值</w:t>
      </w:r>
      <w:r>
        <w:rPr>
          <w:rFonts w:hint="eastAsia"/>
          <w:color w:val="auto"/>
          <w:highlight w:val="none"/>
          <w:lang w:eastAsia="zh-CN"/>
        </w:rPr>
        <w:t>和</w:t>
      </w:r>
      <w:r>
        <w:rPr>
          <w:rFonts w:hint="eastAsia"/>
          <w:color w:val="auto"/>
          <w:highlight w:val="none"/>
          <w:lang w:val="en-US" w:eastAsia="zh-CN"/>
        </w:rPr>
        <w:t>1小时平均</w:t>
      </w:r>
      <w:r>
        <w:rPr>
          <w:color w:val="auto"/>
          <w:highlight w:val="none"/>
        </w:rPr>
        <w:t>；</w:t>
      </w:r>
    </w:p>
    <w:p>
      <w:pPr>
        <w:bidi w:val="0"/>
        <w:ind w:firstLine="480" w:firstLineChars="200"/>
        <w:rPr>
          <w:color w:val="auto"/>
          <w:highlight w:val="none"/>
        </w:rPr>
      </w:pPr>
      <w:r>
        <w:rPr>
          <w:color w:val="auto"/>
          <w:highlight w:val="none"/>
        </w:rPr>
        <w:t>③监测因子：</w:t>
      </w:r>
      <w:r>
        <w:rPr>
          <w:rFonts w:hint="eastAsia"/>
          <w:color w:val="auto"/>
          <w:highlight w:val="none"/>
        </w:rPr>
        <w:t>O</w:t>
      </w:r>
      <w:r>
        <w:rPr>
          <w:rFonts w:hint="eastAsia"/>
          <w:color w:val="auto"/>
          <w:highlight w:val="none"/>
          <w:vertAlign w:val="subscript"/>
        </w:rPr>
        <w:t>3</w:t>
      </w:r>
      <w:r>
        <w:rPr>
          <w:color w:val="auto"/>
          <w:highlight w:val="none"/>
        </w:rPr>
        <w:t>；</w:t>
      </w:r>
    </w:p>
    <w:p>
      <w:pPr>
        <w:bidi w:val="0"/>
        <w:ind w:firstLine="480" w:firstLineChars="200"/>
        <w:rPr>
          <w:rFonts w:ascii="宋体" w:hAnsi="宋体" w:eastAsia="宋体" w:cs="宋体"/>
          <w:color w:val="auto"/>
          <w:szCs w:val="24"/>
          <w:highlight w:val="none"/>
        </w:rPr>
      </w:pPr>
      <w:r>
        <w:rPr>
          <w:color w:val="auto"/>
          <w:highlight w:val="none"/>
        </w:rPr>
        <w:t>④监测结果：见下表。</w:t>
      </w:r>
    </w:p>
    <w:p>
      <w:pPr>
        <w:pStyle w:val="40"/>
        <w:bidi w:val="0"/>
        <w:ind w:firstLine="480"/>
        <w:rPr>
          <w:rFonts w:ascii="Times New Roman" w:hAnsi="Times New Roman" w:eastAsia="宋体" w:cs="Times New Roman"/>
          <w:color w:val="auto"/>
          <w:highlight w:val="none"/>
        </w:rPr>
      </w:pPr>
      <w:r>
        <w:rPr>
          <w:rFonts w:ascii="Times New Roman" w:hAnsi="Times New Roman" w:eastAsia="宋体" w:cs="Times New Roman"/>
          <w:color w:val="auto"/>
          <w:highlight w:val="none"/>
        </w:rPr>
        <w:t>表 4.2</w:t>
      </w:r>
      <w:r>
        <w:rPr>
          <w:rFonts w:hint="eastAsia" w:ascii="Times New Roman" w:hAnsi="Times New Roman" w:eastAsia="宋体" w:cs="Times New Roman"/>
          <w:color w:val="auto"/>
          <w:highlight w:val="none"/>
          <w:lang w:val="en-US" w:eastAsia="zh-CN"/>
        </w:rPr>
        <w:t>.1</w:t>
      </w:r>
      <w:r>
        <w:rPr>
          <w:rFonts w:ascii="Times New Roman" w:hAnsi="Times New Roman" w:eastAsia="宋体" w:cs="Times New Roman"/>
          <w:color w:val="auto"/>
          <w:highlight w:val="none"/>
        </w:rPr>
        <w:t>-2  环境空气质量监测一览表  单位 ug/m</w:t>
      </w:r>
      <w:r>
        <w:rPr>
          <w:rFonts w:ascii="Times New Roman" w:hAnsi="Times New Roman" w:eastAsia="宋体" w:cs="Times New Roman"/>
          <w:color w:val="auto"/>
          <w:highlight w:val="none"/>
          <w:vertAlign w:val="superscript"/>
        </w:rPr>
        <w:t>3</w:t>
      </w:r>
    </w:p>
    <w:tbl>
      <w:tblPr>
        <w:tblStyle w:val="57"/>
        <w:tblW w:w="501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70"/>
        <w:gridCol w:w="1098"/>
        <w:gridCol w:w="2812"/>
        <w:gridCol w:w="1074"/>
        <w:gridCol w:w="1143"/>
        <w:gridCol w:w="11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jc w:val="center"/>
        </w:trPr>
        <w:tc>
          <w:tcPr>
            <w:tcW w:w="1069" w:type="dxa"/>
            <w:vAlign w:val="center"/>
          </w:tcPr>
          <w:p>
            <w:pPr>
              <w:pStyle w:val="42"/>
              <w:bidi w:val="0"/>
              <w:jc w:val="center"/>
              <w:rPr>
                <w:color w:val="auto"/>
                <w:highlight w:val="none"/>
              </w:rPr>
            </w:pPr>
            <w:r>
              <w:rPr>
                <w:color w:val="auto"/>
                <w:highlight w:val="none"/>
              </w:rPr>
              <w:t>监测项目</w:t>
            </w:r>
          </w:p>
        </w:tc>
        <w:tc>
          <w:tcPr>
            <w:tcW w:w="1097" w:type="dxa"/>
            <w:vAlign w:val="center"/>
          </w:tcPr>
          <w:p>
            <w:pPr>
              <w:pStyle w:val="42"/>
              <w:bidi w:val="0"/>
              <w:jc w:val="center"/>
              <w:rPr>
                <w:color w:val="auto"/>
                <w:highlight w:val="none"/>
              </w:rPr>
            </w:pPr>
            <w:r>
              <w:rPr>
                <w:color w:val="auto"/>
                <w:highlight w:val="none"/>
              </w:rPr>
              <w:t>监测点位</w:t>
            </w:r>
          </w:p>
        </w:tc>
        <w:tc>
          <w:tcPr>
            <w:tcW w:w="2808" w:type="dxa"/>
            <w:vAlign w:val="center"/>
          </w:tcPr>
          <w:p>
            <w:pPr>
              <w:pStyle w:val="42"/>
              <w:bidi w:val="0"/>
              <w:jc w:val="center"/>
              <w:rPr>
                <w:color w:val="auto"/>
                <w:highlight w:val="none"/>
              </w:rPr>
            </w:pPr>
            <w:r>
              <w:rPr>
                <w:color w:val="auto"/>
                <w:highlight w:val="none"/>
              </w:rPr>
              <w:t>采样日期/接样日期</w:t>
            </w:r>
          </w:p>
        </w:tc>
        <w:tc>
          <w:tcPr>
            <w:tcW w:w="1073" w:type="dxa"/>
            <w:vAlign w:val="center"/>
          </w:tcPr>
          <w:p>
            <w:pPr>
              <w:pStyle w:val="42"/>
              <w:bidi w:val="0"/>
              <w:jc w:val="center"/>
              <w:rPr>
                <w:color w:val="auto"/>
                <w:highlight w:val="none"/>
              </w:rPr>
            </w:pPr>
            <w:r>
              <w:rPr>
                <w:color w:val="auto"/>
                <w:highlight w:val="none"/>
              </w:rPr>
              <w:t>监测结果</w:t>
            </w:r>
          </w:p>
        </w:tc>
        <w:tc>
          <w:tcPr>
            <w:tcW w:w="1142" w:type="dxa"/>
            <w:vAlign w:val="center"/>
          </w:tcPr>
          <w:p>
            <w:pPr>
              <w:pStyle w:val="42"/>
              <w:bidi w:val="0"/>
              <w:jc w:val="center"/>
              <w:rPr>
                <w:color w:val="auto"/>
                <w:highlight w:val="none"/>
              </w:rPr>
            </w:pPr>
            <w:r>
              <w:rPr>
                <w:color w:val="auto"/>
                <w:highlight w:val="none"/>
              </w:rPr>
              <w:t>一类标准</w:t>
            </w:r>
          </w:p>
        </w:tc>
        <w:tc>
          <w:tcPr>
            <w:tcW w:w="1143" w:type="dxa"/>
            <w:vAlign w:val="center"/>
          </w:tcPr>
          <w:p>
            <w:pPr>
              <w:pStyle w:val="42"/>
              <w:bidi w:val="0"/>
              <w:jc w:val="center"/>
              <w:rPr>
                <w:color w:val="auto"/>
                <w:highlight w:val="none"/>
              </w:rPr>
            </w:pPr>
            <w:r>
              <w:rPr>
                <w:color w:val="auto"/>
                <w:highlight w:val="non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9" w:hRule="atLeast"/>
          <w:jc w:val="center"/>
        </w:trPr>
        <w:tc>
          <w:tcPr>
            <w:tcW w:w="1069" w:type="dxa"/>
            <w:vMerge w:val="restart"/>
            <w:vAlign w:val="center"/>
          </w:tcPr>
          <w:p>
            <w:pPr>
              <w:pStyle w:val="42"/>
              <w:bidi w:val="0"/>
              <w:jc w:val="center"/>
              <w:rPr>
                <w:color w:val="auto"/>
                <w:highlight w:val="none"/>
              </w:rPr>
            </w:pPr>
            <w:r>
              <w:rPr>
                <w:rFonts w:hint="eastAsia"/>
                <w:color w:val="auto"/>
                <w:highlight w:val="none"/>
              </w:rPr>
              <w:t>O</w:t>
            </w:r>
            <w:r>
              <w:rPr>
                <w:rFonts w:hint="eastAsia"/>
                <w:color w:val="auto"/>
                <w:highlight w:val="none"/>
                <w:vertAlign w:val="subscript"/>
              </w:rPr>
              <w:t>3</w:t>
            </w:r>
            <w:r>
              <w:rPr>
                <w:rFonts w:hint="eastAsia"/>
                <w:color w:val="auto"/>
                <w:highlight w:val="none"/>
              </w:rPr>
              <w:t>-8h</w:t>
            </w:r>
          </w:p>
        </w:tc>
        <w:tc>
          <w:tcPr>
            <w:tcW w:w="1097" w:type="dxa"/>
            <w:vMerge w:val="restart"/>
            <w:vAlign w:val="center"/>
          </w:tcPr>
          <w:p>
            <w:pPr>
              <w:pStyle w:val="42"/>
              <w:bidi w:val="0"/>
              <w:jc w:val="center"/>
              <w:rPr>
                <w:color w:val="auto"/>
                <w:highlight w:val="none"/>
              </w:rPr>
            </w:pPr>
            <w:r>
              <w:rPr>
                <w:color w:val="auto"/>
                <w:highlight w:val="none"/>
              </w:rPr>
              <w:t>元谋风景名胜区金沙江景区内不受人为活动影响的地方</w:t>
            </w:r>
          </w:p>
        </w:tc>
        <w:tc>
          <w:tcPr>
            <w:tcW w:w="2808" w:type="dxa"/>
            <w:vAlign w:val="center"/>
          </w:tcPr>
          <w:p>
            <w:pPr>
              <w:pStyle w:val="42"/>
              <w:bidi w:val="0"/>
              <w:jc w:val="center"/>
              <w:rPr>
                <w:rFonts w:hint="default" w:eastAsia="宋"/>
                <w:color w:val="auto"/>
                <w:highlight w:val="none"/>
                <w:lang w:val="en-US" w:eastAsia="zh-CN"/>
              </w:rPr>
            </w:pPr>
            <w:r>
              <w:rPr>
                <w:color w:val="auto"/>
                <w:highlight w:val="none"/>
              </w:rPr>
              <w:t>2022.12.</w:t>
            </w:r>
            <w:r>
              <w:rPr>
                <w:rFonts w:hint="eastAsia"/>
                <w:color w:val="auto"/>
                <w:highlight w:val="none"/>
                <w:lang w:val="en-US" w:eastAsia="zh-CN"/>
              </w:rPr>
              <w:t>25</w:t>
            </w:r>
            <w:r>
              <w:rPr>
                <w:color w:val="auto"/>
                <w:highlight w:val="none"/>
              </w:rPr>
              <w:t>/2022.12.</w:t>
            </w:r>
            <w:r>
              <w:rPr>
                <w:rFonts w:hint="eastAsia"/>
                <w:color w:val="auto"/>
                <w:highlight w:val="none"/>
                <w:lang w:val="en-US" w:eastAsia="zh-CN"/>
              </w:rPr>
              <w:t>26</w:t>
            </w:r>
          </w:p>
        </w:tc>
        <w:tc>
          <w:tcPr>
            <w:tcW w:w="1073" w:type="dxa"/>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73</w:t>
            </w:r>
          </w:p>
        </w:tc>
        <w:tc>
          <w:tcPr>
            <w:tcW w:w="1142" w:type="dxa"/>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100</w:t>
            </w:r>
          </w:p>
        </w:tc>
        <w:tc>
          <w:tcPr>
            <w:tcW w:w="1143" w:type="dxa"/>
            <w:vAlign w:val="center"/>
          </w:tcPr>
          <w:p>
            <w:pPr>
              <w:pStyle w:val="42"/>
              <w:bidi w:val="0"/>
              <w:jc w:val="center"/>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069" w:type="dxa"/>
            <w:vMerge w:val="continue"/>
            <w:vAlign w:val="center"/>
          </w:tcPr>
          <w:p>
            <w:pPr>
              <w:pStyle w:val="42"/>
              <w:bidi w:val="0"/>
              <w:jc w:val="center"/>
              <w:rPr>
                <w:color w:val="auto"/>
                <w:highlight w:val="none"/>
              </w:rPr>
            </w:pPr>
          </w:p>
        </w:tc>
        <w:tc>
          <w:tcPr>
            <w:tcW w:w="1097" w:type="dxa"/>
            <w:vMerge w:val="continue"/>
            <w:vAlign w:val="center"/>
          </w:tcPr>
          <w:p>
            <w:pPr>
              <w:pStyle w:val="42"/>
              <w:bidi w:val="0"/>
              <w:jc w:val="center"/>
              <w:rPr>
                <w:color w:val="auto"/>
                <w:highlight w:val="none"/>
              </w:rPr>
            </w:pPr>
          </w:p>
        </w:tc>
        <w:tc>
          <w:tcPr>
            <w:tcW w:w="2808" w:type="dxa"/>
            <w:vAlign w:val="center"/>
          </w:tcPr>
          <w:p>
            <w:pPr>
              <w:pStyle w:val="42"/>
              <w:bidi w:val="0"/>
              <w:jc w:val="center"/>
              <w:rPr>
                <w:rFonts w:hint="default" w:eastAsia="宋"/>
                <w:color w:val="auto"/>
                <w:highlight w:val="none"/>
                <w:lang w:val="en-US" w:eastAsia="zh-CN"/>
              </w:rPr>
            </w:pPr>
            <w:r>
              <w:rPr>
                <w:color w:val="auto"/>
                <w:highlight w:val="none"/>
              </w:rPr>
              <w:t>2022.12.</w:t>
            </w:r>
            <w:r>
              <w:rPr>
                <w:rFonts w:hint="eastAsia"/>
                <w:color w:val="auto"/>
                <w:highlight w:val="none"/>
                <w:lang w:val="en-US" w:eastAsia="zh-CN"/>
              </w:rPr>
              <w:t>26</w:t>
            </w:r>
            <w:r>
              <w:rPr>
                <w:color w:val="auto"/>
                <w:highlight w:val="none"/>
              </w:rPr>
              <w:t>/2022.12.</w:t>
            </w:r>
            <w:r>
              <w:rPr>
                <w:rFonts w:hint="eastAsia"/>
                <w:color w:val="auto"/>
                <w:highlight w:val="none"/>
                <w:lang w:val="en-US" w:eastAsia="zh-CN"/>
              </w:rPr>
              <w:t>27</w:t>
            </w:r>
          </w:p>
        </w:tc>
        <w:tc>
          <w:tcPr>
            <w:tcW w:w="1073" w:type="dxa"/>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81</w:t>
            </w:r>
          </w:p>
        </w:tc>
        <w:tc>
          <w:tcPr>
            <w:tcW w:w="1142" w:type="dxa"/>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100</w:t>
            </w:r>
          </w:p>
        </w:tc>
        <w:tc>
          <w:tcPr>
            <w:tcW w:w="1143" w:type="dxa"/>
            <w:vAlign w:val="center"/>
          </w:tcPr>
          <w:p>
            <w:pPr>
              <w:pStyle w:val="42"/>
              <w:bidi w:val="0"/>
              <w:jc w:val="center"/>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1069" w:type="dxa"/>
            <w:vMerge w:val="continue"/>
            <w:vAlign w:val="center"/>
          </w:tcPr>
          <w:p>
            <w:pPr>
              <w:pStyle w:val="42"/>
              <w:bidi w:val="0"/>
              <w:jc w:val="center"/>
              <w:rPr>
                <w:color w:val="auto"/>
                <w:highlight w:val="none"/>
              </w:rPr>
            </w:pPr>
          </w:p>
        </w:tc>
        <w:tc>
          <w:tcPr>
            <w:tcW w:w="1097" w:type="dxa"/>
            <w:vMerge w:val="continue"/>
            <w:vAlign w:val="center"/>
          </w:tcPr>
          <w:p>
            <w:pPr>
              <w:pStyle w:val="42"/>
              <w:bidi w:val="0"/>
              <w:jc w:val="center"/>
              <w:rPr>
                <w:color w:val="auto"/>
                <w:highlight w:val="none"/>
              </w:rPr>
            </w:pPr>
          </w:p>
        </w:tc>
        <w:tc>
          <w:tcPr>
            <w:tcW w:w="2808" w:type="dxa"/>
            <w:vAlign w:val="center"/>
          </w:tcPr>
          <w:p>
            <w:pPr>
              <w:pStyle w:val="42"/>
              <w:bidi w:val="0"/>
              <w:jc w:val="center"/>
              <w:rPr>
                <w:rFonts w:hint="default" w:eastAsia="宋"/>
                <w:color w:val="auto"/>
                <w:highlight w:val="none"/>
                <w:lang w:val="en-US" w:eastAsia="zh-CN"/>
              </w:rPr>
            </w:pPr>
            <w:r>
              <w:rPr>
                <w:color w:val="auto"/>
                <w:highlight w:val="none"/>
              </w:rPr>
              <w:t>2022.12.</w:t>
            </w:r>
            <w:r>
              <w:rPr>
                <w:rFonts w:hint="eastAsia"/>
                <w:color w:val="auto"/>
                <w:highlight w:val="none"/>
                <w:lang w:val="en-US" w:eastAsia="zh-CN"/>
              </w:rPr>
              <w:t>27</w:t>
            </w:r>
            <w:r>
              <w:rPr>
                <w:color w:val="auto"/>
                <w:highlight w:val="none"/>
              </w:rPr>
              <w:t>/2022.12.</w:t>
            </w:r>
            <w:r>
              <w:rPr>
                <w:rFonts w:hint="eastAsia"/>
                <w:color w:val="auto"/>
                <w:highlight w:val="none"/>
                <w:lang w:val="en-US" w:eastAsia="zh-CN"/>
              </w:rPr>
              <w:t>28</w:t>
            </w:r>
          </w:p>
        </w:tc>
        <w:tc>
          <w:tcPr>
            <w:tcW w:w="1073" w:type="dxa"/>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76</w:t>
            </w:r>
          </w:p>
        </w:tc>
        <w:tc>
          <w:tcPr>
            <w:tcW w:w="1142" w:type="dxa"/>
            <w:vAlign w:val="center"/>
          </w:tcPr>
          <w:p>
            <w:pPr>
              <w:pStyle w:val="42"/>
              <w:bidi w:val="0"/>
              <w:jc w:val="center"/>
              <w:rPr>
                <w:color w:val="auto"/>
                <w:highlight w:val="none"/>
              </w:rPr>
            </w:pPr>
            <w:r>
              <w:rPr>
                <w:rFonts w:hint="eastAsia"/>
                <w:color w:val="auto"/>
                <w:highlight w:val="none"/>
                <w:lang w:val="en-US" w:eastAsia="zh-CN"/>
              </w:rPr>
              <w:t>100</w:t>
            </w:r>
          </w:p>
        </w:tc>
        <w:tc>
          <w:tcPr>
            <w:tcW w:w="1143" w:type="dxa"/>
            <w:vAlign w:val="center"/>
          </w:tcPr>
          <w:p>
            <w:pPr>
              <w:pStyle w:val="42"/>
              <w:bidi w:val="0"/>
              <w:jc w:val="center"/>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069" w:type="dxa"/>
            <w:vMerge w:val="continue"/>
            <w:vAlign w:val="center"/>
          </w:tcPr>
          <w:p>
            <w:pPr>
              <w:pStyle w:val="42"/>
              <w:bidi w:val="0"/>
              <w:jc w:val="center"/>
              <w:rPr>
                <w:color w:val="auto"/>
                <w:highlight w:val="none"/>
              </w:rPr>
            </w:pPr>
          </w:p>
        </w:tc>
        <w:tc>
          <w:tcPr>
            <w:tcW w:w="1097" w:type="dxa"/>
            <w:vMerge w:val="continue"/>
            <w:vAlign w:val="center"/>
          </w:tcPr>
          <w:p>
            <w:pPr>
              <w:pStyle w:val="42"/>
              <w:bidi w:val="0"/>
              <w:jc w:val="center"/>
              <w:rPr>
                <w:color w:val="auto"/>
                <w:highlight w:val="none"/>
              </w:rPr>
            </w:pPr>
          </w:p>
        </w:tc>
        <w:tc>
          <w:tcPr>
            <w:tcW w:w="2808" w:type="dxa"/>
            <w:vAlign w:val="center"/>
          </w:tcPr>
          <w:p>
            <w:pPr>
              <w:pStyle w:val="42"/>
              <w:bidi w:val="0"/>
              <w:jc w:val="center"/>
              <w:rPr>
                <w:rFonts w:hint="default" w:eastAsia="宋"/>
                <w:color w:val="auto"/>
                <w:highlight w:val="none"/>
                <w:lang w:val="en-US" w:eastAsia="zh-CN"/>
              </w:rPr>
            </w:pPr>
            <w:r>
              <w:rPr>
                <w:color w:val="auto"/>
                <w:highlight w:val="none"/>
              </w:rPr>
              <w:t>2022.12.</w:t>
            </w:r>
            <w:r>
              <w:rPr>
                <w:rFonts w:hint="eastAsia"/>
                <w:color w:val="auto"/>
                <w:highlight w:val="none"/>
                <w:lang w:val="en-US" w:eastAsia="zh-CN"/>
              </w:rPr>
              <w:t>28</w:t>
            </w:r>
            <w:r>
              <w:rPr>
                <w:color w:val="auto"/>
                <w:highlight w:val="none"/>
              </w:rPr>
              <w:t>/2022.12.</w:t>
            </w:r>
            <w:r>
              <w:rPr>
                <w:rFonts w:hint="eastAsia"/>
                <w:color w:val="auto"/>
                <w:highlight w:val="none"/>
                <w:lang w:val="en-US" w:eastAsia="zh-CN"/>
              </w:rPr>
              <w:t>29</w:t>
            </w:r>
          </w:p>
        </w:tc>
        <w:tc>
          <w:tcPr>
            <w:tcW w:w="1073" w:type="dxa"/>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83</w:t>
            </w:r>
          </w:p>
        </w:tc>
        <w:tc>
          <w:tcPr>
            <w:tcW w:w="1142" w:type="dxa"/>
            <w:vAlign w:val="center"/>
          </w:tcPr>
          <w:p>
            <w:pPr>
              <w:pStyle w:val="42"/>
              <w:bidi w:val="0"/>
              <w:jc w:val="center"/>
              <w:rPr>
                <w:color w:val="auto"/>
                <w:highlight w:val="none"/>
              </w:rPr>
            </w:pPr>
            <w:r>
              <w:rPr>
                <w:rFonts w:hint="eastAsia"/>
                <w:color w:val="auto"/>
                <w:highlight w:val="none"/>
                <w:lang w:val="en-US" w:eastAsia="zh-CN"/>
              </w:rPr>
              <w:t>100</w:t>
            </w:r>
          </w:p>
        </w:tc>
        <w:tc>
          <w:tcPr>
            <w:tcW w:w="1143" w:type="dxa"/>
            <w:vAlign w:val="center"/>
          </w:tcPr>
          <w:p>
            <w:pPr>
              <w:pStyle w:val="42"/>
              <w:bidi w:val="0"/>
              <w:jc w:val="center"/>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069" w:type="dxa"/>
            <w:vMerge w:val="continue"/>
            <w:vAlign w:val="center"/>
          </w:tcPr>
          <w:p>
            <w:pPr>
              <w:pStyle w:val="42"/>
              <w:bidi w:val="0"/>
              <w:jc w:val="center"/>
              <w:rPr>
                <w:color w:val="auto"/>
                <w:highlight w:val="none"/>
              </w:rPr>
            </w:pPr>
          </w:p>
        </w:tc>
        <w:tc>
          <w:tcPr>
            <w:tcW w:w="1097" w:type="dxa"/>
            <w:vMerge w:val="continue"/>
            <w:vAlign w:val="center"/>
          </w:tcPr>
          <w:p>
            <w:pPr>
              <w:pStyle w:val="42"/>
              <w:bidi w:val="0"/>
              <w:jc w:val="center"/>
              <w:rPr>
                <w:color w:val="auto"/>
                <w:highlight w:val="none"/>
              </w:rPr>
            </w:pPr>
          </w:p>
        </w:tc>
        <w:tc>
          <w:tcPr>
            <w:tcW w:w="2808" w:type="dxa"/>
            <w:vAlign w:val="center"/>
          </w:tcPr>
          <w:p>
            <w:pPr>
              <w:pStyle w:val="42"/>
              <w:bidi w:val="0"/>
              <w:jc w:val="center"/>
              <w:rPr>
                <w:rFonts w:hint="default" w:eastAsia="宋"/>
                <w:color w:val="auto"/>
                <w:highlight w:val="none"/>
                <w:lang w:val="en-US" w:eastAsia="zh-CN"/>
              </w:rPr>
            </w:pPr>
            <w:r>
              <w:rPr>
                <w:color w:val="auto"/>
                <w:highlight w:val="none"/>
              </w:rPr>
              <w:t>2022.12.</w:t>
            </w:r>
            <w:r>
              <w:rPr>
                <w:rFonts w:hint="eastAsia"/>
                <w:color w:val="auto"/>
                <w:highlight w:val="none"/>
                <w:lang w:val="en-US" w:eastAsia="zh-CN"/>
              </w:rPr>
              <w:t>29</w:t>
            </w:r>
            <w:r>
              <w:rPr>
                <w:color w:val="auto"/>
                <w:highlight w:val="none"/>
              </w:rPr>
              <w:t>/2022.12.</w:t>
            </w:r>
            <w:r>
              <w:rPr>
                <w:rFonts w:hint="eastAsia"/>
                <w:color w:val="auto"/>
                <w:highlight w:val="none"/>
                <w:lang w:val="en-US" w:eastAsia="zh-CN"/>
              </w:rPr>
              <w:t>30</w:t>
            </w:r>
          </w:p>
        </w:tc>
        <w:tc>
          <w:tcPr>
            <w:tcW w:w="1073" w:type="dxa"/>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86</w:t>
            </w:r>
          </w:p>
        </w:tc>
        <w:tc>
          <w:tcPr>
            <w:tcW w:w="1142" w:type="dxa"/>
            <w:vAlign w:val="center"/>
          </w:tcPr>
          <w:p>
            <w:pPr>
              <w:pStyle w:val="42"/>
              <w:bidi w:val="0"/>
              <w:jc w:val="center"/>
              <w:rPr>
                <w:color w:val="auto"/>
                <w:highlight w:val="none"/>
              </w:rPr>
            </w:pPr>
            <w:r>
              <w:rPr>
                <w:rFonts w:hint="eastAsia"/>
                <w:color w:val="auto"/>
                <w:highlight w:val="none"/>
                <w:lang w:val="en-US" w:eastAsia="zh-CN"/>
              </w:rPr>
              <w:t>100</w:t>
            </w:r>
          </w:p>
        </w:tc>
        <w:tc>
          <w:tcPr>
            <w:tcW w:w="1143" w:type="dxa"/>
            <w:vAlign w:val="center"/>
          </w:tcPr>
          <w:p>
            <w:pPr>
              <w:pStyle w:val="42"/>
              <w:bidi w:val="0"/>
              <w:jc w:val="center"/>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1069" w:type="dxa"/>
            <w:vMerge w:val="continue"/>
            <w:vAlign w:val="center"/>
          </w:tcPr>
          <w:p>
            <w:pPr>
              <w:pStyle w:val="42"/>
              <w:bidi w:val="0"/>
              <w:jc w:val="center"/>
              <w:rPr>
                <w:color w:val="auto"/>
                <w:highlight w:val="none"/>
              </w:rPr>
            </w:pPr>
          </w:p>
        </w:tc>
        <w:tc>
          <w:tcPr>
            <w:tcW w:w="1097" w:type="dxa"/>
            <w:vMerge w:val="continue"/>
            <w:vAlign w:val="center"/>
          </w:tcPr>
          <w:p>
            <w:pPr>
              <w:pStyle w:val="42"/>
              <w:bidi w:val="0"/>
              <w:jc w:val="center"/>
              <w:rPr>
                <w:color w:val="auto"/>
                <w:highlight w:val="none"/>
              </w:rPr>
            </w:pPr>
          </w:p>
        </w:tc>
        <w:tc>
          <w:tcPr>
            <w:tcW w:w="2808" w:type="dxa"/>
            <w:vAlign w:val="center"/>
          </w:tcPr>
          <w:p>
            <w:pPr>
              <w:pStyle w:val="42"/>
              <w:bidi w:val="0"/>
              <w:jc w:val="center"/>
              <w:rPr>
                <w:rFonts w:hint="default" w:eastAsia="宋"/>
                <w:color w:val="auto"/>
                <w:highlight w:val="none"/>
                <w:lang w:val="en-US" w:eastAsia="zh-CN"/>
              </w:rPr>
            </w:pPr>
            <w:r>
              <w:rPr>
                <w:color w:val="auto"/>
                <w:highlight w:val="none"/>
              </w:rPr>
              <w:t>2022.12.</w:t>
            </w:r>
            <w:r>
              <w:rPr>
                <w:rFonts w:hint="eastAsia"/>
                <w:color w:val="auto"/>
                <w:highlight w:val="none"/>
                <w:lang w:val="en-US" w:eastAsia="zh-CN"/>
              </w:rPr>
              <w:t>30</w:t>
            </w:r>
            <w:r>
              <w:rPr>
                <w:color w:val="auto"/>
                <w:highlight w:val="none"/>
              </w:rPr>
              <w:t>/2022.12.</w:t>
            </w:r>
            <w:r>
              <w:rPr>
                <w:rFonts w:hint="eastAsia"/>
                <w:color w:val="auto"/>
                <w:highlight w:val="none"/>
                <w:lang w:val="en-US" w:eastAsia="zh-CN"/>
              </w:rPr>
              <w:t>31</w:t>
            </w:r>
          </w:p>
        </w:tc>
        <w:tc>
          <w:tcPr>
            <w:tcW w:w="1073" w:type="dxa"/>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87</w:t>
            </w:r>
          </w:p>
        </w:tc>
        <w:tc>
          <w:tcPr>
            <w:tcW w:w="1142" w:type="dxa"/>
            <w:vAlign w:val="center"/>
          </w:tcPr>
          <w:p>
            <w:pPr>
              <w:pStyle w:val="42"/>
              <w:bidi w:val="0"/>
              <w:jc w:val="center"/>
              <w:rPr>
                <w:color w:val="auto"/>
                <w:highlight w:val="none"/>
              </w:rPr>
            </w:pPr>
            <w:r>
              <w:rPr>
                <w:rFonts w:hint="eastAsia"/>
                <w:color w:val="auto"/>
                <w:highlight w:val="none"/>
                <w:lang w:val="en-US" w:eastAsia="zh-CN"/>
              </w:rPr>
              <w:t>100</w:t>
            </w:r>
          </w:p>
        </w:tc>
        <w:tc>
          <w:tcPr>
            <w:tcW w:w="1143" w:type="dxa"/>
            <w:vAlign w:val="center"/>
          </w:tcPr>
          <w:p>
            <w:pPr>
              <w:pStyle w:val="42"/>
              <w:bidi w:val="0"/>
              <w:jc w:val="center"/>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jc w:val="center"/>
        </w:trPr>
        <w:tc>
          <w:tcPr>
            <w:tcW w:w="1069" w:type="dxa"/>
            <w:vMerge w:val="continue"/>
            <w:vAlign w:val="center"/>
          </w:tcPr>
          <w:p>
            <w:pPr>
              <w:pStyle w:val="42"/>
              <w:bidi w:val="0"/>
              <w:jc w:val="center"/>
              <w:rPr>
                <w:color w:val="auto"/>
                <w:highlight w:val="none"/>
              </w:rPr>
            </w:pPr>
          </w:p>
        </w:tc>
        <w:tc>
          <w:tcPr>
            <w:tcW w:w="1097" w:type="dxa"/>
            <w:vMerge w:val="continue"/>
            <w:vAlign w:val="center"/>
          </w:tcPr>
          <w:p>
            <w:pPr>
              <w:pStyle w:val="42"/>
              <w:bidi w:val="0"/>
              <w:jc w:val="center"/>
              <w:rPr>
                <w:color w:val="auto"/>
                <w:highlight w:val="none"/>
              </w:rPr>
            </w:pPr>
          </w:p>
        </w:tc>
        <w:tc>
          <w:tcPr>
            <w:tcW w:w="2808" w:type="dxa"/>
            <w:vAlign w:val="center"/>
          </w:tcPr>
          <w:p>
            <w:pPr>
              <w:pStyle w:val="42"/>
              <w:bidi w:val="0"/>
              <w:jc w:val="center"/>
              <w:rPr>
                <w:rFonts w:hint="default" w:eastAsia="宋"/>
                <w:color w:val="auto"/>
                <w:highlight w:val="none"/>
                <w:lang w:val="en-US" w:eastAsia="zh-CN"/>
              </w:rPr>
            </w:pPr>
            <w:r>
              <w:rPr>
                <w:color w:val="auto"/>
                <w:highlight w:val="none"/>
              </w:rPr>
              <w:t>2022.12.</w:t>
            </w:r>
            <w:r>
              <w:rPr>
                <w:rFonts w:hint="eastAsia"/>
                <w:color w:val="auto"/>
                <w:highlight w:val="none"/>
                <w:lang w:val="en-US" w:eastAsia="zh-CN"/>
              </w:rPr>
              <w:t>31</w:t>
            </w:r>
            <w:r>
              <w:rPr>
                <w:color w:val="auto"/>
                <w:highlight w:val="none"/>
              </w:rPr>
              <w:t>/2022.12.</w:t>
            </w:r>
            <w:r>
              <w:rPr>
                <w:rFonts w:hint="eastAsia"/>
                <w:color w:val="auto"/>
                <w:highlight w:val="none"/>
                <w:lang w:val="en-US" w:eastAsia="zh-CN"/>
              </w:rPr>
              <w:t>31</w:t>
            </w:r>
          </w:p>
        </w:tc>
        <w:tc>
          <w:tcPr>
            <w:tcW w:w="1073" w:type="dxa"/>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89</w:t>
            </w:r>
          </w:p>
        </w:tc>
        <w:tc>
          <w:tcPr>
            <w:tcW w:w="1142" w:type="dxa"/>
            <w:vAlign w:val="center"/>
          </w:tcPr>
          <w:p>
            <w:pPr>
              <w:pStyle w:val="42"/>
              <w:bidi w:val="0"/>
              <w:jc w:val="center"/>
              <w:rPr>
                <w:color w:val="auto"/>
                <w:highlight w:val="none"/>
              </w:rPr>
            </w:pPr>
            <w:r>
              <w:rPr>
                <w:rFonts w:hint="eastAsia"/>
                <w:color w:val="auto"/>
                <w:highlight w:val="none"/>
                <w:lang w:val="en-US" w:eastAsia="zh-CN"/>
              </w:rPr>
              <w:t>100</w:t>
            </w:r>
          </w:p>
        </w:tc>
        <w:tc>
          <w:tcPr>
            <w:tcW w:w="1143" w:type="dxa"/>
            <w:vAlign w:val="center"/>
          </w:tcPr>
          <w:p>
            <w:pPr>
              <w:pStyle w:val="42"/>
              <w:bidi w:val="0"/>
              <w:jc w:val="center"/>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jc w:val="center"/>
        </w:trPr>
        <w:tc>
          <w:tcPr>
            <w:tcW w:w="1069" w:type="dxa"/>
            <w:vMerge w:val="restart"/>
            <w:vAlign w:val="center"/>
          </w:tcPr>
          <w:p>
            <w:pPr>
              <w:pStyle w:val="42"/>
              <w:bidi w:val="0"/>
              <w:jc w:val="center"/>
              <w:rPr>
                <w:rFonts w:hint="default" w:eastAsia="宋"/>
                <w:color w:val="auto"/>
                <w:highlight w:val="none"/>
                <w:lang w:val="en-US" w:eastAsia="zh-CN"/>
              </w:rPr>
            </w:pPr>
            <w:r>
              <w:rPr>
                <w:rFonts w:hint="eastAsia"/>
                <w:color w:val="auto"/>
                <w:highlight w:val="none"/>
              </w:rPr>
              <w:t>O</w:t>
            </w:r>
            <w:r>
              <w:rPr>
                <w:rFonts w:hint="eastAsia"/>
                <w:color w:val="auto"/>
                <w:highlight w:val="none"/>
                <w:vertAlign w:val="subscript"/>
              </w:rPr>
              <w:t>3</w:t>
            </w:r>
            <w:r>
              <w:rPr>
                <w:rFonts w:hint="eastAsia"/>
                <w:color w:val="auto"/>
                <w:highlight w:val="none"/>
              </w:rPr>
              <w:t>-</w:t>
            </w:r>
            <w:r>
              <w:rPr>
                <w:rFonts w:hint="eastAsia"/>
                <w:color w:val="auto"/>
                <w:highlight w:val="none"/>
                <w:lang w:val="en-US" w:eastAsia="zh-CN"/>
              </w:rPr>
              <w:t>1h平均</w:t>
            </w:r>
          </w:p>
        </w:tc>
        <w:tc>
          <w:tcPr>
            <w:tcW w:w="1097" w:type="dxa"/>
            <w:vMerge w:val="continue"/>
            <w:vAlign w:val="center"/>
          </w:tcPr>
          <w:p>
            <w:pPr>
              <w:pStyle w:val="42"/>
              <w:bidi w:val="0"/>
              <w:jc w:val="center"/>
              <w:rPr>
                <w:color w:val="auto"/>
                <w:highlight w:val="none"/>
              </w:rPr>
            </w:pPr>
          </w:p>
        </w:tc>
        <w:tc>
          <w:tcPr>
            <w:tcW w:w="2808" w:type="dxa"/>
            <w:vAlign w:val="center"/>
          </w:tcPr>
          <w:p>
            <w:pPr>
              <w:pStyle w:val="42"/>
              <w:bidi w:val="0"/>
              <w:jc w:val="center"/>
              <w:rPr>
                <w:rFonts w:hint="default" w:ascii="Times New Roman" w:hAnsi="Times New Roman" w:eastAsia="宋" w:cs="Times New Roman"/>
                <w:color w:val="auto"/>
                <w:kern w:val="0"/>
                <w:sz w:val="21"/>
                <w:szCs w:val="21"/>
                <w:highlight w:val="none"/>
                <w:lang w:val="en-US" w:eastAsia="zh-CN" w:bidi="ar-SA"/>
              </w:rPr>
            </w:pPr>
            <w:r>
              <w:rPr>
                <w:color w:val="auto"/>
                <w:highlight w:val="none"/>
              </w:rPr>
              <w:t>2022.12.</w:t>
            </w:r>
            <w:r>
              <w:rPr>
                <w:rFonts w:hint="eastAsia"/>
                <w:color w:val="auto"/>
                <w:highlight w:val="none"/>
                <w:lang w:val="en-US" w:eastAsia="zh-CN"/>
              </w:rPr>
              <w:t>25</w:t>
            </w:r>
            <w:r>
              <w:rPr>
                <w:color w:val="auto"/>
                <w:highlight w:val="none"/>
              </w:rPr>
              <w:t>/2022.12.</w:t>
            </w:r>
            <w:r>
              <w:rPr>
                <w:rFonts w:hint="eastAsia"/>
                <w:color w:val="auto"/>
                <w:highlight w:val="none"/>
                <w:lang w:val="en-US" w:eastAsia="zh-CN"/>
              </w:rPr>
              <w:t>26</w:t>
            </w:r>
          </w:p>
        </w:tc>
        <w:tc>
          <w:tcPr>
            <w:tcW w:w="1073" w:type="dxa"/>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98~112</w:t>
            </w:r>
          </w:p>
        </w:tc>
        <w:tc>
          <w:tcPr>
            <w:tcW w:w="1142" w:type="dxa"/>
            <w:vAlign w:val="center"/>
          </w:tcPr>
          <w:p>
            <w:pPr>
              <w:pStyle w:val="42"/>
              <w:bidi w:val="0"/>
              <w:jc w:val="center"/>
              <w:rPr>
                <w:rFonts w:hint="default"/>
                <w:color w:val="auto"/>
                <w:highlight w:val="none"/>
                <w:lang w:val="en-US" w:eastAsia="zh-CN"/>
              </w:rPr>
            </w:pPr>
            <w:r>
              <w:rPr>
                <w:rFonts w:hint="eastAsia"/>
                <w:color w:val="auto"/>
                <w:highlight w:val="none"/>
                <w:lang w:val="en-US" w:eastAsia="zh-CN"/>
              </w:rPr>
              <w:t>160</w:t>
            </w:r>
          </w:p>
        </w:tc>
        <w:tc>
          <w:tcPr>
            <w:tcW w:w="1143" w:type="dxa"/>
            <w:vAlign w:val="center"/>
          </w:tcPr>
          <w:p>
            <w:pPr>
              <w:pStyle w:val="42"/>
              <w:bidi w:val="0"/>
              <w:jc w:val="center"/>
              <w:rPr>
                <w:rFonts w:ascii="Times New Roman" w:hAnsi="Times New Roman" w:eastAsia="宋" w:cs="Times New Roman"/>
                <w:color w:val="auto"/>
                <w:kern w:val="0"/>
                <w:sz w:val="21"/>
                <w:szCs w:val="21"/>
                <w:highlight w:val="none"/>
                <w:lang w:val="en-US" w:eastAsia="zh-CN" w:bidi="ar-SA"/>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jc w:val="center"/>
        </w:trPr>
        <w:tc>
          <w:tcPr>
            <w:tcW w:w="1069" w:type="dxa"/>
            <w:vMerge w:val="continue"/>
            <w:vAlign w:val="center"/>
          </w:tcPr>
          <w:p>
            <w:pPr>
              <w:pStyle w:val="42"/>
              <w:bidi w:val="0"/>
              <w:jc w:val="center"/>
              <w:rPr>
                <w:color w:val="auto"/>
                <w:highlight w:val="none"/>
              </w:rPr>
            </w:pPr>
          </w:p>
        </w:tc>
        <w:tc>
          <w:tcPr>
            <w:tcW w:w="1097" w:type="dxa"/>
            <w:vMerge w:val="continue"/>
            <w:vAlign w:val="center"/>
          </w:tcPr>
          <w:p>
            <w:pPr>
              <w:pStyle w:val="42"/>
              <w:bidi w:val="0"/>
              <w:jc w:val="center"/>
              <w:rPr>
                <w:color w:val="auto"/>
                <w:highlight w:val="none"/>
              </w:rPr>
            </w:pPr>
          </w:p>
        </w:tc>
        <w:tc>
          <w:tcPr>
            <w:tcW w:w="2808" w:type="dxa"/>
            <w:vAlign w:val="center"/>
          </w:tcPr>
          <w:p>
            <w:pPr>
              <w:pStyle w:val="42"/>
              <w:bidi w:val="0"/>
              <w:jc w:val="center"/>
              <w:rPr>
                <w:rFonts w:hint="default" w:ascii="Times New Roman" w:hAnsi="Times New Roman" w:eastAsia="宋" w:cs="Times New Roman"/>
                <w:color w:val="auto"/>
                <w:kern w:val="0"/>
                <w:sz w:val="21"/>
                <w:szCs w:val="21"/>
                <w:highlight w:val="none"/>
                <w:lang w:val="en-US" w:eastAsia="zh-CN" w:bidi="ar-SA"/>
              </w:rPr>
            </w:pPr>
            <w:r>
              <w:rPr>
                <w:color w:val="auto"/>
                <w:highlight w:val="none"/>
              </w:rPr>
              <w:t>2022.12.</w:t>
            </w:r>
            <w:r>
              <w:rPr>
                <w:rFonts w:hint="eastAsia"/>
                <w:color w:val="auto"/>
                <w:highlight w:val="none"/>
                <w:lang w:val="en-US" w:eastAsia="zh-CN"/>
              </w:rPr>
              <w:t>26</w:t>
            </w:r>
            <w:r>
              <w:rPr>
                <w:color w:val="auto"/>
                <w:highlight w:val="none"/>
              </w:rPr>
              <w:t>/2022.12.</w:t>
            </w:r>
            <w:r>
              <w:rPr>
                <w:rFonts w:hint="eastAsia"/>
                <w:color w:val="auto"/>
                <w:highlight w:val="none"/>
                <w:lang w:val="en-US" w:eastAsia="zh-CN"/>
              </w:rPr>
              <w:t>27</w:t>
            </w:r>
          </w:p>
        </w:tc>
        <w:tc>
          <w:tcPr>
            <w:tcW w:w="1073" w:type="dxa"/>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90~111</w:t>
            </w:r>
          </w:p>
        </w:tc>
        <w:tc>
          <w:tcPr>
            <w:tcW w:w="1142" w:type="dxa"/>
            <w:vAlign w:val="center"/>
          </w:tcPr>
          <w:p>
            <w:pPr>
              <w:pStyle w:val="42"/>
              <w:bidi w:val="0"/>
              <w:jc w:val="center"/>
              <w:rPr>
                <w:rFonts w:hint="default"/>
                <w:color w:val="auto"/>
                <w:highlight w:val="none"/>
                <w:lang w:val="en-US" w:eastAsia="zh-CN"/>
              </w:rPr>
            </w:pPr>
            <w:r>
              <w:rPr>
                <w:rFonts w:hint="eastAsia"/>
                <w:color w:val="auto"/>
                <w:highlight w:val="none"/>
                <w:lang w:val="en-US" w:eastAsia="zh-CN"/>
              </w:rPr>
              <w:t>160</w:t>
            </w:r>
          </w:p>
        </w:tc>
        <w:tc>
          <w:tcPr>
            <w:tcW w:w="1143" w:type="dxa"/>
            <w:vAlign w:val="center"/>
          </w:tcPr>
          <w:p>
            <w:pPr>
              <w:pStyle w:val="42"/>
              <w:bidi w:val="0"/>
              <w:jc w:val="center"/>
              <w:rPr>
                <w:rFonts w:ascii="Times New Roman" w:hAnsi="Times New Roman" w:eastAsia="宋" w:cs="Times New Roman"/>
                <w:color w:val="auto"/>
                <w:kern w:val="0"/>
                <w:sz w:val="21"/>
                <w:szCs w:val="21"/>
                <w:highlight w:val="none"/>
                <w:lang w:val="en-US" w:eastAsia="zh-CN" w:bidi="ar-SA"/>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jc w:val="center"/>
        </w:trPr>
        <w:tc>
          <w:tcPr>
            <w:tcW w:w="1069" w:type="dxa"/>
            <w:vMerge w:val="continue"/>
            <w:vAlign w:val="center"/>
          </w:tcPr>
          <w:p>
            <w:pPr>
              <w:pStyle w:val="42"/>
              <w:bidi w:val="0"/>
              <w:jc w:val="center"/>
              <w:rPr>
                <w:color w:val="auto"/>
                <w:highlight w:val="none"/>
              </w:rPr>
            </w:pPr>
          </w:p>
        </w:tc>
        <w:tc>
          <w:tcPr>
            <w:tcW w:w="1097" w:type="dxa"/>
            <w:vMerge w:val="continue"/>
            <w:vAlign w:val="center"/>
          </w:tcPr>
          <w:p>
            <w:pPr>
              <w:pStyle w:val="42"/>
              <w:bidi w:val="0"/>
              <w:jc w:val="center"/>
              <w:rPr>
                <w:color w:val="auto"/>
                <w:highlight w:val="none"/>
              </w:rPr>
            </w:pPr>
          </w:p>
        </w:tc>
        <w:tc>
          <w:tcPr>
            <w:tcW w:w="2808" w:type="dxa"/>
            <w:vAlign w:val="center"/>
          </w:tcPr>
          <w:p>
            <w:pPr>
              <w:pStyle w:val="42"/>
              <w:bidi w:val="0"/>
              <w:jc w:val="center"/>
              <w:rPr>
                <w:rFonts w:hint="default" w:ascii="Times New Roman" w:hAnsi="Times New Roman" w:eastAsia="宋" w:cs="Times New Roman"/>
                <w:color w:val="auto"/>
                <w:kern w:val="0"/>
                <w:sz w:val="21"/>
                <w:szCs w:val="21"/>
                <w:highlight w:val="none"/>
                <w:lang w:val="en-US" w:eastAsia="zh-CN" w:bidi="ar-SA"/>
              </w:rPr>
            </w:pPr>
            <w:r>
              <w:rPr>
                <w:color w:val="auto"/>
                <w:highlight w:val="none"/>
              </w:rPr>
              <w:t>2022.12.</w:t>
            </w:r>
            <w:r>
              <w:rPr>
                <w:rFonts w:hint="eastAsia"/>
                <w:color w:val="auto"/>
                <w:highlight w:val="none"/>
                <w:lang w:val="en-US" w:eastAsia="zh-CN"/>
              </w:rPr>
              <w:t>27</w:t>
            </w:r>
            <w:r>
              <w:rPr>
                <w:color w:val="auto"/>
                <w:highlight w:val="none"/>
              </w:rPr>
              <w:t>/2022.12.</w:t>
            </w:r>
            <w:r>
              <w:rPr>
                <w:rFonts w:hint="eastAsia"/>
                <w:color w:val="auto"/>
                <w:highlight w:val="none"/>
                <w:lang w:val="en-US" w:eastAsia="zh-CN"/>
              </w:rPr>
              <w:t>28</w:t>
            </w:r>
          </w:p>
        </w:tc>
        <w:tc>
          <w:tcPr>
            <w:tcW w:w="1073" w:type="dxa"/>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104~127</w:t>
            </w:r>
          </w:p>
        </w:tc>
        <w:tc>
          <w:tcPr>
            <w:tcW w:w="1142" w:type="dxa"/>
            <w:vAlign w:val="center"/>
          </w:tcPr>
          <w:p>
            <w:pPr>
              <w:pStyle w:val="42"/>
              <w:bidi w:val="0"/>
              <w:jc w:val="center"/>
              <w:rPr>
                <w:rFonts w:hint="eastAsia" w:ascii="Times New Roman" w:hAnsi="Times New Roman" w:eastAsia="宋" w:cs="Times New Roman"/>
                <w:color w:val="auto"/>
                <w:kern w:val="0"/>
                <w:sz w:val="21"/>
                <w:szCs w:val="21"/>
                <w:highlight w:val="none"/>
                <w:lang w:val="en-US" w:eastAsia="zh-CN" w:bidi="ar-SA"/>
              </w:rPr>
            </w:pPr>
            <w:r>
              <w:rPr>
                <w:rFonts w:hint="eastAsia"/>
                <w:color w:val="auto"/>
                <w:highlight w:val="none"/>
                <w:lang w:val="en-US" w:eastAsia="zh-CN"/>
              </w:rPr>
              <w:t>160</w:t>
            </w:r>
          </w:p>
        </w:tc>
        <w:tc>
          <w:tcPr>
            <w:tcW w:w="1143" w:type="dxa"/>
            <w:vAlign w:val="center"/>
          </w:tcPr>
          <w:p>
            <w:pPr>
              <w:pStyle w:val="42"/>
              <w:bidi w:val="0"/>
              <w:jc w:val="center"/>
              <w:rPr>
                <w:rFonts w:ascii="Times New Roman" w:hAnsi="Times New Roman" w:eastAsia="宋" w:cs="Times New Roman"/>
                <w:color w:val="auto"/>
                <w:kern w:val="0"/>
                <w:sz w:val="21"/>
                <w:szCs w:val="21"/>
                <w:highlight w:val="none"/>
                <w:lang w:val="en-US" w:eastAsia="zh-CN" w:bidi="ar-SA"/>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jc w:val="center"/>
        </w:trPr>
        <w:tc>
          <w:tcPr>
            <w:tcW w:w="1069" w:type="dxa"/>
            <w:vMerge w:val="continue"/>
            <w:vAlign w:val="center"/>
          </w:tcPr>
          <w:p>
            <w:pPr>
              <w:pStyle w:val="42"/>
              <w:bidi w:val="0"/>
              <w:jc w:val="center"/>
              <w:rPr>
                <w:color w:val="auto"/>
                <w:highlight w:val="none"/>
              </w:rPr>
            </w:pPr>
          </w:p>
        </w:tc>
        <w:tc>
          <w:tcPr>
            <w:tcW w:w="1097" w:type="dxa"/>
            <w:vMerge w:val="continue"/>
            <w:vAlign w:val="center"/>
          </w:tcPr>
          <w:p>
            <w:pPr>
              <w:pStyle w:val="42"/>
              <w:bidi w:val="0"/>
              <w:jc w:val="center"/>
              <w:rPr>
                <w:color w:val="auto"/>
                <w:highlight w:val="none"/>
              </w:rPr>
            </w:pPr>
          </w:p>
        </w:tc>
        <w:tc>
          <w:tcPr>
            <w:tcW w:w="2808" w:type="dxa"/>
            <w:vAlign w:val="center"/>
          </w:tcPr>
          <w:p>
            <w:pPr>
              <w:pStyle w:val="42"/>
              <w:bidi w:val="0"/>
              <w:jc w:val="center"/>
              <w:rPr>
                <w:rFonts w:hint="default" w:ascii="Times New Roman" w:hAnsi="Times New Roman" w:eastAsia="宋" w:cs="Times New Roman"/>
                <w:color w:val="auto"/>
                <w:kern w:val="0"/>
                <w:sz w:val="21"/>
                <w:szCs w:val="21"/>
                <w:highlight w:val="none"/>
                <w:lang w:val="en-US" w:eastAsia="zh-CN" w:bidi="ar-SA"/>
              </w:rPr>
            </w:pPr>
            <w:r>
              <w:rPr>
                <w:color w:val="auto"/>
                <w:highlight w:val="none"/>
              </w:rPr>
              <w:t>2022.12.</w:t>
            </w:r>
            <w:r>
              <w:rPr>
                <w:rFonts w:hint="eastAsia"/>
                <w:color w:val="auto"/>
                <w:highlight w:val="none"/>
                <w:lang w:val="en-US" w:eastAsia="zh-CN"/>
              </w:rPr>
              <w:t>28</w:t>
            </w:r>
            <w:r>
              <w:rPr>
                <w:color w:val="auto"/>
                <w:highlight w:val="none"/>
              </w:rPr>
              <w:t>/2022.12.</w:t>
            </w:r>
            <w:r>
              <w:rPr>
                <w:rFonts w:hint="eastAsia"/>
                <w:color w:val="auto"/>
                <w:highlight w:val="none"/>
                <w:lang w:val="en-US" w:eastAsia="zh-CN"/>
              </w:rPr>
              <w:t>29</w:t>
            </w:r>
          </w:p>
        </w:tc>
        <w:tc>
          <w:tcPr>
            <w:tcW w:w="1073" w:type="dxa"/>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90~113</w:t>
            </w:r>
          </w:p>
        </w:tc>
        <w:tc>
          <w:tcPr>
            <w:tcW w:w="1142" w:type="dxa"/>
            <w:vAlign w:val="center"/>
          </w:tcPr>
          <w:p>
            <w:pPr>
              <w:pStyle w:val="42"/>
              <w:bidi w:val="0"/>
              <w:jc w:val="center"/>
              <w:rPr>
                <w:rFonts w:hint="eastAsia" w:ascii="Times New Roman" w:hAnsi="Times New Roman" w:eastAsia="宋" w:cs="Times New Roman"/>
                <w:color w:val="auto"/>
                <w:kern w:val="0"/>
                <w:sz w:val="21"/>
                <w:szCs w:val="21"/>
                <w:highlight w:val="none"/>
                <w:lang w:val="en-US" w:eastAsia="zh-CN" w:bidi="ar-SA"/>
              </w:rPr>
            </w:pPr>
            <w:r>
              <w:rPr>
                <w:rFonts w:hint="eastAsia"/>
                <w:color w:val="auto"/>
                <w:highlight w:val="none"/>
                <w:lang w:val="en-US" w:eastAsia="zh-CN"/>
              </w:rPr>
              <w:t>160</w:t>
            </w:r>
          </w:p>
        </w:tc>
        <w:tc>
          <w:tcPr>
            <w:tcW w:w="1143" w:type="dxa"/>
            <w:vAlign w:val="center"/>
          </w:tcPr>
          <w:p>
            <w:pPr>
              <w:pStyle w:val="42"/>
              <w:bidi w:val="0"/>
              <w:jc w:val="center"/>
              <w:rPr>
                <w:rFonts w:ascii="Times New Roman" w:hAnsi="Times New Roman" w:eastAsia="宋" w:cs="Times New Roman"/>
                <w:color w:val="auto"/>
                <w:kern w:val="0"/>
                <w:sz w:val="21"/>
                <w:szCs w:val="21"/>
                <w:highlight w:val="none"/>
                <w:lang w:val="en-US" w:eastAsia="zh-CN" w:bidi="ar-SA"/>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jc w:val="center"/>
        </w:trPr>
        <w:tc>
          <w:tcPr>
            <w:tcW w:w="1069" w:type="dxa"/>
            <w:vMerge w:val="continue"/>
            <w:vAlign w:val="center"/>
          </w:tcPr>
          <w:p>
            <w:pPr>
              <w:pStyle w:val="42"/>
              <w:bidi w:val="0"/>
              <w:jc w:val="center"/>
              <w:rPr>
                <w:color w:val="auto"/>
                <w:highlight w:val="none"/>
              </w:rPr>
            </w:pPr>
          </w:p>
        </w:tc>
        <w:tc>
          <w:tcPr>
            <w:tcW w:w="1097" w:type="dxa"/>
            <w:vMerge w:val="continue"/>
            <w:vAlign w:val="center"/>
          </w:tcPr>
          <w:p>
            <w:pPr>
              <w:pStyle w:val="42"/>
              <w:bidi w:val="0"/>
              <w:jc w:val="center"/>
              <w:rPr>
                <w:color w:val="auto"/>
                <w:highlight w:val="none"/>
              </w:rPr>
            </w:pPr>
          </w:p>
        </w:tc>
        <w:tc>
          <w:tcPr>
            <w:tcW w:w="2808" w:type="dxa"/>
            <w:vAlign w:val="center"/>
          </w:tcPr>
          <w:p>
            <w:pPr>
              <w:pStyle w:val="42"/>
              <w:bidi w:val="0"/>
              <w:jc w:val="center"/>
              <w:rPr>
                <w:rFonts w:hint="default" w:ascii="Times New Roman" w:hAnsi="Times New Roman" w:eastAsia="宋" w:cs="Times New Roman"/>
                <w:color w:val="auto"/>
                <w:kern w:val="0"/>
                <w:sz w:val="21"/>
                <w:szCs w:val="21"/>
                <w:highlight w:val="none"/>
                <w:lang w:val="en-US" w:eastAsia="zh-CN" w:bidi="ar-SA"/>
              </w:rPr>
            </w:pPr>
            <w:r>
              <w:rPr>
                <w:color w:val="auto"/>
                <w:highlight w:val="none"/>
              </w:rPr>
              <w:t>2022.12.</w:t>
            </w:r>
            <w:r>
              <w:rPr>
                <w:rFonts w:hint="eastAsia"/>
                <w:color w:val="auto"/>
                <w:highlight w:val="none"/>
                <w:lang w:val="en-US" w:eastAsia="zh-CN"/>
              </w:rPr>
              <w:t>29</w:t>
            </w:r>
            <w:r>
              <w:rPr>
                <w:color w:val="auto"/>
                <w:highlight w:val="none"/>
              </w:rPr>
              <w:t>/2022.12.</w:t>
            </w:r>
            <w:r>
              <w:rPr>
                <w:rFonts w:hint="eastAsia"/>
                <w:color w:val="auto"/>
                <w:highlight w:val="none"/>
                <w:lang w:val="en-US" w:eastAsia="zh-CN"/>
              </w:rPr>
              <w:t>30</w:t>
            </w:r>
          </w:p>
        </w:tc>
        <w:tc>
          <w:tcPr>
            <w:tcW w:w="1073" w:type="dxa"/>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99~126</w:t>
            </w:r>
          </w:p>
        </w:tc>
        <w:tc>
          <w:tcPr>
            <w:tcW w:w="1142" w:type="dxa"/>
            <w:vAlign w:val="center"/>
          </w:tcPr>
          <w:p>
            <w:pPr>
              <w:pStyle w:val="42"/>
              <w:bidi w:val="0"/>
              <w:jc w:val="center"/>
              <w:rPr>
                <w:rFonts w:hint="eastAsia" w:ascii="Times New Roman" w:hAnsi="Times New Roman" w:eastAsia="宋" w:cs="Times New Roman"/>
                <w:color w:val="auto"/>
                <w:kern w:val="0"/>
                <w:sz w:val="21"/>
                <w:szCs w:val="21"/>
                <w:highlight w:val="none"/>
                <w:lang w:val="en-US" w:eastAsia="zh-CN" w:bidi="ar-SA"/>
              </w:rPr>
            </w:pPr>
            <w:r>
              <w:rPr>
                <w:rFonts w:hint="eastAsia"/>
                <w:color w:val="auto"/>
                <w:highlight w:val="none"/>
                <w:lang w:val="en-US" w:eastAsia="zh-CN"/>
              </w:rPr>
              <w:t>160</w:t>
            </w:r>
          </w:p>
        </w:tc>
        <w:tc>
          <w:tcPr>
            <w:tcW w:w="1143" w:type="dxa"/>
            <w:vAlign w:val="center"/>
          </w:tcPr>
          <w:p>
            <w:pPr>
              <w:pStyle w:val="42"/>
              <w:bidi w:val="0"/>
              <w:jc w:val="center"/>
              <w:rPr>
                <w:rFonts w:ascii="Times New Roman" w:hAnsi="Times New Roman" w:eastAsia="宋" w:cs="Times New Roman"/>
                <w:color w:val="auto"/>
                <w:kern w:val="0"/>
                <w:sz w:val="21"/>
                <w:szCs w:val="21"/>
                <w:highlight w:val="none"/>
                <w:lang w:val="en-US" w:eastAsia="zh-CN" w:bidi="ar-SA"/>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jc w:val="center"/>
        </w:trPr>
        <w:tc>
          <w:tcPr>
            <w:tcW w:w="1069" w:type="dxa"/>
            <w:vMerge w:val="continue"/>
            <w:vAlign w:val="center"/>
          </w:tcPr>
          <w:p>
            <w:pPr>
              <w:pStyle w:val="42"/>
              <w:bidi w:val="0"/>
              <w:jc w:val="center"/>
              <w:rPr>
                <w:color w:val="auto"/>
                <w:highlight w:val="none"/>
              </w:rPr>
            </w:pPr>
          </w:p>
        </w:tc>
        <w:tc>
          <w:tcPr>
            <w:tcW w:w="1097" w:type="dxa"/>
            <w:vMerge w:val="continue"/>
            <w:vAlign w:val="center"/>
          </w:tcPr>
          <w:p>
            <w:pPr>
              <w:pStyle w:val="42"/>
              <w:bidi w:val="0"/>
              <w:jc w:val="center"/>
              <w:rPr>
                <w:color w:val="auto"/>
                <w:highlight w:val="none"/>
              </w:rPr>
            </w:pPr>
          </w:p>
        </w:tc>
        <w:tc>
          <w:tcPr>
            <w:tcW w:w="2808" w:type="dxa"/>
            <w:vAlign w:val="center"/>
          </w:tcPr>
          <w:p>
            <w:pPr>
              <w:pStyle w:val="42"/>
              <w:bidi w:val="0"/>
              <w:jc w:val="center"/>
              <w:rPr>
                <w:rFonts w:hint="default" w:ascii="Times New Roman" w:hAnsi="Times New Roman" w:eastAsia="宋" w:cs="Times New Roman"/>
                <w:color w:val="auto"/>
                <w:kern w:val="0"/>
                <w:sz w:val="21"/>
                <w:szCs w:val="21"/>
                <w:highlight w:val="none"/>
                <w:lang w:val="en-US" w:eastAsia="zh-CN" w:bidi="ar-SA"/>
              </w:rPr>
            </w:pPr>
            <w:r>
              <w:rPr>
                <w:color w:val="auto"/>
                <w:highlight w:val="none"/>
              </w:rPr>
              <w:t>2022.12.</w:t>
            </w:r>
            <w:r>
              <w:rPr>
                <w:rFonts w:hint="eastAsia"/>
                <w:color w:val="auto"/>
                <w:highlight w:val="none"/>
                <w:lang w:val="en-US" w:eastAsia="zh-CN"/>
              </w:rPr>
              <w:t>30</w:t>
            </w:r>
            <w:r>
              <w:rPr>
                <w:color w:val="auto"/>
                <w:highlight w:val="none"/>
              </w:rPr>
              <w:t>/2022.12.</w:t>
            </w:r>
            <w:r>
              <w:rPr>
                <w:rFonts w:hint="eastAsia"/>
                <w:color w:val="auto"/>
                <w:highlight w:val="none"/>
                <w:lang w:val="en-US" w:eastAsia="zh-CN"/>
              </w:rPr>
              <w:t>31</w:t>
            </w:r>
          </w:p>
        </w:tc>
        <w:tc>
          <w:tcPr>
            <w:tcW w:w="1073" w:type="dxa"/>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93~113</w:t>
            </w:r>
          </w:p>
        </w:tc>
        <w:tc>
          <w:tcPr>
            <w:tcW w:w="1142" w:type="dxa"/>
            <w:vAlign w:val="center"/>
          </w:tcPr>
          <w:p>
            <w:pPr>
              <w:pStyle w:val="42"/>
              <w:bidi w:val="0"/>
              <w:jc w:val="center"/>
              <w:rPr>
                <w:rFonts w:hint="eastAsia" w:ascii="Times New Roman" w:hAnsi="Times New Roman" w:eastAsia="宋" w:cs="Times New Roman"/>
                <w:color w:val="auto"/>
                <w:kern w:val="0"/>
                <w:sz w:val="21"/>
                <w:szCs w:val="21"/>
                <w:highlight w:val="none"/>
                <w:lang w:val="en-US" w:eastAsia="zh-CN" w:bidi="ar-SA"/>
              </w:rPr>
            </w:pPr>
            <w:r>
              <w:rPr>
                <w:rFonts w:hint="eastAsia"/>
                <w:color w:val="auto"/>
                <w:highlight w:val="none"/>
                <w:lang w:val="en-US" w:eastAsia="zh-CN"/>
              </w:rPr>
              <w:t>160</w:t>
            </w:r>
          </w:p>
        </w:tc>
        <w:tc>
          <w:tcPr>
            <w:tcW w:w="1143" w:type="dxa"/>
            <w:vAlign w:val="center"/>
          </w:tcPr>
          <w:p>
            <w:pPr>
              <w:pStyle w:val="42"/>
              <w:bidi w:val="0"/>
              <w:jc w:val="center"/>
              <w:rPr>
                <w:rFonts w:ascii="Times New Roman" w:hAnsi="Times New Roman" w:eastAsia="宋" w:cs="Times New Roman"/>
                <w:color w:val="auto"/>
                <w:kern w:val="0"/>
                <w:sz w:val="21"/>
                <w:szCs w:val="21"/>
                <w:highlight w:val="none"/>
                <w:lang w:val="en-US" w:eastAsia="zh-CN" w:bidi="ar-SA"/>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jc w:val="center"/>
        </w:trPr>
        <w:tc>
          <w:tcPr>
            <w:tcW w:w="1069" w:type="dxa"/>
            <w:vMerge w:val="continue"/>
            <w:vAlign w:val="center"/>
          </w:tcPr>
          <w:p>
            <w:pPr>
              <w:pStyle w:val="42"/>
              <w:bidi w:val="0"/>
              <w:jc w:val="center"/>
              <w:rPr>
                <w:color w:val="auto"/>
                <w:highlight w:val="none"/>
              </w:rPr>
            </w:pPr>
          </w:p>
        </w:tc>
        <w:tc>
          <w:tcPr>
            <w:tcW w:w="1097" w:type="dxa"/>
            <w:vMerge w:val="continue"/>
            <w:vAlign w:val="center"/>
          </w:tcPr>
          <w:p>
            <w:pPr>
              <w:pStyle w:val="42"/>
              <w:bidi w:val="0"/>
              <w:jc w:val="center"/>
              <w:rPr>
                <w:color w:val="auto"/>
                <w:highlight w:val="none"/>
              </w:rPr>
            </w:pPr>
          </w:p>
        </w:tc>
        <w:tc>
          <w:tcPr>
            <w:tcW w:w="2808" w:type="dxa"/>
            <w:vAlign w:val="center"/>
          </w:tcPr>
          <w:p>
            <w:pPr>
              <w:pStyle w:val="42"/>
              <w:bidi w:val="0"/>
              <w:jc w:val="center"/>
              <w:rPr>
                <w:rFonts w:hint="default" w:ascii="Times New Roman" w:hAnsi="Times New Roman" w:eastAsia="宋" w:cs="Times New Roman"/>
                <w:color w:val="auto"/>
                <w:kern w:val="0"/>
                <w:sz w:val="21"/>
                <w:szCs w:val="21"/>
                <w:highlight w:val="none"/>
                <w:lang w:val="en-US" w:eastAsia="zh-CN" w:bidi="ar-SA"/>
              </w:rPr>
            </w:pPr>
            <w:r>
              <w:rPr>
                <w:color w:val="auto"/>
                <w:highlight w:val="none"/>
              </w:rPr>
              <w:t>2022.12.</w:t>
            </w:r>
            <w:r>
              <w:rPr>
                <w:rFonts w:hint="eastAsia"/>
                <w:color w:val="auto"/>
                <w:highlight w:val="none"/>
                <w:lang w:val="en-US" w:eastAsia="zh-CN"/>
              </w:rPr>
              <w:t>31</w:t>
            </w:r>
            <w:r>
              <w:rPr>
                <w:color w:val="auto"/>
                <w:highlight w:val="none"/>
              </w:rPr>
              <w:t>/2022.12.</w:t>
            </w:r>
            <w:r>
              <w:rPr>
                <w:rFonts w:hint="eastAsia"/>
                <w:color w:val="auto"/>
                <w:highlight w:val="none"/>
                <w:lang w:val="en-US" w:eastAsia="zh-CN"/>
              </w:rPr>
              <w:t>31</w:t>
            </w:r>
          </w:p>
        </w:tc>
        <w:tc>
          <w:tcPr>
            <w:tcW w:w="1073" w:type="dxa"/>
            <w:vAlign w:val="center"/>
          </w:tcPr>
          <w:p>
            <w:pPr>
              <w:pStyle w:val="42"/>
              <w:bidi w:val="0"/>
              <w:jc w:val="center"/>
              <w:rPr>
                <w:rFonts w:hint="default" w:eastAsia="宋"/>
                <w:color w:val="auto"/>
                <w:highlight w:val="none"/>
                <w:lang w:val="en-US" w:eastAsia="zh-CN"/>
              </w:rPr>
            </w:pPr>
            <w:r>
              <w:rPr>
                <w:rFonts w:hint="eastAsia"/>
                <w:color w:val="auto"/>
                <w:highlight w:val="none"/>
                <w:lang w:val="en-US" w:eastAsia="zh-CN"/>
              </w:rPr>
              <w:t>96~121</w:t>
            </w:r>
          </w:p>
        </w:tc>
        <w:tc>
          <w:tcPr>
            <w:tcW w:w="1142" w:type="dxa"/>
            <w:vAlign w:val="center"/>
          </w:tcPr>
          <w:p>
            <w:pPr>
              <w:pStyle w:val="42"/>
              <w:bidi w:val="0"/>
              <w:jc w:val="center"/>
              <w:rPr>
                <w:rFonts w:hint="eastAsia"/>
                <w:color w:val="auto"/>
                <w:highlight w:val="none"/>
                <w:lang w:val="en-US" w:eastAsia="zh-CN"/>
              </w:rPr>
            </w:pPr>
            <w:r>
              <w:rPr>
                <w:rFonts w:hint="eastAsia"/>
                <w:color w:val="auto"/>
                <w:highlight w:val="none"/>
                <w:lang w:val="en-US" w:eastAsia="zh-CN"/>
              </w:rPr>
              <w:t>160</w:t>
            </w:r>
          </w:p>
        </w:tc>
        <w:tc>
          <w:tcPr>
            <w:tcW w:w="1143" w:type="dxa"/>
            <w:vAlign w:val="center"/>
          </w:tcPr>
          <w:p>
            <w:pPr>
              <w:pStyle w:val="42"/>
              <w:bidi w:val="0"/>
              <w:jc w:val="center"/>
              <w:rPr>
                <w:rFonts w:ascii="Times New Roman" w:hAnsi="Times New Roman" w:eastAsia="宋" w:cs="Times New Roman"/>
                <w:color w:val="auto"/>
                <w:kern w:val="0"/>
                <w:sz w:val="21"/>
                <w:szCs w:val="21"/>
                <w:highlight w:val="none"/>
                <w:lang w:val="en-US" w:eastAsia="zh-CN" w:bidi="ar-SA"/>
              </w:rPr>
            </w:pPr>
            <w:r>
              <w:rPr>
                <w:color w:val="auto"/>
                <w:highlight w:val="none"/>
              </w:rPr>
              <w:t>达标</w:t>
            </w:r>
          </w:p>
        </w:tc>
      </w:tr>
    </w:tbl>
    <w:p>
      <w:pPr>
        <w:bidi w:val="0"/>
        <w:ind w:firstLine="480" w:firstLineChars="200"/>
        <w:rPr>
          <w:rFonts w:ascii="Times New Roman" w:hAnsi="Times New Roman" w:eastAsia="宋体" w:cs="Times New Roman"/>
          <w:color w:val="auto"/>
          <w:highlight w:val="none"/>
        </w:rPr>
      </w:pPr>
      <w:r>
        <w:rPr>
          <w:color w:val="auto"/>
          <w:highlight w:val="none"/>
        </w:rPr>
        <w:t>根据上表可知，元谋风景名胜区</w:t>
      </w:r>
      <w:r>
        <w:rPr>
          <w:rFonts w:hint="eastAsia"/>
          <w:color w:val="auto"/>
          <w:highlight w:val="none"/>
          <w:lang w:val="en-US" w:eastAsia="zh-CN"/>
        </w:rPr>
        <w:t>臭氧</w:t>
      </w:r>
      <w:r>
        <w:rPr>
          <w:color w:val="auto"/>
          <w:highlight w:val="none"/>
        </w:rPr>
        <w:t>能满足《环境空气质量标准》（GB3</w:t>
      </w:r>
      <w:r>
        <w:rPr>
          <w:rFonts w:ascii="Times New Roman" w:hAnsi="Times New Roman" w:eastAsia="宋体" w:cs="Times New Roman"/>
          <w:color w:val="auto"/>
          <w:highlight w:val="none"/>
        </w:rPr>
        <w:t>095-2012）中一级标准。</w:t>
      </w:r>
    </w:p>
    <w:p>
      <w:pPr>
        <w:bidi w:val="0"/>
        <w:ind w:firstLine="480" w:firstLineChars="20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综上，该项目所在区域环境空气质量满足一类区的要求。</w:t>
      </w:r>
    </w:p>
    <w:p>
      <w:pPr>
        <w:keepNext w:val="0"/>
        <w:keepLines w:val="0"/>
        <w:pageBreakBefore w:val="0"/>
        <w:widowControl w:val="0"/>
        <w:kinsoku/>
        <w:wordWrap/>
        <w:overflowPunct/>
        <w:topLinePunct w:val="0"/>
        <w:autoSpaceDE/>
        <w:autoSpaceDN/>
        <w:bidi w:val="0"/>
        <w:adjustRightInd/>
        <w:snapToGrid w:val="0"/>
        <w:ind w:firstLine="482" w:firstLineChars="200"/>
        <w:textAlignment w:val="auto"/>
        <w:rPr>
          <w:rFonts w:hint="default"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lang w:val="en-US" w:eastAsia="zh-CN"/>
        </w:rPr>
        <w:t>2、</w:t>
      </w:r>
      <w:r>
        <w:rPr>
          <w:b/>
          <w:bCs/>
          <w:color w:val="auto"/>
        </w:rPr>
        <w:t xml:space="preserve"> TSP</w:t>
      </w:r>
      <w:r>
        <w:rPr>
          <w:rFonts w:hint="eastAsia" w:ascii="Times New Roman" w:hAnsi="Times New Roman" w:eastAsia="宋体" w:cs="Times New Roman"/>
          <w:b/>
          <w:bCs/>
          <w:color w:val="auto"/>
          <w:highlight w:val="none"/>
          <w:lang w:val="en-US" w:eastAsia="zh-CN"/>
        </w:rPr>
        <w:t>引用监测</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color w:val="auto"/>
        </w:rPr>
      </w:pPr>
      <w:r>
        <w:rPr>
          <w:color w:val="auto"/>
        </w:rPr>
        <w:t>本项目特征污染物为施工期 TSP，运营期无明显大气污染源，项目涉及元谋风景名胜区，</w:t>
      </w:r>
      <w:r>
        <w:rPr>
          <w:rFonts w:hint="eastAsia"/>
          <w:color w:val="auto"/>
          <w:lang w:val="en-US" w:eastAsia="zh-CN"/>
        </w:rPr>
        <w:t>本项目引用已经批复的《金沙江乌东德水电站水资源综合利用—元谋县姜驿乡提水工程环境影响报告书》中对元谋风景名胜区的监测内容，</w:t>
      </w:r>
      <w:r>
        <w:rPr>
          <w:color w:val="auto"/>
        </w:rPr>
        <w:t>云南坤发环境科技有限公司于 2022年12月1日~1</w:t>
      </w:r>
      <w:r>
        <w:rPr>
          <w:rFonts w:hint="eastAsia"/>
          <w:color w:val="auto"/>
          <w:lang w:val="en-US" w:eastAsia="zh-CN"/>
        </w:rPr>
        <w:t>2</w:t>
      </w:r>
      <w:r>
        <w:rPr>
          <w:color w:val="auto"/>
        </w:rPr>
        <w:t>月8日对元谋风景名胜区金沙江景区内进行了TSP监测。</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color w:val="auto"/>
        </w:rPr>
      </w:pPr>
      <w:r>
        <w:rPr>
          <w:color w:val="auto"/>
        </w:rPr>
        <w:t>①监测点位：二级泵站东北侧元谋风景名胜区金沙江景区内（二级泵站下风向，不受人为活动影响的地方）。共1个点位；</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color w:val="auto"/>
        </w:rPr>
      </w:pPr>
      <w:r>
        <w:rPr>
          <w:color w:val="auto"/>
        </w:rPr>
        <w:t>②监测频次：连续监测7天，监测日均值；</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color w:val="auto"/>
        </w:rPr>
      </w:pPr>
      <w:r>
        <w:rPr>
          <w:color w:val="auto"/>
        </w:rPr>
        <w:t>③监测因子：TSP；</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color w:val="auto"/>
        </w:rPr>
      </w:pPr>
      <w:r>
        <w:rPr>
          <w:color w:val="auto"/>
        </w:rPr>
        <w:t>④监测结果：见下表。</w:t>
      </w:r>
    </w:p>
    <w:p>
      <w:pPr>
        <w:bidi w:val="0"/>
        <w:spacing w:line="240" w:lineRule="auto"/>
        <w:jc w:val="center"/>
        <w:rPr>
          <w:b/>
          <w:bCs/>
          <w:color w:val="auto"/>
        </w:rPr>
      </w:pPr>
      <w:r>
        <w:rPr>
          <w:b/>
          <w:bCs/>
          <w:color w:val="auto"/>
        </w:rPr>
        <w:t>表 4.2</w:t>
      </w:r>
      <w:r>
        <w:rPr>
          <w:rFonts w:hint="eastAsia"/>
          <w:b/>
          <w:bCs/>
          <w:color w:val="auto"/>
          <w:lang w:val="en-US" w:eastAsia="zh-CN"/>
        </w:rPr>
        <w:t>.1</w:t>
      </w:r>
      <w:r>
        <w:rPr>
          <w:b/>
          <w:bCs/>
          <w:color w:val="auto"/>
        </w:rPr>
        <w:t>-</w:t>
      </w:r>
      <w:r>
        <w:rPr>
          <w:rFonts w:hint="eastAsia"/>
          <w:b/>
          <w:bCs/>
          <w:color w:val="auto"/>
          <w:lang w:val="en-US" w:eastAsia="zh-CN"/>
        </w:rPr>
        <w:t>3</w:t>
      </w:r>
      <w:r>
        <w:rPr>
          <w:b/>
          <w:bCs/>
          <w:color w:val="auto"/>
        </w:rPr>
        <w:t xml:space="preserve">  环境空气质量监测一览表  单位 ug/m3</w:t>
      </w:r>
    </w:p>
    <w:tbl>
      <w:tblPr>
        <w:tblStyle w:val="57"/>
        <w:tblW w:w="852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94"/>
        <w:gridCol w:w="1122"/>
        <w:gridCol w:w="2877"/>
        <w:gridCol w:w="1098"/>
        <w:gridCol w:w="1168"/>
        <w:gridCol w:w="116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109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2"/>
                <w:sz w:val="21"/>
                <w:szCs w:val="21"/>
              </w:rPr>
              <w:t>监测项目</w:t>
            </w:r>
          </w:p>
        </w:tc>
        <w:tc>
          <w:tcPr>
            <w:tcW w:w="1122"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2"/>
                <w:sz w:val="21"/>
                <w:szCs w:val="21"/>
              </w:rPr>
              <w:t>监测点位</w:t>
            </w:r>
          </w:p>
        </w:tc>
        <w:tc>
          <w:tcPr>
            <w:tcW w:w="28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
                <w:sz w:val="21"/>
                <w:szCs w:val="21"/>
              </w:rPr>
              <w:t>采样日期</w:t>
            </w:r>
            <w:r>
              <w:rPr>
                <w:rFonts w:ascii="Times New Roman" w:hAnsi="Times New Roman" w:eastAsia="Times New Roman" w:cs="Times New Roman"/>
                <w:color w:val="auto"/>
                <w:spacing w:val="-1"/>
                <w:sz w:val="21"/>
                <w:szCs w:val="21"/>
              </w:rPr>
              <w:t>/</w:t>
            </w:r>
            <w:r>
              <w:rPr>
                <w:rFonts w:ascii="宋体" w:hAnsi="宋体" w:eastAsia="宋体" w:cs="宋体"/>
                <w:color w:val="auto"/>
                <w:spacing w:val="-1"/>
                <w:sz w:val="21"/>
                <w:szCs w:val="21"/>
              </w:rPr>
              <w:t>接样日期</w:t>
            </w:r>
          </w:p>
        </w:tc>
        <w:tc>
          <w:tcPr>
            <w:tcW w:w="10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2"/>
                <w:sz w:val="21"/>
                <w:szCs w:val="21"/>
              </w:rPr>
              <w:t>监测结果</w:t>
            </w:r>
          </w:p>
        </w:tc>
        <w:tc>
          <w:tcPr>
            <w:tcW w:w="11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3"/>
                <w:sz w:val="21"/>
                <w:szCs w:val="21"/>
              </w:rPr>
              <w:t>一类标准</w:t>
            </w:r>
          </w:p>
        </w:tc>
        <w:tc>
          <w:tcPr>
            <w:tcW w:w="11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1"/>
                <w:sz w:val="21"/>
                <w:szCs w:val="21"/>
              </w:rPr>
              <w:t>达标情况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1094"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TSP</w:t>
            </w:r>
          </w:p>
        </w:tc>
        <w:tc>
          <w:tcPr>
            <w:tcW w:w="1122"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3"/>
                <w:sz w:val="21"/>
                <w:szCs w:val="21"/>
              </w:rPr>
              <w:t>二级泵站</w:t>
            </w:r>
            <w:r>
              <w:rPr>
                <w:rFonts w:ascii="宋体" w:hAnsi="宋体" w:eastAsia="宋体" w:cs="宋体"/>
                <w:color w:val="auto"/>
                <w:spacing w:val="1"/>
                <w:sz w:val="21"/>
                <w:szCs w:val="21"/>
              </w:rPr>
              <w:t xml:space="preserve"> </w:t>
            </w:r>
            <w:r>
              <w:rPr>
                <w:rFonts w:ascii="宋体" w:hAnsi="宋体" w:eastAsia="宋体" w:cs="宋体"/>
                <w:color w:val="auto"/>
                <w:spacing w:val="-2"/>
                <w:sz w:val="21"/>
                <w:szCs w:val="21"/>
              </w:rPr>
              <w:t>东北侧元</w:t>
            </w:r>
            <w:r>
              <w:rPr>
                <w:rFonts w:ascii="宋体" w:hAnsi="宋体" w:eastAsia="宋体" w:cs="宋体"/>
                <w:color w:val="auto"/>
                <w:sz w:val="21"/>
                <w:szCs w:val="21"/>
              </w:rPr>
              <w:t xml:space="preserve"> </w:t>
            </w:r>
            <w:r>
              <w:rPr>
                <w:rFonts w:ascii="宋体" w:hAnsi="宋体" w:eastAsia="宋体" w:cs="宋体"/>
                <w:color w:val="auto"/>
                <w:spacing w:val="-2"/>
                <w:sz w:val="21"/>
                <w:szCs w:val="21"/>
              </w:rPr>
              <w:t>谋风景名</w:t>
            </w:r>
            <w:r>
              <w:rPr>
                <w:rFonts w:ascii="宋体" w:hAnsi="宋体" w:eastAsia="宋体" w:cs="宋体"/>
                <w:color w:val="auto"/>
                <w:sz w:val="21"/>
                <w:szCs w:val="21"/>
              </w:rPr>
              <w:t xml:space="preserve"> </w:t>
            </w:r>
            <w:r>
              <w:rPr>
                <w:rFonts w:ascii="宋体" w:hAnsi="宋体" w:eastAsia="宋体" w:cs="宋体"/>
                <w:color w:val="auto"/>
                <w:spacing w:val="32"/>
                <w:sz w:val="21"/>
                <w:szCs w:val="21"/>
              </w:rPr>
              <w:t>胜区内</w:t>
            </w:r>
          </w:p>
        </w:tc>
        <w:tc>
          <w:tcPr>
            <w:tcW w:w="28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2022.12.01/2022.12.02</w:t>
            </w:r>
          </w:p>
        </w:tc>
        <w:tc>
          <w:tcPr>
            <w:tcW w:w="10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87</w:t>
            </w:r>
          </w:p>
        </w:tc>
        <w:tc>
          <w:tcPr>
            <w:tcW w:w="11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6"/>
                <w:sz w:val="21"/>
                <w:szCs w:val="21"/>
              </w:rPr>
              <w:t>120</w:t>
            </w:r>
          </w:p>
        </w:tc>
        <w:tc>
          <w:tcPr>
            <w:tcW w:w="11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2"/>
                <w:sz w:val="21"/>
                <w:szCs w:val="21"/>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0" w:hRule="atLeast"/>
        </w:trPr>
        <w:tc>
          <w:tcPr>
            <w:tcW w:w="1094" w:type="dxa"/>
            <w:vMerge w:val="continue"/>
            <w:tcBorders>
              <w:top w:val="nil"/>
              <w:bottom w:val="nil"/>
            </w:tcBorders>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p>
        </w:tc>
        <w:tc>
          <w:tcPr>
            <w:tcW w:w="1122" w:type="dxa"/>
            <w:vMerge w:val="continue"/>
            <w:tcBorders>
              <w:top w:val="nil"/>
              <w:bottom w:val="nil"/>
            </w:tcBorders>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p>
        </w:tc>
        <w:tc>
          <w:tcPr>
            <w:tcW w:w="28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2022.12.02/2022.12.03</w:t>
            </w:r>
          </w:p>
        </w:tc>
        <w:tc>
          <w:tcPr>
            <w:tcW w:w="10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92</w:t>
            </w:r>
          </w:p>
        </w:tc>
        <w:tc>
          <w:tcPr>
            <w:tcW w:w="11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6"/>
                <w:sz w:val="21"/>
                <w:szCs w:val="21"/>
              </w:rPr>
              <w:t>120</w:t>
            </w:r>
          </w:p>
        </w:tc>
        <w:tc>
          <w:tcPr>
            <w:tcW w:w="11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2"/>
                <w:sz w:val="21"/>
                <w:szCs w:val="21"/>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1094" w:type="dxa"/>
            <w:vMerge w:val="continue"/>
            <w:tcBorders>
              <w:top w:val="nil"/>
              <w:bottom w:val="nil"/>
            </w:tcBorders>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p>
        </w:tc>
        <w:tc>
          <w:tcPr>
            <w:tcW w:w="1122" w:type="dxa"/>
            <w:vMerge w:val="continue"/>
            <w:tcBorders>
              <w:top w:val="nil"/>
              <w:bottom w:val="nil"/>
            </w:tcBorders>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p>
        </w:tc>
        <w:tc>
          <w:tcPr>
            <w:tcW w:w="28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2022.12.03/2022.12.04</w:t>
            </w:r>
          </w:p>
        </w:tc>
        <w:tc>
          <w:tcPr>
            <w:tcW w:w="10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97</w:t>
            </w:r>
          </w:p>
        </w:tc>
        <w:tc>
          <w:tcPr>
            <w:tcW w:w="11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6"/>
                <w:sz w:val="21"/>
                <w:szCs w:val="21"/>
              </w:rPr>
              <w:t>120</w:t>
            </w:r>
          </w:p>
        </w:tc>
        <w:tc>
          <w:tcPr>
            <w:tcW w:w="11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2"/>
                <w:sz w:val="21"/>
                <w:szCs w:val="21"/>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0" w:hRule="atLeast"/>
        </w:trPr>
        <w:tc>
          <w:tcPr>
            <w:tcW w:w="1094" w:type="dxa"/>
            <w:vMerge w:val="continue"/>
            <w:tcBorders>
              <w:top w:val="nil"/>
              <w:bottom w:val="nil"/>
            </w:tcBorders>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p>
        </w:tc>
        <w:tc>
          <w:tcPr>
            <w:tcW w:w="1122" w:type="dxa"/>
            <w:vMerge w:val="continue"/>
            <w:tcBorders>
              <w:top w:val="nil"/>
              <w:bottom w:val="nil"/>
            </w:tcBorders>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p>
        </w:tc>
        <w:tc>
          <w:tcPr>
            <w:tcW w:w="28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2022.12.04/2022.12.05</w:t>
            </w:r>
          </w:p>
        </w:tc>
        <w:tc>
          <w:tcPr>
            <w:tcW w:w="10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85</w:t>
            </w:r>
          </w:p>
        </w:tc>
        <w:tc>
          <w:tcPr>
            <w:tcW w:w="11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6"/>
                <w:sz w:val="21"/>
                <w:szCs w:val="21"/>
              </w:rPr>
              <w:t>120</w:t>
            </w:r>
          </w:p>
        </w:tc>
        <w:tc>
          <w:tcPr>
            <w:tcW w:w="11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2"/>
                <w:sz w:val="21"/>
                <w:szCs w:val="21"/>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0" w:hRule="atLeast"/>
        </w:trPr>
        <w:tc>
          <w:tcPr>
            <w:tcW w:w="1094" w:type="dxa"/>
            <w:vMerge w:val="continue"/>
            <w:tcBorders>
              <w:top w:val="nil"/>
              <w:bottom w:val="nil"/>
            </w:tcBorders>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p>
        </w:tc>
        <w:tc>
          <w:tcPr>
            <w:tcW w:w="1122" w:type="dxa"/>
            <w:vMerge w:val="continue"/>
            <w:tcBorders>
              <w:top w:val="nil"/>
              <w:bottom w:val="nil"/>
            </w:tcBorders>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p>
        </w:tc>
        <w:tc>
          <w:tcPr>
            <w:tcW w:w="28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2022.12.05/2022.12.06</w:t>
            </w:r>
          </w:p>
        </w:tc>
        <w:tc>
          <w:tcPr>
            <w:tcW w:w="10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98</w:t>
            </w:r>
          </w:p>
        </w:tc>
        <w:tc>
          <w:tcPr>
            <w:tcW w:w="11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6"/>
                <w:sz w:val="21"/>
                <w:szCs w:val="21"/>
              </w:rPr>
              <w:t>120</w:t>
            </w:r>
          </w:p>
        </w:tc>
        <w:tc>
          <w:tcPr>
            <w:tcW w:w="11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2"/>
                <w:sz w:val="21"/>
                <w:szCs w:val="21"/>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0" w:hRule="atLeast"/>
        </w:trPr>
        <w:tc>
          <w:tcPr>
            <w:tcW w:w="1094" w:type="dxa"/>
            <w:vMerge w:val="continue"/>
            <w:tcBorders>
              <w:top w:val="nil"/>
              <w:bottom w:val="nil"/>
            </w:tcBorders>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p>
        </w:tc>
        <w:tc>
          <w:tcPr>
            <w:tcW w:w="1122" w:type="dxa"/>
            <w:vMerge w:val="continue"/>
            <w:tcBorders>
              <w:top w:val="nil"/>
              <w:bottom w:val="nil"/>
            </w:tcBorders>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p>
        </w:tc>
        <w:tc>
          <w:tcPr>
            <w:tcW w:w="28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2022.12.06/2022.12.07</w:t>
            </w:r>
          </w:p>
        </w:tc>
        <w:tc>
          <w:tcPr>
            <w:tcW w:w="10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94</w:t>
            </w:r>
          </w:p>
        </w:tc>
        <w:tc>
          <w:tcPr>
            <w:tcW w:w="11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6"/>
                <w:sz w:val="21"/>
                <w:szCs w:val="21"/>
              </w:rPr>
              <w:t>120</w:t>
            </w:r>
          </w:p>
        </w:tc>
        <w:tc>
          <w:tcPr>
            <w:tcW w:w="11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2"/>
                <w:sz w:val="21"/>
                <w:szCs w:val="21"/>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1094" w:type="dxa"/>
            <w:vMerge w:val="continue"/>
            <w:tcBorders>
              <w:top w:val="nil"/>
            </w:tcBorders>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p>
        </w:tc>
        <w:tc>
          <w:tcPr>
            <w:tcW w:w="1122" w:type="dxa"/>
            <w:vMerge w:val="continue"/>
            <w:tcBorders>
              <w:top w:val="nil"/>
            </w:tcBorders>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auto"/>
              </w:rPr>
            </w:pPr>
          </w:p>
        </w:tc>
        <w:tc>
          <w:tcPr>
            <w:tcW w:w="28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1"/>
                <w:sz w:val="21"/>
                <w:szCs w:val="21"/>
              </w:rPr>
              <w:t>2022.12.07/2022.12.08</w:t>
            </w:r>
          </w:p>
        </w:tc>
        <w:tc>
          <w:tcPr>
            <w:tcW w:w="109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96</w:t>
            </w:r>
          </w:p>
        </w:tc>
        <w:tc>
          <w:tcPr>
            <w:tcW w:w="116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6"/>
                <w:sz w:val="21"/>
                <w:szCs w:val="21"/>
              </w:rPr>
              <w:t>120</w:t>
            </w:r>
          </w:p>
        </w:tc>
        <w:tc>
          <w:tcPr>
            <w:tcW w:w="11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auto"/>
                <w:sz w:val="21"/>
                <w:szCs w:val="21"/>
              </w:rPr>
            </w:pPr>
            <w:r>
              <w:rPr>
                <w:rFonts w:ascii="宋体" w:hAnsi="宋体" w:eastAsia="宋体" w:cs="宋体"/>
                <w:color w:val="auto"/>
                <w:spacing w:val="-2"/>
                <w:sz w:val="21"/>
                <w:szCs w:val="21"/>
              </w:rPr>
              <w:t>达标</w:t>
            </w:r>
          </w:p>
        </w:tc>
      </w:tr>
    </w:tbl>
    <w:p>
      <w:pPr>
        <w:bidi w:val="0"/>
        <w:ind w:firstLine="480" w:firstLineChars="200"/>
        <w:jc w:val="left"/>
        <w:rPr>
          <w:rFonts w:ascii="宋体" w:hAnsi="宋体" w:eastAsia="宋体" w:cs="宋体"/>
          <w:color w:val="auto"/>
          <w:spacing w:val="-3"/>
          <w:szCs w:val="24"/>
        </w:rPr>
      </w:pPr>
      <w:r>
        <w:rPr>
          <w:rFonts w:hint="default" w:ascii="Times New Roman" w:hAnsi="Times New Roman" w:cs="Times New Roman"/>
          <w:color w:val="auto"/>
        </w:rPr>
        <w:t>根据上表可知，元谋风景名胜区环境空气质量能满足《环境空气质量标准》（GB3095-2012）中一级标准。</w:t>
      </w:r>
    </w:p>
    <w:p>
      <w:pPr>
        <w:pStyle w:val="5"/>
        <w:numPr>
          <w:ilvl w:val="3"/>
          <w:numId w:val="1"/>
        </w:numPr>
        <w:bidi w:val="0"/>
        <w:ind w:left="480" w:leftChars="0" w:firstLineChars="0"/>
        <w:rPr>
          <w:rFonts w:hint="eastAsia"/>
          <w:color w:val="auto"/>
          <w:lang w:val="en-US" w:eastAsia="zh-CN"/>
        </w:rPr>
      </w:pPr>
      <w:r>
        <w:rPr>
          <w:rFonts w:hint="eastAsia"/>
          <w:color w:val="auto"/>
          <w:lang w:val="en-US" w:eastAsia="zh-CN"/>
        </w:rPr>
        <w:t>环境空气现状评价结论</w:t>
      </w:r>
    </w:p>
    <w:p>
      <w:pPr>
        <w:pStyle w:val="37"/>
        <w:ind w:firstLine="480" w:firstLineChars="200"/>
        <w:rPr>
          <w:rFonts w:hint="default"/>
          <w:color w:val="auto"/>
          <w:highlight w:val="none"/>
          <w:lang w:val="en-US" w:eastAsia="zh-CN"/>
        </w:rPr>
      </w:pPr>
      <w:r>
        <w:rPr>
          <w:rFonts w:hint="eastAsia"/>
          <w:color w:val="auto"/>
          <w:highlight w:val="none"/>
          <w:lang w:val="en-US" w:eastAsia="zh-CN"/>
        </w:rPr>
        <w:t>根据元谋县2022年度环境质量公报、元谋风景名胜区内</w:t>
      </w:r>
      <w:r>
        <w:rPr>
          <w:rFonts w:hint="eastAsia"/>
          <w:color w:val="auto"/>
          <w:highlight w:val="none"/>
        </w:rPr>
        <w:t>臭氧（O</w:t>
      </w:r>
      <w:r>
        <w:rPr>
          <w:rFonts w:hint="eastAsia"/>
          <w:color w:val="auto"/>
          <w:highlight w:val="none"/>
          <w:vertAlign w:val="subscript"/>
        </w:rPr>
        <w:t>3</w:t>
      </w:r>
      <w:r>
        <w:rPr>
          <w:rFonts w:hint="eastAsia"/>
          <w:color w:val="auto"/>
          <w:highlight w:val="none"/>
        </w:rPr>
        <w:t>-8h)</w:t>
      </w:r>
      <w:r>
        <w:rPr>
          <w:rFonts w:hint="eastAsia"/>
          <w:color w:val="auto"/>
          <w:highlight w:val="none"/>
          <w:lang w:eastAsia="zh-CN"/>
        </w:rPr>
        <w:t>和</w:t>
      </w:r>
      <w:r>
        <w:rPr>
          <w:rFonts w:hint="eastAsia"/>
          <w:color w:val="auto"/>
          <w:highlight w:val="none"/>
          <w:lang w:val="en-US" w:eastAsia="zh-CN"/>
        </w:rPr>
        <w:t>1小时平均</w:t>
      </w:r>
      <w:r>
        <w:rPr>
          <w:rFonts w:hint="eastAsia"/>
          <w:color w:val="auto"/>
          <w:highlight w:val="none"/>
          <w:lang w:eastAsia="zh-CN"/>
        </w:rPr>
        <w:t>监测数据</w:t>
      </w:r>
      <w:r>
        <w:rPr>
          <w:rFonts w:hint="eastAsia"/>
          <w:color w:val="auto"/>
          <w:highlight w:val="none"/>
          <w:lang w:val="en-US" w:eastAsia="zh-CN"/>
        </w:rPr>
        <w:t>以及</w:t>
      </w:r>
      <w:r>
        <w:rPr>
          <w:b w:val="0"/>
          <w:bCs w:val="0"/>
          <w:color w:val="auto"/>
        </w:rPr>
        <w:t>TSP</w:t>
      </w:r>
      <w:r>
        <w:rPr>
          <w:rFonts w:hint="eastAsia" w:ascii="Times New Roman" w:hAnsi="Times New Roman" w:eastAsia="宋体" w:cs="Times New Roman"/>
          <w:b w:val="0"/>
          <w:bCs w:val="0"/>
          <w:color w:val="auto"/>
          <w:highlight w:val="none"/>
          <w:lang w:val="en-US" w:eastAsia="zh-CN"/>
        </w:rPr>
        <w:t>引用监测</w:t>
      </w:r>
      <w:r>
        <w:rPr>
          <w:rFonts w:hint="eastAsia"/>
          <w:color w:val="auto"/>
          <w:highlight w:val="none"/>
          <w:lang w:val="en-US" w:eastAsia="zh-CN"/>
        </w:rPr>
        <w:t>结果表明，项目所在区域环境空气质量能满足《环境空气质量标准》（GB3095-2012）中一级标准项目所在区域属于达标区。</w:t>
      </w:r>
    </w:p>
    <w:p>
      <w:pPr>
        <w:pStyle w:val="4"/>
        <w:numPr>
          <w:ilvl w:val="2"/>
          <w:numId w:val="1"/>
        </w:numPr>
        <w:bidi w:val="0"/>
        <w:rPr>
          <w:rFonts w:hint="default"/>
          <w:color w:val="auto"/>
          <w:highlight w:val="none"/>
        </w:rPr>
      </w:pPr>
      <w:bookmarkStart w:id="507" w:name="_Toc20330"/>
      <w:bookmarkStart w:id="508" w:name="_Toc11281"/>
      <w:bookmarkStart w:id="509" w:name="_Toc26459"/>
      <w:bookmarkStart w:id="510" w:name="_Toc32012"/>
      <w:bookmarkStart w:id="511" w:name="_Toc5306"/>
      <w:bookmarkStart w:id="512" w:name="_Toc62473874"/>
      <w:bookmarkStart w:id="513" w:name="_Toc20233"/>
      <w:r>
        <w:rPr>
          <w:rFonts w:hint="eastAsia"/>
          <w:color w:val="auto"/>
          <w:highlight w:val="none"/>
          <w:lang w:eastAsia="zh-CN"/>
        </w:rPr>
        <w:t>声</w:t>
      </w:r>
      <w:r>
        <w:rPr>
          <w:rFonts w:hint="default"/>
          <w:color w:val="auto"/>
          <w:highlight w:val="none"/>
        </w:rPr>
        <w:t>环境质量现状</w:t>
      </w:r>
      <w:bookmarkEnd w:id="507"/>
      <w:bookmarkEnd w:id="508"/>
      <w:bookmarkEnd w:id="509"/>
      <w:bookmarkEnd w:id="510"/>
      <w:bookmarkEnd w:id="511"/>
      <w:bookmarkEnd w:id="512"/>
      <w:bookmarkEnd w:id="513"/>
    </w:p>
    <w:p>
      <w:pPr>
        <w:ind w:firstLine="480" w:firstLineChars="200"/>
        <w:rPr>
          <w:rFonts w:hint="default"/>
          <w:color w:val="auto"/>
          <w:highlight w:val="none"/>
        </w:rPr>
      </w:pPr>
      <w:r>
        <w:rPr>
          <w:rFonts w:hint="default"/>
          <w:color w:val="auto"/>
          <w:highlight w:val="none"/>
        </w:rPr>
        <w:t>建设单位委托</w:t>
      </w:r>
      <w:r>
        <w:rPr>
          <w:rFonts w:hint="eastAsia"/>
          <w:color w:val="auto"/>
          <w:highlight w:val="none"/>
          <w:lang w:val="en-US" w:eastAsia="zh-CN"/>
        </w:rPr>
        <w:t>云南天倪检测有限公司</w:t>
      </w:r>
      <w:r>
        <w:rPr>
          <w:rFonts w:hint="default"/>
          <w:color w:val="auto"/>
          <w:highlight w:val="none"/>
        </w:rPr>
        <w:t>于</w:t>
      </w:r>
      <w:r>
        <w:rPr>
          <w:rFonts w:hint="eastAsia"/>
          <w:color w:val="auto"/>
          <w:highlight w:val="none"/>
          <w:lang w:val="en-US" w:eastAsia="zh-CN"/>
        </w:rPr>
        <w:t>2023</w:t>
      </w:r>
      <w:r>
        <w:rPr>
          <w:rFonts w:hint="default"/>
          <w:color w:val="auto"/>
          <w:highlight w:val="none"/>
        </w:rPr>
        <w:t>年</w:t>
      </w:r>
      <w:r>
        <w:rPr>
          <w:rFonts w:hint="eastAsia"/>
          <w:color w:val="auto"/>
          <w:highlight w:val="none"/>
          <w:lang w:val="en-US" w:eastAsia="zh-CN"/>
        </w:rPr>
        <w:t>12</w:t>
      </w:r>
      <w:r>
        <w:rPr>
          <w:rFonts w:hint="default"/>
          <w:color w:val="auto"/>
          <w:highlight w:val="none"/>
        </w:rPr>
        <w:t>月</w:t>
      </w:r>
      <w:r>
        <w:rPr>
          <w:rFonts w:hint="eastAsia"/>
          <w:color w:val="auto"/>
          <w:highlight w:val="none"/>
          <w:lang w:val="en-US" w:eastAsia="zh-CN"/>
        </w:rPr>
        <w:t>28</w:t>
      </w:r>
      <w:r>
        <w:rPr>
          <w:rFonts w:hint="default"/>
          <w:color w:val="auto"/>
          <w:highlight w:val="none"/>
        </w:rPr>
        <w:t>日</w:t>
      </w:r>
      <w:r>
        <w:rPr>
          <w:rFonts w:hint="eastAsia"/>
          <w:color w:val="auto"/>
          <w:highlight w:val="none"/>
          <w:lang w:val="en-US" w:eastAsia="zh-CN"/>
        </w:rPr>
        <w:t>~2023年12月29日</w:t>
      </w:r>
      <w:r>
        <w:rPr>
          <w:rFonts w:hint="default"/>
          <w:color w:val="auto"/>
          <w:highlight w:val="none"/>
        </w:rPr>
        <w:t>，对各监测点位进行了为期两天的声环境现状监测。</w:t>
      </w:r>
    </w:p>
    <w:p>
      <w:pPr>
        <w:rPr>
          <w:rFonts w:hint="default"/>
          <w:color w:val="auto"/>
          <w:highlight w:val="none"/>
        </w:rPr>
      </w:pPr>
      <w:r>
        <w:rPr>
          <w:rFonts w:hint="default"/>
          <w:color w:val="auto"/>
          <w:highlight w:val="none"/>
        </w:rPr>
        <w:t>（1）监测点布置</w:t>
      </w:r>
    </w:p>
    <w:p>
      <w:pPr>
        <w:ind w:firstLine="480" w:firstLineChars="200"/>
        <w:rPr>
          <w:rFonts w:hint="default"/>
          <w:color w:val="auto"/>
          <w:highlight w:val="none"/>
        </w:rPr>
      </w:pPr>
      <w:r>
        <w:rPr>
          <w:rFonts w:hint="default"/>
          <w:color w:val="auto"/>
          <w:highlight w:val="none"/>
        </w:rPr>
        <w:t>本次环评共布设</w:t>
      </w:r>
      <w:r>
        <w:rPr>
          <w:rFonts w:hint="eastAsia"/>
          <w:color w:val="auto"/>
          <w:highlight w:val="none"/>
          <w:lang w:val="en-US" w:eastAsia="zh-CN"/>
        </w:rPr>
        <w:t>9</w:t>
      </w:r>
      <w:r>
        <w:rPr>
          <w:rFonts w:hint="default"/>
          <w:color w:val="auto"/>
          <w:highlight w:val="none"/>
        </w:rPr>
        <w:t>个噪声敏感监测点，分别为：</w:t>
      </w:r>
      <w:r>
        <w:rPr>
          <w:rFonts w:hint="eastAsia" w:ascii="Times New Roman" w:hAnsi="Times New Roman" w:cs="Times New Roman"/>
          <w:color w:val="auto"/>
          <w:kern w:val="0"/>
          <w:sz w:val="24"/>
          <w:szCs w:val="24"/>
          <w:highlight w:val="none"/>
          <w:lang w:val="en-US" w:eastAsia="zh-CN"/>
        </w:rPr>
        <w:t>1#金马村；2#阿洒姑村；3#</w:t>
      </w:r>
      <w:r>
        <w:rPr>
          <w:rFonts w:hint="eastAsia" w:cs="Times New Roman"/>
          <w:color w:val="0000FF"/>
          <w:kern w:val="0"/>
          <w:sz w:val="24"/>
          <w:szCs w:val="24"/>
          <w:highlight w:val="none"/>
          <w:lang w:val="en-US" w:eastAsia="zh-CN"/>
        </w:rPr>
        <w:t>华峰</w:t>
      </w:r>
      <w:r>
        <w:rPr>
          <w:rFonts w:hint="eastAsia" w:ascii="Times New Roman" w:hAnsi="Times New Roman" w:cs="Times New Roman"/>
          <w:color w:val="0000FF"/>
          <w:kern w:val="0"/>
          <w:sz w:val="24"/>
          <w:szCs w:val="24"/>
          <w:highlight w:val="none"/>
          <w:lang w:val="en-US" w:eastAsia="zh-CN"/>
        </w:rPr>
        <w:t>村</w:t>
      </w:r>
      <w:r>
        <w:rPr>
          <w:rFonts w:hint="eastAsia" w:ascii="Times New Roman" w:hAnsi="Times New Roman" w:cs="Times New Roman"/>
          <w:color w:val="auto"/>
          <w:kern w:val="0"/>
          <w:sz w:val="24"/>
          <w:szCs w:val="24"/>
          <w:highlight w:val="none"/>
          <w:lang w:val="en-US" w:eastAsia="zh-CN"/>
        </w:rPr>
        <w:t>；4#羊拉昔村；5#姜驿乡；6#红坡村；7#姜驿大村；8#拉黑沟村；9#白秧树村</w:t>
      </w:r>
      <w:r>
        <w:rPr>
          <w:rFonts w:hint="default"/>
          <w:color w:val="auto"/>
          <w:highlight w:val="none"/>
        </w:rPr>
        <w:t>。所布敏感监测点均处于会受到施工影响的位置。</w:t>
      </w:r>
    </w:p>
    <w:p>
      <w:pPr>
        <w:rPr>
          <w:rFonts w:hint="default"/>
          <w:color w:val="auto"/>
          <w:highlight w:val="none"/>
        </w:rPr>
      </w:pPr>
      <w:r>
        <w:rPr>
          <w:rFonts w:hint="default"/>
          <w:color w:val="auto"/>
          <w:highlight w:val="none"/>
        </w:rPr>
        <w:t>（2）监测因子</w:t>
      </w:r>
    </w:p>
    <w:p>
      <w:pPr>
        <w:ind w:firstLine="480" w:firstLineChars="200"/>
        <w:rPr>
          <w:rFonts w:hint="default"/>
          <w:color w:val="auto"/>
          <w:highlight w:val="none"/>
        </w:rPr>
      </w:pPr>
      <w:r>
        <w:rPr>
          <w:rFonts w:hint="default"/>
          <w:color w:val="auto"/>
          <w:highlight w:val="none"/>
        </w:rPr>
        <w:t>等效A声级L</w:t>
      </w:r>
      <w:r>
        <w:rPr>
          <w:rFonts w:hint="default"/>
          <w:color w:val="auto"/>
          <w:highlight w:val="none"/>
          <w:vertAlign w:val="subscript"/>
        </w:rPr>
        <w:t>Aeq</w:t>
      </w:r>
      <w:r>
        <w:rPr>
          <w:rFonts w:hint="default"/>
          <w:color w:val="auto"/>
          <w:highlight w:val="none"/>
        </w:rPr>
        <w:t>。</w:t>
      </w:r>
    </w:p>
    <w:p>
      <w:pPr>
        <w:rPr>
          <w:rFonts w:hint="default"/>
          <w:color w:val="auto"/>
          <w:highlight w:val="none"/>
        </w:rPr>
      </w:pPr>
      <w:r>
        <w:rPr>
          <w:rFonts w:hint="default"/>
          <w:color w:val="auto"/>
          <w:highlight w:val="none"/>
        </w:rPr>
        <w:t>（3）监测频次</w:t>
      </w:r>
    </w:p>
    <w:p>
      <w:pPr>
        <w:ind w:firstLine="480" w:firstLineChars="200"/>
        <w:rPr>
          <w:rFonts w:hint="default"/>
          <w:color w:val="auto"/>
          <w:highlight w:val="none"/>
        </w:rPr>
      </w:pPr>
      <w:r>
        <w:rPr>
          <w:rFonts w:hint="default"/>
          <w:color w:val="auto"/>
          <w:highlight w:val="none"/>
        </w:rPr>
        <w:t>每个监测点连续监测2天，分昼夜两个时段。</w:t>
      </w:r>
    </w:p>
    <w:p>
      <w:pPr>
        <w:rPr>
          <w:rFonts w:hint="default"/>
          <w:color w:val="auto"/>
          <w:highlight w:val="none"/>
        </w:rPr>
      </w:pPr>
      <w:r>
        <w:rPr>
          <w:rFonts w:hint="default"/>
          <w:color w:val="auto"/>
          <w:highlight w:val="none"/>
        </w:rPr>
        <w:t>（4）监测方法：按</w:t>
      </w:r>
      <w:r>
        <w:rPr>
          <w:rFonts w:hint="default" w:ascii="Times New Roman" w:hAnsi="Times New Roman" w:cs="Times New Roman"/>
          <w:color w:val="0000FF"/>
          <w:highlight w:val="none"/>
          <w:lang w:val="en-US" w:eastAsia="zh-CN"/>
        </w:rPr>
        <w:t>《声环境质量标准》</w:t>
      </w:r>
      <w:r>
        <w:rPr>
          <w:rFonts w:hint="eastAsia" w:cs="Times New Roman"/>
          <w:color w:val="0000FF"/>
          <w:highlight w:val="none"/>
          <w:lang w:val="en-US" w:eastAsia="zh-CN"/>
        </w:rPr>
        <w:t>（</w:t>
      </w:r>
      <w:r>
        <w:rPr>
          <w:rFonts w:hint="default" w:ascii="Times New Roman" w:hAnsi="Times New Roman" w:cs="Times New Roman"/>
          <w:color w:val="0000FF"/>
          <w:highlight w:val="none"/>
          <w:lang w:val="en-US" w:eastAsia="zh-CN"/>
        </w:rPr>
        <w:t>GB3096-2008</w:t>
      </w:r>
      <w:r>
        <w:rPr>
          <w:rFonts w:hint="eastAsia" w:cs="Times New Roman"/>
          <w:color w:val="0000FF"/>
          <w:highlight w:val="none"/>
          <w:lang w:val="en-US" w:eastAsia="zh-CN"/>
        </w:rPr>
        <w:t>）1</w:t>
      </w:r>
      <w:r>
        <w:rPr>
          <w:rFonts w:hint="default" w:ascii="Times New Roman" w:hAnsi="Times New Roman" w:cs="Times New Roman"/>
          <w:color w:val="0000FF"/>
          <w:highlight w:val="none"/>
          <w:lang w:val="en-US" w:eastAsia="zh-CN"/>
        </w:rPr>
        <w:t>类区标准</w:t>
      </w:r>
      <w:r>
        <w:rPr>
          <w:rFonts w:hint="default"/>
          <w:color w:val="auto"/>
          <w:highlight w:val="none"/>
        </w:rPr>
        <w:t>中的规定要求对测量点进行监测。</w:t>
      </w:r>
    </w:p>
    <w:p>
      <w:pPr>
        <w:rPr>
          <w:rFonts w:hint="default"/>
          <w:color w:val="auto"/>
          <w:highlight w:val="none"/>
        </w:rPr>
      </w:pPr>
      <w:r>
        <w:rPr>
          <w:rFonts w:hint="default"/>
          <w:color w:val="auto"/>
          <w:highlight w:val="none"/>
        </w:rPr>
        <w:t>（5）监测结果：见下表。</w:t>
      </w:r>
    </w:p>
    <w:p>
      <w:pPr>
        <w:pStyle w:val="40"/>
        <w:bidi w:val="0"/>
        <w:spacing w:line="240" w:lineRule="auto"/>
        <w:rPr>
          <w:color w:val="auto"/>
          <w:highlight w:val="none"/>
        </w:rPr>
      </w:pPr>
      <w:r>
        <w:rPr>
          <w:color w:val="auto"/>
          <w:highlight w:val="none"/>
        </w:rPr>
        <w:t>表4.2</w:t>
      </w:r>
      <w:r>
        <w:rPr>
          <w:rFonts w:hint="eastAsia"/>
          <w:color w:val="auto"/>
          <w:highlight w:val="none"/>
          <w:lang w:val="en-US" w:eastAsia="zh-CN"/>
        </w:rPr>
        <w:t>.2</w:t>
      </w:r>
      <w:r>
        <w:rPr>
          <w:color w:val="auto"/>
          <w:highlight w:val="none"/>
        </w:rPr>
        <w:t>-</w:t>
      </w:r>
      <w:r>
        <w:rPr>
          <w:rFonts w:hint="eastAsia"/>
          <w:color w:val="auto"/>
          <w:highlight w:val="none"/>
          <w:lang w:val="en-US" w:eastAsia="zh-CN"/>
        </w:rPr>
        <w:t>1</w:t>
      </w:r>
      <w:r>
        <w:rPr>
          <w:color w:val="auto"/>
          <w:highlight w:val="none"/>
        </w:rPr>
        <w:t xml:space="preserve">  声环境质量监测结果一览表  单位： dB（A）</w:t>
      </w:r>
    </w:p>
    <w:tbl>
      <w:tblPr>
        <w:tblStyle w:val="57"/>
        <w:tblW w:w="85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00"/>
        <w:gridCol w:w="809"/>
        <w:gridCol w:w="1516"/>
        <w:gridCol w:w="835"/>
        <w:gridCol w:w="871"/>
        <w:gridCol w:w="873"/>
        <w:gridCol w:w="835"/>
        <w:gridCol w:w="833"/>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85" w:hRule="atLeast"/>
          <w:jc w:val="center"/>
        </w:trPr>
        <w:tc>
          <w:tcPr>
            <w:tcW w:w="1200"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检测点位</w:t>
            </w:r>
          </w:p>
        </w:tc>
        <w:tc>
          <w:tcPr>
            <w:tcW w:w="809"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主要</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声源</w:t>
            </w: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检测日期</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昼间</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标准值</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是否达 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夜间</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标准</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值</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是否</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1200"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lang w:val="en-US" w:eastAsia="zh-CN"/>
              </w:rPr>
              <w:t>1#金马村</w:t>
            </w:r>
          </w:p>
        </w:tc>
        <w:tc>
          <w:tcPr>
            <w:tcW w:w="809"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color w:val="auto"/>
                <w:highlight w:val="none"/>
              </w:rPr>
            </w:pPr>
            <w:r>
              <w:rPr>
                <w:color w:val="auto"/>
                <w:highlight w:val="none"/>
              </w:rPr>
              <w:t>环境</w:t>
            </w: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28</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52</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43</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1200"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29</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52</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42</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1200"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rPr>
              <w:t>2#阿洒姑村</w:t>
            </w: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kern w:val="0"/>
                <w:sz w:val="21"/>
                <w:szCs w:val="21"/>
                <w:highlight w:val="none"/>
                <w:lang w:val="en-US" w:eastAsia="zh-CN" w:bidi="ar-SA"/>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28</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53</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42</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jc w:val="center"/>
        </w:trPr>
        <w:tc>
          <w:tcPr>
            <w:tcW w:w="1200"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29</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53</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43</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jc w:val="center"/>
        </w:trPr>
        <w:tc>
          <w:tcPr>
            <w:tcW w:w="1200"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rPr>
              <w:t>3#</w:t>
            </w:r>
            <w:r>
              <w:rPr>
                <w:rFonts w:hint="eastAsia"/>
                <w:color w:val="auto"/>
                <w:highlight w:val="none"/>
                <w:lang w:eastAsia="zh-CN"/>
              </w:rPr>
              <w:t>华峰</w:t>
            </w:r>
            <w:r>
              <w:rPr>
                <w:rFonts w:hint="eastAsia"/>
                <w:color w:val="auto"/>
                <w:highlight w:val="none"/>
              </w:rPr>
              <w:t>村</w:t>
            </w: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kern w:val="0"/>
                <w:sz w:val="21"/>
                <w:szCs w:val="21"/>
                <w:highlight w:val="none"/>
                <w:lang w:val="en-US" w:eastAsia="zh-CN" w:bidi="ar-SA"/>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28</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51</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43</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1200"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29</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54</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44</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1200"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rPr>
              <w:t>4#羊拉昔村</w:t>
            </w: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kern w:val="0"/>
                <w:sz w:val="21"/>
                <w:szCs w:val="21"/>
                <w:highlight w:val="none"/>
                <w:lang w:val="en-US" w:eastAsia="zh-CN" w:bidi="ar-SA"/>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28</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52</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43</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1200"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29</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52</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43</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jc w:val="center"/>
        </w:trPr>
        <w:tc>
          <w:tcPr>
            <w:tcW w:w="1200"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rPr>
              <w:t>5#姜驿乡</w:t>
            </w: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kern w:val="0"/>
                <w:sz w:val="21"/>
                <w:szCs w:val="21"/>
                <w:highlight w:val="none"/>
                <w:lang w:val="en-US" w:eastAsia="zh-CN" w:bidi="ar-SA"/>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28</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54</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42</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1200"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29</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53</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43</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1200"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rPr>
              <w:t>6#红坡村</w:t>
            </w: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kern w:val="0"/>
                <w:sz w:val="21"/>
                <w:szCs w:val="21"/>
                <w:highlight w:val="none"/>
                <w:lang w:val="en-US" w:eastAsia="zh-CN" w:bidi="ar-SA"/>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28</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52</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44</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1200"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29</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51</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43</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1200"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rPr>
              <w:t>7#姜驿大村</w:t>
            </w: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kern w:val="0"/>
                <w:sz w:val="21"/>
                <w:szCs w:val="21"/>
                <w:highlight w:val="none"/>
                <w:lang w:val="en-US" w:eastAsia="zh-CN" w:bidi="ar-SA"/>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28</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54</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42</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1200"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29</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53</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43</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1200"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rPr>
              <w:t>8#拉黑沟村</w:t>
            </w: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kern w:val="0"/>
                <w:sz w:val="21"/>
                <w:szCs w:val="21"/>
                <w:highlight w:val="none"/>
                <w:lang w:val="en-US" w:eastAsia="zh-CN" w:bidi="ar-SA"/>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28</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52</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44</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1200"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29</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52</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42</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jc w:val="center"/>
        </w:trPr>
        <w:tc>
          <w:tcPr>
            <w:tcW w:w="1200" w:type="dxa"/>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rFonts w:hint="eastAsia"/>
                <w:color w:val="auto"/>
                <w:highlight w:val="none"/>
              </w:rPr>
              <w:t>9#白秧树村</w:t>
            </w: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ascii="Times New Roman" w:hAnsi="Times New Roman" w:eastAsia="宋" w:cs="Times New Roman"/>
                <w:color w:val="auto"/>
                <w:kern w:val="0"/>
                <w:sz w:val="21"/>
                <w:szCs w:val="21"/>
                <w:highlight w:val="none"/>
                <w:lang w:val="en-US" w:eastAsia="zh-CN" w:bidi="ar-SA"/>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28</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53</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43</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atLeast"/>
          <w:jc w:val="center"/>
        </w:trPr>
        <w:tc>
          <w:tcPr>
            <w:tcW w:w="1200"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809" w:type="dxa"/>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151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202</w:t>
            </w:r>
            <w:r>
              <w:rPr>
                <w:rFonts w:hint="eastAsia"/>
                <w:color w:val="auto"/>
                <w:highlight w:val="none"/>
                <w:lang w:val="en-US" w:eastAsia="zh-CN"/>
              </w:rPr>
              <w:t>3</w:t>
            </w:r>
            <w:r>
              <w:rPr>
                <w:color w:val="auto"/>
                <w:highlight w:val="none"/>
              </w:rPr>
              <w:t>.12.</w:t>
            </w:r>
            <w:r>
              <w:rPr>
                <w:rFonts w:hint="eastAsia"/>
                <w:color w:val="auto"/>
                <w:highlight w:val="none"/>
                <w:lang w:val="en-US" w:eastAsia="zh-CN"/>
              </w:rPr>
              <w:t>29</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53</w:t>
            </w:r>
          </w:p>
        </w:tc>
        <w:tc>
          <w:tcPr>
            <w:tcW w:w="871"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55</w:t>
            </w:r>
          </w:p>
        </w:tc>
        <w:tc>
          <w:tcPr>
            <w:tcW w:w="87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c>
          <w:tcPr>
            <w:tcW w:w="83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hint="default" w:eastAsia="宋"/>
                <w:color w:val="auto"/>
                <w:highlight w:val="none"/>
                <w:lang w:val="en-US" w:eastAsia="zh-CN"/>
              </w:rPr>
            </w:pPr>
            <w:r>
              <w:rPr>
                <w:rFonts w:hint="eastAsia"/>
                <w:color w:val="auto"/>
                <w:highlight w:val="none"/>
                <w:lang w:val="en-US" w:eastAsia="zh-CN"/>
              </w:rPr>
              <w:t>44</w:t>
            </w:r>
          </w:p>
        </w:tc>
        <w:tc>
          <w:tcPr>
            <w:tcW w:w="833"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rFonts w:ascii="Times New Roman" w:hAnsi="Times New Roman" w:eastAsia="宋" w:cs="Times New Roman"/>
                <w:color w:val="auto"/>
                <w:kern w:val="0"/>
                <w:sz w:val="21"/>
                <w:szCs w:val="21"/>
                <w:highlight w:val="none"/>
                <w:lang w:val="en-US" w:eastAsia="zh-CN" w:bidi="ar-SA"/>
              </w:rPr>
            </w:pPr>
            <w:r>
              <w:rPr>
                <w:color w:val="auto"/>
                <w:highlight w:val="none"/>
              </w:rPr>
              <w:t>45</w:t>
            </w:r>
          </w:p>
        </w:tc>
        <w:tc>
          <w:tcPr>
            <w:tcW w:w="825"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达标</w:t>
            </w:r>
          </w:p>
        </w:tc>
      </w:tr>
    </w:tbl>
    <w:p>
      <w:pPr>
        <w:ind w:firstLine="480" w:firstLineChars="200"/>
        <w:rPr>
          <w:rFonts w:hint="eastAsia" w:ascii="Times New Roman" w:hAnsi="Times New Roman" w:cs="Times New Roman"/>
          <w:color w:val="auto"/>
          <w:highlight w:val="none"/>
          <w:lang w:val="en-US" w:eastAsia="zh-CN"/>
        </w:rPr>
      </w:pPr>
      <w:r>
        <w:rPr>
          <w:rFonts w:hint="eastAsia"/>
          <w:color w:val="auto"/>
          <w:highlight w:val="none"/>
          <w:lang w:val="en-US" w:eastAsia="zh-CN"/>
        </w:rPr>
        <w:t>根据表4.2.2-1，</w:t>
      </w:r>
      <w:r>
        <w:rPr>
          <w:rFonts w:hint="eastAsia" w:ascii="Times New Roman" w:hAnsi="Times New Roman" w:cs="Times New Roman"/>
          <w:color w:val="auto"/>
          <w:kern w:val="0"/>
          <w:sz w:val="24"/>
          <w:szCs w:val="24"/>
          <w:highlight w:val="none"/>
          <w:lang w:val="en-US" w:eastAsia="zh-CN"/>
        </w:rPr>
        <w:t>1#金马村；2#阿洒姑村；3#</w:t>
      </w:r>
      <w:r>
        <w:rPr>
          <w:rFonts w:hint="eastAsia" w:cs="Times New Roman"/>
          <w:color w:val="auto"/>
          <w:kern w:val="0"/>
          <w:sz w:val="24"/>
          <w:szCs w:val="24"/>
          <w:highlight w:val="none"/>
          <w:lang w:val="en-US" w:eastAsia="zh-CN"/>
        </w:rPr>
        <w:t>华峰</w:t>
      </w:r>
      <w:r>
        <w:rPr>
          <w:rFonts w:hint="eastAsia" w:ascii="Times New Roman" w:hAnsi="Times New Roman" w:cs="Times New Roman"/>
          <w:color w:val="auto"/>
          <w:kern w:val="0"/>
          <w:sz w:val="24"/>
          <w:szCs w:val="24"/>
          <w:highlight w:val="none"/>
          <w:lang w:val="en-US" w:eastAsia="zh-CN"/>
        </w:rPr>
        <w:t>村；4#羊拉昔村；5#姜驿乡；6#红坡村；7#姜驿大村；8#拉黑沟村；9#白秧树村均能满足</w:t>
      </w:r>
      <w:r>
        <w:rPr>
          <w:rFonts w:hint="default" w:ascii="Times New Roman" w:hAnsi="Times New Roman" w:cs="Times New Roman"/>
          <w:color w:val="0000FF"/>
          <w:highlight w:val="none"/>
          <w:lang w:val="en-US" w:eastAsia="zh-CN"/>
        </w:rPr>
        <w:t>《声环境质量标准》</w:t>
      </w:r>
      <w:r>
        <w:rPr>
          <w:rFonts w:hint="eastAsia" w:cs="Times New Roman"/>
          <w:color w:val="0000FF"/>
          <w:highlight w:val="none"/>
          <w:lang w:val="en-US" w:eastAsia="zh-CN"/>
        </w:rPr>
        <w:t>（</w:t>
      </w:r>
      <w:r>
        <w:rPr>
          <w:rFonts w:hint="default" w:ascii="Times New Roman" w:hAnsi="Times New Roman" w:cs="Times New Roman"/>
          <w:color w:val="0000FF"/>
          <w:highlight w:val="none"/>
          <w:lang w:val="en-US" w:eastAsia="zh-CN"/>
        </w:rPr>
        <w:t>GB3096-2008</w:t>
      </w:r>
      <w:r>
        <w:rPr>
          <w:rFonts w:hint="eastAsia" w:cs="Times New Roman"/>
          <w:color w:val="0000FF"/>
          <w:highlight w:val="none"/>
          <w:lang w:val="en-US" w:eastAsia="zh-CN"/>
        </w:rPr>
        <w:t>）1</w:t>
      </w:r>
      <w:r>
        <w:rPr>
          <w:rFonts w:hint="default" w:ascii="Times New Roman" w:hAnsi="Times New Roman" w:cs="Times New Roman"/>
          <w:color w:val="0000FF"/>
          <w:highlight w:val="none"/>
          <w:lang w:val="en-US" w:eastAsia="zh-CN"/>
        </w:rPr>
        <w:t>类区标准</w:t>
      </w:r>
      <w:r>
        <w:rPr>
          <w:rFonts w:hint="eastAsia" w:ascii="Times New Roman" w:hAnsi="Times New Roman" w:cs="Times New Roman"/>
          <w:color w:val="0000FF"/>
          <w:highlight w:val="none"/>
          <w:lang w:val="en-US" w:eastAsia="zh-CN"/>
        </w:rPr>
        <w:t>。</w:t>
      </w:r>
    </w:p>
    <w:p>
      <w:pPr>
        <w:pStyle w:val="4"/>
        <w:numPr>
          <w:ilvl w:val="2"/>
          <w:numId w:val="1"/>
        </w:numPr>
        <w:bidi w:val="0"/>
        <w:rPr>
          <w:rFonts w:hint="default"/>
          <w:color w:val="auto"/>
        </w:rPr>
      </w:pPr>
      <w:bookmarkStart w:id="514" w:name="_Toc11646"/>
      <w:bookmarkStart w:id="515" w:name="_Toc17217"/>
      <w:bookmarkStart w:id="516" w:name="_Toc11980"/>
      <w:bookmarkStart w:id="517" w:name="_Toc1668"/>
      <w:bookmarkStart w:id="518" w:name="_Toc19359"/>
      <w:bookmarkStart w:id="519" w:name="_Toc9936"/>
      <w:bookmarkStart w:id="520" w:name="_Toc1104"/>
      <w:bookmarkStart w:id="521" w:name="_Toc6480"/>
      <w:r>
        <w:rPr>
          <w:rFonts w:hint="eastAsia"/>
          <w:color w:val="auto"/>
          <w:lang w:eastAsia="zh-CN"/>
        </w:rPr>
        <w:t>地表水</w:t>
      </w:r>
      <w:r>
        <w:rPr>
          <w:rFonts w:hint="default"/>
          <w:color w:val="auto"/>
        </w:rPr>
        <w:t>质量现状</w:t>
      </w:r>
      <w:bookmarkEnd w:id="514"/>
      <w:bookmarkEnd w:id="515"/>
      <w:bookmarkEnd w:id="516"/>
      <w:bookmarkEnd w:id="517"/>
      <w:bookmarkEnd w:id="518"/>
      <w:bookmarkEnd w:id="519"/>
      <w:bookmarkEnd w:id="520"/>
      <w:bookmarkEnd w:id="521"/>
    </w:p>
    <w:p>
      <w:pPr>
        <w:pStyle w:val="5"/>
        <w:numPr>
          <w:ilvl w:val="3"/>
          <w:numId w:val="18"/>
        </w:numPr>
        <w:tabs>
          <w:tab w:val="clear" w:pos="0"/>
        </w:tabs>
        <w:bidi w:val="0"/>
        <w:ind w:left="0" w:leftChars="0" w:firstLine="0" w:firstLineChars="0"/>
        <w:rPr>
          <w:rFonts w:hint="default" w:ascii="Times New Roman" w:hAnsi="Times New Roman" w:cs="Times New Roman"/>
          <w:color w:val="0000FF"/>
          <w:highlight w:val="none"/>
        </w:rPr>
      </w:pPr>
      <w:r>
        <w:rPr>
          <w:rFonts w:hint="default" w:ascii="Times New Roman" w:hAnsi="Times New Roman" w:cs="Times New Roman"/>
          <w:color w:val="0000FF"/>
          <w:highlight w:val="none"/>
        </w:rPr>
        <w:t>污染源调查</w:t>
      </w:r>
    </w:p>
    <w:p>
      <w:pPr>
        <w:ind w:firstLine="480"/>
        <w:rPr>
          <w:rFonts w:hint="default" w:ascii="Times New Roman" w:hAnsi="Times New Roman" w:eastAsia="宋体" w:cs="Times New Roman"/>
          <w:color w:val="0000FF"/>
          <w:highlight w:val="none"/>
          <w:lang w:val="en-US" w:eastAsia="zh-CN"/>
        </w:rPr>
      </w:pPr>
      <w:r>
        <w:rPr>
          <w:rFonts w:hint="default" w:ascii="Times New Roman" w:hAnsi="Times New Roman" w:cs="Times New Roman"/>
          <w:color w:val="0000FF"/>
          <w:highlight w:val="none"/>
        </w:rPr>
        <w:t>本次环评采用实地查勘、资料收集的方式进行了污染源调查。区内现状没有工矿等排污企业，无工业污染源，主要污染源为农村非点源污染源，由于</w:t>
      </w:r>
      <w:r>
        <w:rPr>
          <w:rFonts w:hint="eastAsia" w:cs="Times New Roman"/>
          <w:color w:val="0000FF"/>
          <w:highlight w:val="none"/>
          <w:lang w:val="en-US" w:eastAsia="zh-CN"/>
        </w:rPr>
        <w:t>灌</w:t>
      </w:r>
      <w:r>
        <w:rPr>
          <w:rFonts w:hint="default" w:ascii="Times New Roman" w:hAnsi="Times New Roman" w:cs="Times New Roman"/>
          <w:color w:val="0000FF"/>
          <w:highlight w:val="none"/>
        </w:rPr>
        <w:t>区内人口及耕地大多分布零散，农村非点源污染物经过沿途径流、入渗地表和植被吸收，进入工程内的污水量小，其特点是以广域的、分散的、微量的形式进入地表水体，主要包括农业面源污染源、农村生活污染源、畜禽养殖污染源</w:t>
      </w:r>
      <w:r>
        <w:rPr>
          <w:rFonts w:hint="default" w:ascii="Times New Roman" w:hAnsi="Times New Roman" w:cs="Times New Roman"/>
          <w:color w:val="0000FF"/>
          <w:highlight w:val="none"/>
          <w:lang w:eastAsia="zh-CN"/>
        </w:rPr>
        <w:t>，</w:t>
      </w:r>
      <w:r>
        <w:rPr>
          <w:rFonts w:hint="default" w:ascii="Times New Roman" w:hAnsi="Times New Roman" w:cs="Times New Roman"/>
          <w:color w:val="0000FF"/>
          <w:highlight w:val="none"/>
          <w:lang w:val="en-US" w:eastAsia="zh-CN"/>
        </w:rPr>
        <w:t>具体如下所述。</w:t>
      </w:r>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（1）工程所在区域农村基本情况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color w:val="0000FF"/>
          <w:highlight w:val="none"/>
          <w:lang w:val="en-US" w:eastAsia="zh-CN"/>
        </w:rPr>
      </w:pPr>
      <w:r>
        <w:rPr>
          <w:rFonts w:hint="eastAsia" w:cs="Times New Roman"/>
          <w:color w:val="0000FF"/>
          <w:highlight w:val="none"/>
          <w:lang w:val="en-US" w:eastAsia="zh-CN"/>
        </w:rPr>
        <w:t>工程灌区</w:t>
      </w:r>
      <w:r>
        <w:rPr>
          <w:rFonts w:hint="default" w:ascii="Times New Roman" w:hAnsi="Times New Roman" w:cs="Times New Roman"/>
          <w:color w:val="0000FF"/>
          <w:highlight w:val="none"/>
          <w:lang w:val="en-US" w:eastAsia="zh-CN"/>
        </w:rPr>
        <w:t>农村基本情况详见下表。</w:t>
      </w:r>
    </w:p>
    <w:p>
      <w:pPr>
        <w:spacing w:line="240" w:lineRule="auto"/>
        <w:ind w:firstLine="482"/>
        <w:jc w:val="center"/>
        <w:rPr>
          <w:rFonts w:hint="default" w:ascii="Times New Roman" w:hAnsi="Times New Roman" w:cs="Times New Roman"/>
          <w:b/>
          <w:bCs/>
          <w:color w:val="0000FF"/>
          <w:highlight w:val="none"/>
        </w:rPr>
      </w:pPr>
      <w:r>
        <w:rPr>
          <w:rFonts w:hint="default" w:ascii="Times New Roman" w:hAnsi="Times New Roman" w:cs="Times New Roman"/>
          <w:b/>
          <w:bCs/>
          <w:color w:val="0000FF"/>
          <w:highlight w:val="yellow"/>
        </w:rPr>
        <w:t>表</w:t>
      </w:r>
      <w:r>
        <w:rPr>
          <w:rFonts w:hint="eastAsia" w:cs="Times New Roman"/>
          <w:b/>
          <w:bCs/>
          <w:color w:val="0000FF"/>
          <w:highlight w:val="yellow"/>
          <w:lang w:val="en-US" w:eastAsia="zh-CN"/>
        </w:rPr>
        <w:t>4</w:t>
      </w:r>
      <w:r>
        <w:rPr>
          <w:rFonts w:hint="default" w:ascii="Times New Roman" w:hAnsi="Times New Roman" w:cs="Times New Roman"/>
          <w:b/>
          <w:bCs/>
          <w:color w:val="0000FF"/>
          <w:highlight w:val="yellow"/>
        </w:rPr>
        <w:t>.2.2-</w:t>
      </w:r>
      <w:r>
        <w:rPr>
          <w:rFonts w:hint="eastAsia" w:cs="Times New Roman"/>
          <w:b/>
          <w:bCs/>
          <w:color w:val="0000FF"/>
          <w:highlight w:val="yellow"/>
          <w:lang w:val="en-US" w:eastAsia="zh-CN"/>
        </w:rPr>
        <w:t>2</w:t>
      </w:r>
      <w:r>
        <w:rPr>
          <w:rFonts w:hint="default" w:ascii="Times New Roman" w:hAnsi="Times New Roman" w:cs="Times New Roman"/>
          <w:b/>
          <w:bCs/>
          <w:color w:val="0000FF"/>
          <w:highlight w:val="yellow"/>
        </w:rPr>
        <w:t xml:space="preserve"> </w:t>
      </w:r>
      <w:r>
        <w:rPr>
          <w:rFonts w:hint="default" w:ascii="Times New Roman" w:hAnsi="Times New Roman" w:cs="Times New Roman"/>
          <w:b/>
          <w:bCs/>
          <w:color w:val="0000FF"/>
          <w:highlight w:val="none"/>
        </w:rPr>
        <w:t xml:space="preserve">  </w:t>
      </w:r>
      <w:r>
        <w:rPr>
          <w:rFonts w:hint="default" w:ascii="Times New Roman" w:hAnsi="Times New Roman" w:cs="Times New Roman"/>
          <w:b/>
          <w:bCs/>
          <w:color w:val="0000FF"/>
          <w:highlight w:val="none"/>
          <w:lang w:val="en-US" w:eastAsia="zh-CN"/>
        </w:rPr>
        <w:t>工程涉及</w:t>
      </w:r>
      <w:r>
        <w:rPr>
          <w:rFonts w:hint="default" w:ascii="Times New Roman" w:hAnsi="Times New Roman" w:cs="Times New Roman"/>
          <w:b/>
          <w:bCs/>
          <w:color w:val="0000FF"/>
          <w:highlight w:val="none"/>
        </w:rPr>
        <w:t>农业农村基本情况一览表</w:t>
      </w:r>
    </w:p>
    <w:tbl>
      <w:tblPr>
        <w:tblStyle w:val="57"/>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01"/>
        <w:gridCol w:w="507"/>
        <w:gridCol w:w="1491"/>
        <w:gridCol w:w="2410"/>
        <w:gridCol w:w="731"/>
        <w:gridCol w:w="665"/>
        <w:gridCol w:w="665"/>
        <w:gridCol w:w="667"/>
        <w:gridCol w:w="66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6" w:hRule="atLeast"/>
        </w:trPr>
        <w:tc>
          <w:tcPr>
            <w:tcW w:w="302"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r>
              <w:rPr>
                <w:color w:val="0000FF"/>
                <w:spacing w:val="-3"/>
              </w:rPr>
              <w:t>灌区</w:t>
            </w:r>
          </w:p>
        </w:tc>
        <w:tc>
          <w:tcPr>
            <w:tcW w:w="305"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r>
              <w:rPr>
                <w:color w:val="0000FF"/>
                <w:spacing w:val="-12"/>
                <w:position w:val="7"/>
              </w:rPr>
              <w:t>乡、</w:t>
            </w:r>
          </w:p>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r>
              <w:rPr>
                <w:color w:val="0000FF"/>
              </w:rPr>
              <w:t>镇</w:t>
            </w:r>
          </w:p>
        </w:tc>
        <w:tc>
          <w:tcPr>
            <w:tcW w:w="89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r>
              <w:rPr>
                <w:color w:val="0000FF"/>
                <w:spacing w:val="-3"/>
              </w:rPr>
              <w:t>村委会</w:t>
            </w:r>
          </w:p>
        </w:tc>
        <w:tc>
          <w:tcPr>
            <w:tcW w:w="1450"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r>
              <w:rPr>
                <w:color w:val="0000FF"/>
                <w:spacing w:val="-10"/>
              </w:rPr>
              <w:t>自然村</w:t>
            </w:r>
          </w:p>
        </w:tc>
        <w:tc>
          <w:tcPr>
            <w:tcW w:w="440"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r>
              <w:rPr>
                <w:color w:val="0000FF"/>
                <w:spacing w:val="-5"/>
              </w:rPr>
              <w:t>户数</w:t>
            </w:r>
            <w:r>
              <w:rPr>
                <w:color w:val="0000FF"/>
                <w:spacing w:val="-10"/>
              </w:rPr>
              <w:t>（户）</w:t>
            </w:r>
          </w:p>
        </w:tc>
        <w:tc>
          <w:tcPr>
            <w:tcW w:w="400"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r>
              <w:rPr>
                <w:color w:val="0000FF"/>
                <w:spacing w:val="-5"/>
              </w:rPr>
              <w:t>总人口</w:t>
            </w:r>
            <w:r>
              <w:rPr>
                <w:color w:val="0000FF"/>
                <w:spacing w:val="-7"/>
              </w:rPr>
              <w:t>（人）</w:t>
            </w:r>
          </w:p>
        </w:tc>
        <w:tc>
          <w:tcPr>
            <w:tcW w:w="400"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r>
              <w:rPr>
                <w:color w:val="0000FF"/>
                <w:spacing w:val="-4"/>
              </w:rPr>
              <w:t>大牲畜</w:t>
            </w:r>
            <w:r>
              <w:rPr>
                <w:color w:val="0000FF"/>
                <w:spacing w:val="-7"/>
              </w:rPr>
              <w:t>（头）</w:t>
            </w:r>
          </w:p>
        </w:tc>
        <w:tc>
          <w:tcPr>
            <w:tcW w:w="401"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r>
              <w:rPr>
                <w:rFonts w:hint="eastAsia"/>
                <w:color w:val="0000FF"/>
                <w:spacing w:val="-5"/>
                <w:lang w:val="en-US" w:eastAsia="zh-CN"/>
              </w:rPr>
              <w:t>猪</w:t>
            </w:r>
            <w:r>
              <w:rPr>
                <w:color w:val="0000FF"/>
                <w:spacing w:val="-7"/>
              </w:rPr>
              <w:t>（头）</w:t>
            </w:r>
          </w:p>
        </w:tc>
        <w:tc>
          <w:tcPr>
            <w:tcW w:w="401"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r>
              <w:rPr>
                <w:color w:val="0000FF"/>
                <w:spacing w:val="-3"/>
              </w:rPr>
              <w:t>耕地面</w:t>
            </w:r>
            <w:r>
              <w:rPr>
                <w:color w:val="0000FF"/>
              </w:rPr>
              <w:t>积</w:t>
            </w:r>
          </w:p>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r>
              <w:rPr>
                <w:color w:val="0000FF"/>
                <w:spacing w:val="-7"/>
              </w:rPr>
              <w:t>（亩）</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302" w:type="pct"/>
            <w:vMerge w:val="restart"/>
            <w:tcBorders>
              <w:bottom w:val="nil"/>
            </w:tcBorders>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r>
              <w:rPr>
                <w:color w:val="0000FF"/>
                <w:spacing w:val="-5"/>
              </w:rPr>
              <w:t>姜驿</w:t>
            </w:r>
            <w:r>
              <w:rPr>
                <w:color w:val="0000FF"/>
                <w:spacing w:val="-6"/>
              </w:rPr>
              <w:t>中型灌区西片</w:t>
            </w:r>
          </w:p>
        </w:tc>
        <w:tc>
          <w:tcPr>
            <w:tcW w:w="305" w:type="pct"/>
            <w:vMerge w:val="restart"/>
            <w:tcBorders>
              <w:bottom w:val="nil"/>
            </w:tcBorders>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r>
              <w:rPr>
                <w:color w:val="0000FF"/>
                <w:spacing w:val="-3"/>
              </w:rPr>
              <w:t>姜驿</w:t>
            </w:r>
            <w:r>
              <w:rPr>
                <w:color w:val="0000FF"/>
              </w:rPr>
              <w:t>乡</w:t>
            </w:r>
          </w:p>
        </w:tc>
        <w:tc>
          <w:tcPr>
            <w:tcW w:w="89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color w:val="0000FF"/>
              </w:rPr>
            </w:pPr>
            <w:r>
              <w:rPr>
                <w:color w:val="0000FF"/>
                <w:spacing w:val="-2"/>
              </w:rPr>
              <w:t>水平石村民委员会</w:t>
            </w:r>
          </w:p>
        </w:tc>
        <w:tc>
          <w:tcPr>
            <w:tcW w:w="1450"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color w:val="0000FF"/>
              </w:rPr>
            </w:pPr>
            <w:r>
              <w:rPr>
                <w:color w:val="0000FF"/>
                <w:spacing w:val="-3"/>
              </w:rPr>
              <w:t>白泥湾、界牌箐、锅圈岩、阿</w:t>
            </w:r>
            <w:r>
              <w:rPr>
                <w:color w:val="0000FF"/>
                <w:spacing w:val="-1"/>
              </w:rPr>
              <w:t>拉益、红花箐、大路边、小海</w:t>
            </w:r>
            <w:r>
              <w:rPr>
                <w:color w:val="0000FF"/>
                <w:spacing w:val="-2"/>
              </w:rPr>
              <w:t>子、水平石</w:t>
            </w:r>
          </w:p>
        </w:tc>
        <w:tc>
          <w:tcPr>
            <w:tcW w:w="44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462</w:t>
            </w:r>
          </w:p>
        </w:tc>
        <w:tc>
          <w:tcPr>
            <w:tcW w:w="4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6"/>
                <w:sz w:val="21"/>
                <w:szCs w:val="21"/>
              </w:rPr>
              <w:t>1594</w:t>
            </w:r>
          </w:p>
        </w:tc>
        <w:tc>
          <w:tcPr>
            <w:tcW w:w="66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693 </w:t>
            </w:r>
          </w:p>
        </w:tc>
        <w:tc>
          <w:tcPr>
            <w:tcW w:w="667"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859</w:t>
            </w:r>
          </w:p>
        </w:tc>
        <w:tc>
          <w:tcPr>
            <w:tcW w:w="40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7317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02" w:type="pct"/>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Arial"/>
                <w:color w:val="0000FF"/>
                <w:sz w:val="21"/>
              </w:rPr>
            </w:pPr>
          </w:p>
        </w:tc>
        <w:tc>
          <w:tcPr>
            <w:tcW w:w="305" w:type="pct"/>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Arial"/>
                <w:color w:val="0000FF"/>
                <w:sz w:val="21"/>
              </w:rPr>
            </w:pPr>
          </w:p>
        </w:tc>
        <w:tc>
          <w:tcPr>
            <w:tcW w:w="89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color w:val="0000FF"/>
              </w:rPr>
            </w:pPr>
            <w:r>
              <w:rPr>
                <w:color w:val="0000FF"/>
                <w:spacing w:val="-2"/>
              </w:rPr>
              <w:t>半箐村民委员会</w:t>
            </w:r>
          </w:p>
        </w:tc>
        <w:tc>
          <w:tcPr>
            <w:tcW w:w="1450"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color w:val="0000FF"/>
              </w:rPr>
            </w:pPr>
            <w:r>
              <w:rPr>
                <w:color w:val="0000FF"/>
                <w:spacing w:val="-1"/>
              </w:rPr>
              <w:t>上半箐、中半箐、半箐村、金</w:t>
            </w:r>
            <w:r>
              <w:rPr>
                <w:color w:val="0000FF"/>
              </w:rPr>
              <w:t>河</w:t>
            </w:r>
          </w:p>
        </w:tc>
        <w:tc>
          <w:tcPr>
            <w:tcW w:w="44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3"/>
                <w:sz w:val="21"/>
                <w:szCs w:val="21"/>
              </w:rPr>
              <w:t>306</w:t>
            </w:r>
          </w:p>
        </w:tc>
        <w:tc>
          <w:tcPr>
            <w:tcW w:w="4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6"/>
                <w:sz w:val="21"/>
                <w:szCs w:val="21"/>
              </w:rPr>
              <w:t>1014</w:t>
            </w:r>
          </w:p>
        </w:tc>
        <w:tc>
          <w:tcPr>
            <w:tcW w:w="66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459 </w:t>
            </w:r>
          </w:p>
        </w:tc>
        <w:tc>
          <w:tcPr>
            <w:tcW w:w="667"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576</w:t>
            </w:r>
          </w:p>
        </w:tc>
        <w:tc>
          <w:tcPr>
            <w:tcW w:w="40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4374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4" w:hRule="atLeast"/>
        </w:trPr>
        <w:tc>
          <w:tcPr>
            <w:tcW w:w="302" w:type="pct"/>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Arial"/>
                <w:color w:val="0000FF"/>
                <w:sz w:val="21"/>
              </w:rPr>
            </w:pPr>
          </w:p>
        </w:tc>
        <w:tc>
          <w:tcPr>
            <w:tcW w:w="305" w:type="pct"/>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Arial"/>
                <w:color w:val="0000FF"/>
                <w:sz w:val="21"/>
              </w:rPr>
            </w:pPr>
          </w:p>
        </w:tc>
        <w:tc>
          <w:tcPr>
            <w:tcW w:w="89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color w:val="0000FF"/>
              </w:rPr>
            </w:pPr>
            <w:r>
              <w:rPr>
                <w:color w:val="0000FF"/>
                <w:spacing w:val="-2"/>
              </w:rPr>
              <w:t>姜驿村民委员会</w:t>
            </w:r>
          </w:p>
        </w:tc>
        <w:tc>
          <w:tcPr>
            <w:tcW w:w="1450"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color w:val="0000FF"/>
              </w:rPr>
            </w:pPr>
            <w:r>
              <w:rPr>
                <w:color w:val="0000FF"/>
                <w:spacing w:val="-1"/>
              </w:rPr>
              <w:t>石头山、黑皮地、红坡、马桑</w:t>
            </w:r>
            <w:r>
              <w:rPr>
                <w:color w:val="0000FF"/>
                <w:spacing w:val="-3"/>
              </w:rPr>
              <w:t>湾、麻地坡、平坦、梨树塆、</w:t>
            </w:r>
            <w:r>
              <w:rPr>
                <w:color w:val="0000FF"/>
                <w:spacing w:val="-1"/>
              </w:rPr>
              <w:t>尼嘎姑、木格拉、邓家湾、姜驿村、大箐底、羊腊昔、坝塘边、火焰山、华峰</w:t>
            </w:r>
          </w:p>
        </w:tc>
        <w:tc>
          <w:tcPr>
            <w:tcW w:w="44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5"/>
                <w:sz w:val="21"/>
                <w:szCs w:val="21"/>
              </w:rPr>
              <w:t>839</w:t>
            </w:r>
          </w:p>
        </w:tc>
        <w:tc>
          <w:tcPr>
            <w:tcW w:w="4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3"/>
                <w:sz w:val="21"/>
                <w:szCs w:val="21"/>
              </w:rPr>
              <w:t>3931</w:t>
            </w:r>
          </w:p>
        </w:tc>
        <w:tc>
          <w:tcPr>
            <w:tcW w:w="66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1259 </w:t>
            </w:r>
          </w:p>
        </w:tc>
        <w:tc>
          <w:tcPr>
            <w:tcW w:w="667"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1198</w:t>
            </w:r>
          </w:p>
        </w:tc>
        <w:tc>
          <w:tcPr>
            <w:tcW w:w="40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4"/>
                <w:sz w:val="21"/>
                <w:szCs w:val="21"/>
              </w:rPr>
              <w:t>8334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02" w:type="pct"/>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Arial"/>
                <w:color w:val="0000FF"/>
                <w:sz w:val="21"/>
              </w:rPr>
            </w:pPr>
          </w:p>
        </w:tc>
        <w:tc>
          <w:tcPr>
            <w:tcW w:w="305"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Arial"/>
                <w:color w:val="0000FF"/>
                <w:sz w:val="21"/>
              </w:rPr>
            </w:pPr>
          </w:p>
        </w:tc>
        <w:tc>
          <w:tcPr>
            <w:tcW w:w="89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color w:val="0000FF"/>
              </w:rPr>
            </w:pPr>
            <w:r>
              <w:rPr>
                <w:color w:val="0000FF"/>
                <w:spacing w:val="-1"/>
              </w:rPr>
              <w:t>糯拉乍村民委员会</w:t>
            </w:r>
          </w:p>
        </w:tc>
        <w:tc>
          <w:tcPr>
            <w:tcW w:w="1450"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color w:val="0000FF"/>
              </w:rPr>
            </w:pPr>
            <w:r>
              <w:rPr>
                <w:color w:val="0000FF"/>
                <w:spacing w:val="-1"/>
              </w:rPr>
              <w:t>糯拉乍村、阿洒姑、根树、田</w:t>
            </w:r>
            <w:r>
              <w:rPr>
                <w:color w:val="0000FF"/>
              </w:rPr>
              <w:t>房</w:t>
            </w:r>
          </w:p>
        </w:tc>
        <w:tc>
          <w:tcPr>
            <w:tcW w:w="44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214</w:t>
            </w:r>
          </w:p>
        </w:tc>
        <w:tc>
          <w:tcPr>
            <w:tcW w:w="4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3"/>
                <w:sz w:val="21"/>
                <w:szCs w:val="21"/>
              </w:rPr>
              <w:t>687</w:t>
            </w:r>
          </w:p>
        </w:tc>
        <w:tc>
          <w:tcPr>
            <w:tcW w:w="66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321 </w:t>
            </w:r>
          </w:p>
        </w:tc>
        <w:tc>
          <w:tcPr>
            <w:tcW w:w="667"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394</w:t>
            </w:r>
          </w:p>
        </w:tc>
        <w:tc>
          <w:tcPr>
            <w:tcW w:w="40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3"/>
                <w:sz w:val="21"/>
                <w:szCs w:val="21"/>
              </w:rPr>
              <w:t>6609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02" w:type="pct"/>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Arial"/>
                <w:color w:val="0000FF"/>
                <w:sz w:val="21"/>
              </w:rPr>
            </w:pPr>
          </w:p>
        </w:tc>
        <w:tc>
          <w:tcPr>
            <w:tcW w:w="305"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r>
              <w:rPr>
                <w:color w:val="0000FF"/>
                <w:spacing w:val="-3"/>
              </w:rPr>
              <w:t>江边</w:t>
            </w:r>
          </w:p>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r>
              <w:rPr>
                <w:color w:val="0000FF"/>
              </w:rPr>
              <w:t>乡</w:t>
            </w:r>
          </w:p>
        </w:tc>
        <w:tc>
          <w:tcPr>
            <w:tcW w:w="897"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color w:val="0000FF"/>
              </w:rPr>
            </w:pPr>
            <w:r>
              <w:rPr>
                <w:color w:val="0000FF"/>
                <w:spacing w:val="-2"/>
              </w:rPr>
              <w:t>盐水井村民委员会</w:t>
            </w:r>
          </w:p>
        </w:tc>
        <w:tc>
          <w:tcPr>
            <w:tcW w:w="1450"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color w:val="0000FF"/>
              </w:rPr>
            </w:pPr>
            <w:r>
              <w:rPr>
                <w:color w:val="0000FF"/>
                <w:spacing w:val="-1"/>
              </w:rPr>
              <w:t>金马、干海子、岔箐口</w:t>
            </w:r>
          </w:p>
        </w:tc>
        <w:tc>
          <w:tcPr>
            <w:tcW w:w="44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8"/>
                <w:sz w:val="21"/>
                <w:szCs w:val="21"/>
              </w:rPr>
              <w:t>195</w:t>
            </w:r>
          </w:p>
        </w:tc>
        <w:tc>
          <w:tcPr>
            <w:tcW w:w="4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3"/>
                <w:sz w:val="21"/>
                <w:szCs w:val="21"/>
              </w:rPr>
              <w:t>663</w:t>
            </w:r>
          </w:p>
        </w:tc>
        <w:tc>
          <w:tcPr>
            <w:tcW w:w="66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293 </w:t>
            </w:r>
          </w:p>
        </w:tc>
        <w:tc>
          <w:tcPr>
            <w:tcW w:w="667"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ascii="Times New Roman" w:hAnsi="Times New Roman" w:eastAsia="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409</w:t>
            </w:r>
          </w:p>
        </w:tc>
        <w:tc>
          <w:tcPr>
            <w:tcW w:w="40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4"/>
                <w:sz w:val="21"/>
                <w:szCs w:val="21"/>
              </w:rPr>
              <w:t>8251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0" w:hRule="atLeast"/>
        </w:trPr>
        <w:tc>
          <w:tcPr>
            <w:tcW w:w="302"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Arial"/>
                <w:color w:val="0000FF"/>
                <w:sz w:val="21"/>
              </w:rPr>
            </w:pPr>
          </w:p>
        </w:tc>
        <w:tc>
          <w:tcPr>
            <w:tcW w:w="305" w:type="pct"/>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both"/>
              <w:textAlignment w:val="auto"/>
              <w:rPr>
                <w:rFonts w:hint="eastAsia" w:eastAsia="宋体"/>
                <w:b w:val="0"/>
                <w:bCs w:val="0"/>
                <w:color w:val="0000FF"/>
                <w:lang w:val="en-US" w:eastAsia="zh-CN"/>
              </w:rPr>
            </w:pPr>
            <w:r>
              <w:rPr>
                <w:rFonts w:hint="eastAsia"/>
                <w:b/>
                <w:bCs/>
                <w:color w:val="0000FF"/>
                <w:lang w:val="en-US" w:eastAsia="zh-CN"/>
              </w:rPr>
              <w:t>总计</w:t>
            </w:r>
          </w:p>
        </w:tc>
        <w:tc>
          <w:tcPr>
            <w:tcW w:w="89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b w:val="0"/>
                <w:bCs w:val="0"/>
                <w:color w:val="0000FF"/>
                <w:sz w:val="21"/>
                <w:szCs w:val="21"/>
              </w:rPr>
            </w:pPr>
          </w:p>
        </w:tc>
        <w:tc>
          <w:tcPr>
            <w:tcW w:w="145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b w:val="0"/>
                <w:bCs w:val="0"/>
                <w:color w:val="0000FF"/>
                <w:sz w:val="21"/>
                <w:szCs w:val="21"/>
              </w:rPr>
            </w:pPr>
          </w:p>
        </w:tc>
        <w:tc>
          <w:tcPr>
            <w:tcW w:w="44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b w:val="0"/>
                <w:bCs w:val="0"/>
                <w:color w:val="0000FF"/>
                <w:sz w:val="21"/>
                <w:szCs w:val="21"/>
              </w:rPr>
            </w:pPr>
            <w:r>
              <w:rPr>
                <w:rFonts w:ascii="Times New Roman" w:hAnsi="Times New Roman" w:eastAsia="Times New Roman" w:cs="Times New Roman"/>
                <w:b w:val="0"/>
                <w:bCs w:val="0"/>
                <w:color w:val="0000FF"/>
                <w:spacing w:val="-2"/>
                <w:sz w:val="21"/>
                <w:szCs w:val="21"/>
              </w:rPr>
              <w:t>2016</w:t>
            </w:r>
          </w:p>
        </w:tc>
        <w:tc>
          <w:tcPr>
            <w:tcW w:w="40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b w:val="0"/>
                <w:bCs w:val="0"/>
                <w:color w:val="0000FF"/>
                <w:sz w:val="21"/>
                <w:szCs w:val="21"/>
              </w:rPr>
            </w:pPr>
            <w:r>
              <w:rPr>
                <w:rFonts w:ascii="Times New Roman" w:hAnsi="Times New Roman" w:eastAsia="Times New Roman" w:cs="Times New Roman"/>
                <w:b w:val="0"/>
                <w:bCs w:val="0"/>
                <w:color w:val="0000FF"/>
                <w:spacing w:val="-2"/>
                <w:sz w:val="21"/>
                <w:szCs w:val="21"/>
              </w:rPr>
              <w:t>7889</w:t>
            </w:r>
          </w:p>
        </w:tc>
        <w:tc>
          <w:tcPr>
            <w:tcW w:w="66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ascii="Times New Roman" w:hAnsi="Times New Roman" w:eastAsia="Times New Roman" w:cs="Times New Roman"/>
                <w:b w:val="0"/>
                <w:bCs w:val="0"/>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3024</w:t>
            </w:r>
          </w:p>
        </w:tc>
        <w:tc>
          <w:tcPr>
            <w:tcW w:w="667"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ascii="Times New Roman" w:hAnsi="Times New Roman" w:eastAsia="Times New Roman" w:cs="Times New Roman"/>
                <w:b w:val="0"/>
                <w:bCs w:val="0"/>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3436</w:t>
            </w:r>
          </w:p>
        </w:tc>
        <w:tc>
          <w:tcPr>
            <w:tcW w:w="40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b w:val="0"/>
                <w:bCs w:val="0"/>
                <w:color w:val="0000FF"/>
                <w:sz w:val="21"/>
                <w:szCs w:val="21"/>
              </w:rPr>
            </w:pPr>
            <w:r>
              <w:rPr>
                <w:rFonts w:ascii="Times New Roman" w:hAnsi="Times New Roman" w:eastAsia="Times New Roman" w:cs="Times New Roman"/>
                <w:b w:val="0"/>
                <w:bCs w:val="0"/>
                <w:color w:val="0000FF"/>
                <w:spacing w:val="-1"/>
                <w:sz w:val="21"/>
                <w:szCs w:val="21"/>
              </w:rPr>
              <w:t>34885</w:t>
            </w:r>
          </w:p>
        </w:tc>
      </w:tr>
    </w:tbl>
    <w:p>
      <w:pPr>
        <w:spacing w:line="240" w:lineRule="auto"/>
        <w:ind w:firstLine="482"/>
        <w:jc w:val="center"/>
        <w:rPr>
          <w:rFonts w:hint="default" w:ascii="Times New Roman" w:hAnsi="Times New Roman" w:cs="Times New Roman"/>
          <w:b/>
          <w:bCs/>
          <w:color w:val="0000FF"/>
          <w:highlight w:val="none"/>
        </w:rPr>
      </w:pPr>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（2）工程所在区域污染负荷</w:t>
      </w:r>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农田生产排污系数据根据《全国水环境容量核算技术指南》给出的排污系数得到，COD产生量按照10kg/（亩·a）计算，氨氮产生量按照0.072 kg/（亩·a）计算，总磷产生量按照0.2kg/（亩·a）计算，总氮产生量按照1.33kg/（亩·a）计算。</w:t>
      </w:r>
    </w:p>
    <w:p>
      <w:pPr>
        <w:ind w:firstLine="480"/>
        <w:rPr>
          <w:rFonts w:hint="default" w:ascii="Times New Roman" w:hAnsi="Times New Roman" w:cs="Times New Roman"/>
          <w:color w:val="0000FF"/>
          <w:highlight w:val="none"/>
        </w:rPr>
        <w:sectPr>
          <w:footerReference r:id="rId12" w:type="default"/>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r>
        <w:rPr>
          <w:rFonts w:hint="default" w:ascii="Times New Roman" w:hAnsi="Times New Roman" w:cs="Times New Roman"/>
          <w:color w:val="0000FF"/>
          <w:highlight w:val="none"/>
        </w:rPr>
        <w:t>由于我国未对县级居民生活污水或污染物产生系数和排放系数进行界定，因此参考《排放源统计调查产排污核算方法和系数手册</w:t>
      </w:r>
      <w:r>
        <w:rPr>
          <w:rFonts w:hint="default" w:ascii="Times New Roman" w:hAnsi="Times New Roman" w:cs="Times New Roman"/>
          <w:color w:val="0000FF"/>
          <w:highlight w:val="none"/>
          <w:lang w:val="en-US" w:eastAsia="zh-CN"/>
        </w:rPr>
        <w:t>--生活污染源产排污系数手册</w:t>
      </w:r>
      <w:r>
        <w:rPr>
          <w:rFonts w:hint="default" w:ascii="Times New Roman" w:hAnsi="Times New Roman" w:cs="Times New Roman"/>
          <w:color w:val="0000FF"/>
          <w:highlight w:val="none"/>
        </w:rPr>
        <w:t>》中居民生活污水污染物产生系数作为参考，生活污水按照</w:t>
      </w:r>
      <w:r>
        <w:rPr>
          <w:rFonts w:hint="default" w:ascii="Times New Roman" w:hAnsi="Times New Roman" w:cs="Times New Roman"/>
          <w:color w:val="0000FF"/>
          <w:highlight w:val="none"/>
          <w:lang w:val="en-US" w:eastAsia="zh-CN"/>
        </w:rPr>
        <w:t>25.37</w:t>
      </w:r>
      <w:r>
        <w:rPr>
          <w:rFonts w:hint="default" w:ascii="Times New Roman" w:hAnsi="Times New Roman" w:cs="Times New Roman"/>
          <w:color w:val="0000FF"/>
          <w:highlight w:val="none"/>
        </w:rPr>
        <w:t>L/（人·d），污染物排放系数按化学需氧量</w:t>
      </w:r>
      <w:r>
        <w:rPr>
          <w:rFonts w:hint="default" w:ascii="Times New Roman" w:hAnsi="Times New Roman" w:cs="Times New Roman"/>
          <w:color w:val="0000FF"/>
          <w:highlight w:val="none"/>
          <w:lang w:val="en-US" w:eastAsia="zh-CN"/>
        </w:rPr>
        <w:t>19.57</w:t>
      </w:r>
      <w:r>
        <w:rPr>
          <w:rFonts w:hint="default" w:ascii="Times New Roman" w:hAnsi="Times New Roman" w:cs="Times New Roman"/>
          <w:color w:val="0000FF"/>
          <w:highlight w:val="none"/>
        </w:rPr>
        <w:t>g/（人·d）、氨氮</w:t>
      </w:r>
      <w:r>
        <w:rPr>
          <w:rFonts w:hint="default" w:ascii="Times New Roman" w:hAnsi="Times New Roman" w:cs="Times New Roman"/>
          <w:color w:val="0000FF"/>
          <w:highlight w:val="none"/>
          <w:lang w:val="en-US" w:eastAsia="zh-CN"/>
        </w:rPr>
        <w:t>0.62</w:t>
      </w:r>
      <w:r>
        <w:rPr>
          <w:rFonts w:hint="default" w:ascii="Times New Roman" w:hAnsi="Times New Roman" w:cs="Times New Roman"/>
          <w:color w:val="0000FF"/>
          <w:highlight w:val="none"/>
        </w:rPr>
        <w:t>g/（人·d）、总磷</w:t>
      </w:r>
      <w:r>
        <w:rPr>
          <w:rFonts w:hint="default" w:ascii="Times New Roman" w:hAnsi="Times New Roman" w:cs="Times New Roman"/>
          <w:color w:val="0000FF"/>
          <w:highlight w:val="none"/>
          <w:lang w:val="en-US" w:eastAsia="zh-CN"/>
        </w:rPr>
        <w:t>0.12</w:t>
      </w:r>
      <w:r>
        <w:rPr>
          <w:rFonts w:hint="default" w:ascii="Times New Roman" w:hAnsi="Times New Roman" w:cs="Times New Roman"/>
          <w:color w:val="0000FF"/>
          <w:highlight w:val="none"/>
        </w:rPr>
        <w:t>g/（人·d）、总氮</w:t>
      </w:r>
      <w:r>
        <w:rPr>
          <w:rFonts w:hint="default" w:ascii="Times New Roman" w:hAnsi="Times New Roman" w:cs="Times New Roman"/>
          <w:color w:val="0000FF"/>
          <w:highlight w:val="none"/>
          <w:lang w:val="en-US" w:eastAsia="zh-CN"/>
        </w:rPr>
        <w:t>1.31</w:t>
      </w:r>
      <w:r>
        <w:rPr>
          <w:rFonts w:hint="default" w:ascii="Times New Roman" w:hAnsi="Times New Roman" w:cs="Times New Roman"/>
          <w:color w:val="0000FF"/>
          <w:highlight w:val="none"/>
        </w:rPr>
        <w:t>g/（人·d）。根据《排放源统计调查产排污核算方法和系数手册</w:t>
      </w:r>
      <w:r>
        <w:rPr>
          <w:rFonts w:hint="default" w:ascii="Times New Roman" w:hAnsi="Times New Roman" w:cs="Times New Roman"/>
          <w:color w:val="0000FF"/>
          <w:highlight w:val="none"/>
          <w:lang w:val="en-US" w:eastAsia="zh-CN"/>
        </w:rPr>
        <w:t>--农业污染源产排污系数手册</w:t>
      </w:r>
      <w:r>
        <w:rPr>
          <w:rFonts w:hint="default" w:ascii="Times New Roman" w:hAnsi="Times New Roman" w:cs="Times New Roman"/>
          <w:color w:val="0000FF"/>
          <w:highlight w:val="none"/>
        </w:rPr>
        <w:t>》，考虑汇水区畜禽养殖污染物产生量可参照如下经验系数估算，1头大牲畜折合3头猪，</w:t>
      </w:r>
      <w:r>
        <w:rPr>
          <w:rFonts w:hint="default" w:ascii="Times New Roman" w:hAnsi="Times New Roman" w:cs="Times New Roman"/>
          <w:color w:val="0000FF"/>
          <w:highlight w:val="none"/>
          <w:lang w:val="en-US" w:eastAsia="zh-CN"/>
        </w:rPr>
        <w:t>养殖散户</w:t>
      </w:r>
      <w:r>
        <w:rPr>
          <w:rFonts w:hint="default" w:ascii="Times New Roman" w:hAnsi="Times New Roman" w:cs="Times New Roman"/>
          <w:color w:val="0000FF"/>
          <w:highlight w:val="none"/>
        </w:rPr>
        <w:t xml:space="preserve">按每头猪每日排放量COD </w:t>
      </w:r>
      <w:r>
        <w:rPr>
          <w:rFonts w:hint="default" w:ascii="Times New Roman" w:hAnsi="Times New Roman" w:cs="Times New Roman"/>
          <w:color w:val="0000FF"/>
          <w:highlight w:val="none"/>
          <w:lang w:val="en-US" w:eastAsia="zh-CN"/>
        </w:rPr>
        <w:t>49.4</w:t>
      </w:r>
      <w:r>
        <w:rPr>
          <w:rFonts w:hint="default" w:ascii="Times New Roman" w:hAnsi="Times New Roman" w:cs="Times New Roman"/>
          <w:color w:val="0000FF"/>
          <w:highlight w:val="none"/>
        </w:rPr>
        <w:t>g /头·d</w:t>
      </w:r>
      <w:r>
        <w:rPr>
          <w:rFonts w:hint="default" w:ascii="Times New Roman" w:hAnsi="Times New Roman" w:cs="Times New Roman"/>
          <w:color w:val="0000FF"/>
          <w:highlight w:val="none"/>
          <w:lang w:eastAsia="zh-CN"/>
        </w:rPr>
        <w:t>、</w:t>
      </w:r>
      <w:r>
        <w:rPr>
          <w:rFonts w:hint="default" w:ascii="Times New Roman" w:hAnsi="Times New Roman" w:cs="Times New Roman"/>
          <w:color w:val="0000FF"/>
          <w:highlight w:val="none"/>
        </w:rPr>
        <w:t>氨氮</w:t>
      </w:r>
      <w:r>
        <w:rPr>
          <w:rFonts w:hint="default" w:ascii="Times New Roman" w:hAnsi="Times New Roman" w:cs="Times New Roman"/>
          <w:color w:val="0000FF"/>
          <w:highlight w:val="none"/>
          <w:lang w:val="en-US" w:eastAsia="zh-CN"/>
        </w:rPr>
        <w:t>0.6</w:t>
      </w:r>
      <w:r>
        <w:rPr>
          <w:rFonts w:hint="default" w:ascii="Times New Roman" w:hAnsi="Times New Roman" w:cs="Times New Roman"/>
          <w:color w:val="0000FF"/>
          <w:highlight w:val="none"/>
        </w:rPr>
        <w:t>g /头·d</w:t>
      </w:r>
      <w:r>
        <w:rPr>
          <w:rFonts w:hint="default" w:ascii="Times New Roman" w:hAnsi="Times New Roman" w:cs="Times New Roman"/>
          <w:color w:val="0000FF"/>
          <w:highlight w:val="none"/>
          <w:lang w:eastAsia="zh-CN"/>
        </w:rPr>
        <w:t>、</w:t>
      </w:r>
      <w:r>
        <w:rPr>
          <w:rFonts w:hint="default" w:ascii="Times New Roman" w:hAnsi="Times New Roman" w:cs="Times New Roman"/>
          <w:color w:val="0000FF"/>
          <w:highlight w:val="none"/>
        </w:rPr>
        <w:t>总磷</w:t>
      </w:r>
      <w:r>
        <w:rPr>
          <w:rFonts w:hint="default" w:ascii="Times New Roman" w:hAnsi="Times New Roman" w:cs="Times New Roman"/>
          <w:color w:val="0000FF"/>
          <w:highlight w:val="none"/>
          <w:lang w:val="en-US" w:eastAsia="zh-CN"/>
        </w:rPr>
        <w:t>0.7</w:t>
      </w:r>
      <w:r>
        <w:rPr>
          <w:rFonts w:hint="default" w:ascii="Times New Roman" w:hAnsi="Times New Roman" w:cs="Times New Roman"/>
          <w:color w:val="0000FF"/>
          <w:highlight w:val="none"/>
        </w:rPr>
        <w:t xml:space="preserve"> g /头·d</w:t>
      </w:r>
      <w:r>
        <w:rPr>
          <w:rFonts w:hint="default" w:ascii="Times New Roman" w:hAnsi="Times New Roman" w:cs="Times New Roman"/>
          <w:color w:val="0000FF"/>
          <w:highlight w:val="none"/>
          <w:lang w:eastAsia="zh-CN"/>
        </w:rPr>
        <w:t>、</w:t>
      </w:r>
      <w:r>
        <w:rPr>
          <w:rFonts w:hint="default" w:ascii="Times New Roman" w:hAnsi="Times New Roman" w:cs="Times New Roman"/>
          <w:color w:val="0000FF"/>
          <w:highlight w:val="none"/>
        </w:rPr>
        <w:t>总氮</w:t>
      </w:r>
      <w:r>
        <w:rPr>
          <w:rFonts w:hint="default" w:ascii="Times New Roman" w:hAnsi="Times New Roman" w:cs="Times New Roman"/>
          <w:color w:val="0000FF"/>
          <w:highlight w:val="none"/>
          <w:lang w:val="en-US" w:eastAsia="zh-CN"/>
        </w:rPr>
        <w:t>4.6</w:t>
      </w:r>
      <w:r>
        <w:rPr>
          <w:rFonts w:hint="default" w:ascii="Times New Roman" w:hAnsi="Times New Roman" w:cs="Times New Roman"/>
          <w:color w:val="0000FF"/>
          <w:highlight w:val="none"/>
        </w:rPr>
        <w:t>g /头·d计，本工程评价区内农业、农村面源污染物产生量详见表</w:t>
      </w:r>
      <w:r>
        <w:rPr>
          <w:rFonts w:hint="eastAsia" w:cs="Times New Roman"/>
          <w:color w:val="0000FF"/>
          <w:highlight w:val="yellow"/>
          <w:lang w:val="en-US" w:eastAsia="zh-CN"/>
        </w:rPr>
        <w:t>4</w:t>
      </w:r>
      <w:r>
        <w:rPr>
          <w:rFonts w:hint="default" w:ascii="Times New Roman" w:hAnsi="Times New Roman" w:cs="Times New Roman"/>
          <w:color w:val="0000FF"/>
          <w:highlight w:val="yellow"/>
        </w:rPr>
        <w:t>.2.2-</w:t>
      </w:r>
      <w:r>
        <w:rPr>
          <w:rFonts w:hint="eastAsia" w:cs="Times New Roman"/>
          <w:color w:val="0000FF"/>
          <w:highlight w:val="yellow"/>
          <w:lang w:val="en-US" w:eastAsia="zh-CN"/>
        </w:rPr>
        <w:t>3</w:t>
      </w:r>
      <w:r>
        <w:rPr>
          <w:rFonts w:hint="default" w:ascii="Times New Roman" w:hAnsi="Times New Roman" w:cs="Times New Roman"/>
          <w:color w:val="0000FF"/>
          <w:highlight w:val="none"/>
        </w:rPr>
        <w:t>。</w:t>
      </w:r>
    </w:p>
    <w:p>
      <w:pPr>
        <w:spacing w:line="240" w:lineRule="auto"/>
        <w:ind w:firstLine="482"/>
        <w:jc w:val="center"/>
        <w:rPr>
          <w:rFonts w:hint="default" w:ascii="Times New Roman" w:hAnsi="Times New Roman" w:cs="Times New Roman"/>
          <w:b/>
          <w:bCs/>
          <w:color w:val="0000FF"/>
          <w:highlight w:val="none"/>
        </w:rPr>
      </w:pPr>
      <w:r>
        <w:rPr>
          <w:rFonts w:hint="default" w:ascii="Times New Roman" w:hAnsi="Times New Roman" w:cs="Times New Roman"/>
          <w:b/>
          <w:bCs/>
          <w:color w:val="0000FF"/>
          <w:highlight w:val="none"/>
        </w:rPr>
        <w:t>表</w:t>
      </w:r>
      <w:r>
        <w:rPr>
          <w:rFonts w:hint="eastAsia" w:ascii="Times New Roman" w:hAnsi="Times New Roman" w:cs="Times New Roman"/>
          <w:b/>
          <w:bCs/>
          <w:color w:val="0000FF"/>
          <w:highlight w:val="none"/>
          <w:lang w:val="en-US" w:eastAsia="zh-CN"/>
        </w:rPr>
        <w:t>4</w:t>
      </w:r>
      <w:r>
        <w:rPr>
          <w:rFonts w:hint="default" w:ascii="Times New Roman" w:hAnsi="Times New Roman" w:cs="Times New Roman"/>
          <w:b/>
          <w:bCs/>
          <w:color w:val="0000FF"/>
          <w:highlight w:val="none"/>
        </w:rPr>
        <w:t>.2.2-</w:t>
      </w:r>
      <w:r>
        <w:rPr>
          <w:rFonts w:hint="eastAsia" w:ascii="Times New Roman" w:hAnsi="Times New Roman" w:cs="Times New Roman"/>
          <w:b/>
          <w:bCs/>
          <w:color w:val="0000FF"/>
          <w:highlight w:val="none"/>
          <w:lang w:val="en-US" w:eastAsia="zh-CN"/>
        </w:rPr>
        <w:t>3</w:t>
      </w:r>
      <w:r>
        <w:rPr>
          <w:rFonts w:hint="default" w:ascii="Times New Roman" w:hAnsi="Times New Roman" w:cs="Times New Roman"/>
          <w:b/>
          <w:bCs/>
          <w:color w:val="0000FF"/>
          <w:highlight w:val="none"/>
        </w:rPr>
        <w:t xml:space="preserve">   评价区农业农村面源污染物产生量一览表</w:t>
      </w:r>
    </w:p>
    <w:tbl>
      <w:tblPr>
        <w:tblStyle w:val="29"/>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567"/>
        <w:gridCol w:w="1094"/>
        <w:gridCol w:w="655"/>
        <w:gridCol w:w="612"/>
        <w:gridCol w:w="1105"/>
        <w:gridCol w:w="1270"/>
        <w:gridCol w:w="612"/>
        <w:gridCol w:w="1105"/>
        <w:gridCol w:w="1270"/>
        <w:gridCol w:w="567"/>
        <w:gridCol w:w="1105"/>
        <w:gridCol w:w="1270"/>
        <w:gridCol w:w="567"/>
        <w:gridCol w:w="1105"/>
        <w:gridCol w:w="127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224" w:type="pct"/>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工程</w:t>
            </w:r>
          </w:p>
        </w:tc>
        <w:tc>
          <w:tcPr>
            <w:tcW w:w="373" w:type="pct"/>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污染源</w:t>
            </w:r>
          </w:p>
        </w:tc>
        <w:tc>
          <w:tcPr>
            <w:tcW w:w="262" w:type="pct"/>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数量</w:t>
            </w:r>
          </w:p>
        </w:tc>
        <w:tc>
          <w:tcPr>
            <w:tcW w:w="4138" w:type="pct"/>
            <w:gridSpan w:val="12"/>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产污量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224"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FF"/>
                <w:sz w:val="21"/>
                <w:szCs w:val="21"/>
                <w:highlight w:val="none"/>
                <w:u w:val="none"/>
              </w:rPr>
            </w:pPr>
          </w:p>
        </w:tc>
        <w:tc>
          <w:tcPr>
            <w:tcW w:w="373"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FF"/>
                <w:sz w:val="21"/>
                <w:szCs w:val="21"/>
                <w:highlight w:val="none"/>
                <w:u w:val="none"/>
              </w:rPr>
            </w:pPr>
          </w:p>
        </w:tc>
        <w:tc>
          <w:tcPr>
            <w:tcW w:w="262"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FF"/>
                <w:sz w:val="21"/>
                <w:szCs w:val="21"/>
                <w:highlight w:val="none"/>
                <w:u w:val="none"/>
              </w:rPr>
            </w:pPr>
          </w:p>
        </w:tc>
        <w:tc>
          <w:tcPr>
            <w:tcW w:w="1039" w:type="pct"/>
            <w:gridSpan w:val="3"/>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COD</w:t>
            </w:r>
          </w:p>
        </w:tc>
        <w:tc>
          <w:tcPr>
            <w:tcW w:w="1039" w:type="pct"/>
            <w:gridSpan w:val="3"/>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氨氮</w:t>
            </w:r>
          </w:p>
        </w:tc>
        <w:tc>
          <w:tcPr>
            <w:tcW w:w="1028" w:type="pct"/>
            <w:gridSpan w:val="3"/>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TP</w:t>
            </w:r>
          </w:p>
        </w:tc>
        <w:tc>
          <w:tcPr>
            <w:tcW w:w="1030" w:type="pct"/>
            <w:gridSpan w:val="3"/>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TN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224"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FF"/>
                <w:sz w:val="21"/>
                <w:szCs w:val="21"/>
                <w:highlight w:val="none"/>
                <w:u w:val="none"/>
              </w:rPr>
            </w:pPr>
          </w:p>
        </w:tc>
        <w:tc>
          <w:tcPr>
            <w:tcW w:w="373"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FF"/>
                <w:sz w:val="21"/>
                <w:szCs w:val="21"/>
                <w:highlight w:val="none"/>
                <w:u w:val="none"/>
              </w:rPr>
            </w:pPr>
          </w:p>
        </w:tc>
        <w:tc>
          <w:tcPr>
            <w:tcW w:w="262"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FF"/>
                <w:sz w:val="21"/>
                <w:szCs w:val="21"/>
                <w:highlight w:val="none"/>
                <w:u w:val="none"/>
              </w:rPr>
            </w:pPr>
          </w:p>
        </w:tc>
        <w:tc>
          <w:tcPr>
            <w:tcW w:w="692" w:type="pct"/>
            <w:gridSpan w:val="2"/>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产污系数</w:t>
            </w:r>
          </w:p>
        </w:tc>
        <w:tc>
          <w:tcPr>
            <w:tcW w:w="347" w:type="pct"/>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产生量（</w:t>
            </w:r>
            <w:r>
              <w:rPr>
                <w:rFonts w:hint="default" w:ascii="Times New Roman" w:hAnsi="Times New Roman" w:eastAsia="宋体" w:cs="Times New Roman"/>
                <w:i w:val="0"/>
                <w:iCs w:val="0"/>
                <w:color w:val="0000FF"/>
                <w:kern w:val="0"/>
                <w:sz w:val="21"/>
                <w:szCs w:val="21"/>
                <w:highlight w:val="none"/>
                <w:u w:val="none"/>
                <w:lang w:val="en-US" w:eastAsia="zh-CN" w:bidi="ar"/>
              </w:rPr>
              <w:t>t/a</w:t>
            </w:r>
            <w:r>
              <w:rPr>
                <w:rFonts w:hint="eastAsia" w:ascii="宋体" w:hAnsi="宋体" w:eastAsia="宋体" w:cs="宋体"/>
                <w:i w:val="0"/>
                <w:iCs w:val="0"/>
                <w:color w:val="0000FF"/>
                <w:kern w:val="0"/>
                <w:sz w:val="21"/>
                <w:szCs w:val="21"/>
                <w:highlight w:val="none"/>
                <w:u w:val="none"/>
                <w:lang w:val="en-US" w:eastAsia="zh-CN" w:bidi="ar"/>
              </w:rPr>
              <w:t>）</w:t>
            </w:r>
          </w:p>
        </w:tc>
        <w:tc>
          <w:tcPr>
            <w:tcW w:w="749" w:type="pct"/>
            <w:gridSpan w:val="2"/>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产污系数</w:t>
            </w:r>
          </w:p>
        </w:tc>
        <w:tc>
          <w:tcPr>
            <w:tcW w:w="290" w:type="pct"/>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产生量（</w:t>
            </w:r>
            <w:r>
              <w:rPr>
                <w:rFonts w:hint="default" w:ascii="Times New Roman" w:hAnsi="Times New Roman" w:eastAsia="宋体" w:cs="Times New Roman"/>
                <w:i w:val="0"/>
                <w:iCs w:val="0"/>
                <w:color w:val="0000FF"/>
                <w:kern w:val="0"/>
                <w:sz w:val="21"/>
                <w:szCs w:val="21"/>
                <w:highlight w:val="none"/>
                <w:u w:val="none"/>
                <w:lang w:val="en-US" w:eastAsia="zh-CN" w:bidi="ar"/>
              </w:rPr>
              <w:t>t/a</w:t>
            </w:r>
            <w:r>
              <w:rPr>
                <w:rFonts w:hint="eastAsia" w:ascii="宋体" w:hAnsi="宋体" w:eastAsia="宋体" w:cs="宋体"/>
                <w:i w:val="0"/>
                <w:iCs w:val="0"/>
                <w:color w:val="0000FF"/>
                <w:kern w:val="0"/>
                <w:sz w:val="21"/>
                <w:szCs w:val="21"/>
                <w:highlight w:val="none"/>
                <w:u w:val="none"/>
                <w:lang w:val="en-US" w:eastAsia="zh-CN" w:bidi="ar"/>
              </w:rPr>
              <w:t>）</w:t>
            </w:r>
          </w:p>
        </w:tc>
        <w:tc>
          <w:tcPr>
            <w:tcW w:w="726" w:type="pct"/>
            <w:gridSpan w:val="2"/>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产污系数</w:t>
            </w:r>
          </w:p>
        </w:tc>
        <w:tc>
          <w:tcPr>
            <w:tcW w:w="301" w:type="pct"/>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产生量（</w:t>
            </w:r>
            <w:r>
              <w:rPr>
                <w:rFonts w:hint="default" w:ascii="Times New Roman" w:hAnsi="Times New Roman" w:eastAsia="宋体" w:cs="Times New Roman"/>
                <w:i w:val="0"/>
                <w:iCs w:val="0"/>
                <w:color w:val="0000FF"/>
                <w:kern w:val="0"/>
                <w:sz w:val="21"/>
                <w:szCs w:val="21"/>
                <w:highlight w:val="none"/>
                <w:u w:val="none"/>
                <w:lang w:val="en-US" w:eastAsia="zh-CN" w:bidi="ar"/>
              </w:rPr>
              <w:t>t/a</w:t>
            </w:r>
            <w:r>
              <w:rPr>
                <w:rFonts w:hint="eastAsia" w:ascii="宋体" w:hAnsi="宋体" w:eastAsia="宋体" w:cs="宋体"/>
                <w:i w:val="0"/>
                <w:iCs w:val="0"/>
                <w:color w:val="0000FF"/>
                <w:kern w:val="0"/>
                <w:sz w:val="21"/>
                <w:szCs w:val="21"/>
                <w:highlight w:val="none"/>
                <w:u w:val="none"/>
                <w:lang w:val="en-US" w:eastAsia="zh-CN" w:bidi="ar"/>
              </w:rPr>
              <w:t>）</w:t>
            </w:r>
          </w:p>
        </w:tc>
        <w:tc>
          <w:tcPr>
            <w:tcW w:w="771" w:type="pct"/>
            <w:gridSpan w:val="2"/>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产污系数</w:t>
            </w:r>
          </w:p>
        </w:tc>
        <w:tc>
          <w:tcPr>
            <w:tcW w:w="259" w:type="pct"/>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产生量（</w:t>
            </w:r>
            <w:r>
              <w:rPr>
                <w:rFonts w:hint="default" w:ascii="Times New Roman" w:hAnsi="Times New Roman" w:eastAsia="宋体" w:cs="Times New Roman"/>
                <w:i w:val="0"/>
                <w:iCs w:val="0"/>
                <w:color w:val="0000FF"/>
                <w:kern w:val="0"/>
                <w:sz w:val="21"/>
                <w:szCs w:val="21"/>
                <w:highlight w:val="none"/>
                <w:u w:val="none"/>
                <w:lang w:val="en-US" w:eastAsia="zh-CN" w:bidi="ar"/>
              </w:rPr>
              <w:t>t/a</w:t>
            </w:r>
            <w:r>
              <w:rPr>
                <w:rFonts w:hint="eastAsia" w:ascii="宋体" w:hAnsi="宋体" w:eastAsia="宋体" w:cs="宋体"/>
                <w:i w:val="0"/>
                <w:iCs w:val="0"/>
                <w:color w:val="0000FF"/>
                <w:kern w:val="0"/>
                <w:sz w:val="21"/>
                <w:szCs w:val="21"/>
                <w:highlight w:val="none"/>
                <w:u w:val="none"/>
                <w:lang w:val="en-US" w:eastAsia="zh-CN"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224"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FF"/>
                <w:sz w:val="21"/>
                <w:szCs w:val="21"/>
                <w:highlight w:val="none"/>
                <w:u w:val="none"/>
              </w:rPr>
            </w:pPr>
          </w:p>
        </w:tc>
        <w:tc>
          <w:tcPr>
            <w:tcW w:w="373"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FF"/>
                <w:sz w:val="21"/>
                <w:szCs w:val="21"/>
                <w:highlight w:val="none"/>
                <w:u w:val="none"/>
              </w:rPr>
            </w:pPr>
          </w:p>
        </w:tc>
        <w:tc>
          <w:tcPr>
            <w:tcW w:w="262"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FF"/>
                <w:sz w:val="21"/>
                <w:szCs w:val="21"/>
                <w:highlight w:val="none"/>
                <w:u w:val="none"/>
              </w:rPr>
            </w:pPr>
          </w:p>
        </w:tc>
        <w:tc>
          <w:tcPr>
            <w:tcW w:w="23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系数</w:t>
            </w:r>
          </w:p>
        </w:tc>
        <w:tc>
          <w:tcPr>
            <w:tcW w:w="45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单位</w:t>
            </w:r>
          </w:p>
        </w:tc>
        <w:tc>
          <w:tcPr>
            <w:tcW w:w="347"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FF"/>
                <w:sz w:val="21"/>
                <w:szCs w:val="21"/>
                <w:highlight w:val="none"/>
                <w:u w:val="none"/>
              </w:rPr>
            </w:pPr>
          </w:p>
        </w:tc>
        <w:tc>
          <w:tcPr>
            <w:tcW w:w="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系数</w:t>
            </w:r>
          </w:p>
        </w:tc>
        <w:tc>
          <w:tcPr>
            <w:tcW w:w="44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单位</w:t>
            </w:r>
          </w:p>
        </w:tc>
        <w:tc>
          <w:tcPr>
            <w:tcW w:w="290"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FF"/>
                <w:sz w:val="21"/>
                <w:szCs w:val="21"/>
                <w:highlight w:val="none"/>
                <w:u w:val="none"/>
              </w:rPr>
            </w:pPr>
          </w:p>
        </w:tc>
        <w:tc>
          <w:tcPr>
            <w:tcW w:w="27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系数</w:t>
            </w:r>
          </w:p>
        </w:tc>
        <w:tc>
          <w:tcPr>
            <w:tcW w:w="4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单位</w:t>
            </w:r>
          </w:p>
        </w:tc>
        <w:tc>
          <w:tcPr>
            <w:tcW w:w="301"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FF"/>
                <w:sz w:val="21"/>
                <w:szCs w:val="21"/>
                <w:highlight w:val="none"/>
                <w:u w:val="none"/>
              </w:rPr>
            </w:pPr>
          </w:p>
        </w:tc>
        <w:tc>
          <w:tcPr>
            <w:tcW w:w="32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系数</w:t>
            </w:r>
          </w:p>
        </w:tc>
        <w:tc>
          <w:tcPr>
            <w:tcW w:w="4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单位</w:t>
            </w:r>
          </w:p>
        </w:tc>
        <w:tc>
          <w:tcPr>
            <w:tcW w:w="259"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FF"/>
                <w:sz w:val="21"/>
                <w:szCs w:val="21"/>
                <w:highlight w:val="none"/>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224" w:type="pct"/>
            <w:vMerge w:val="restart"/>
            <w:tcBorders>
              <w:tl2br w:val="nil"/>
              <w:tr2bl w:val="nil"/>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i w:val="0"/>
                <w:iCs w:val="0"/>
                <w:color w:val="0000FF"/>
                <w:sz w:val="21"/>
                <w:szCs w:val="21"/>
                <w:highlight w:val="none"/>
                <w:u w:val="none"/>
                <w:lang w:val="en-US"/>
              </w:rPr>
            </w:pPr>
            <w:r>
              <w:rPr>
                <w:rFonts w:hint="eastAsia" w:ascii="宋体" w:hAnsi="宋体" w:eastAsia="宋体" w:cs="宋体"/>
                <w:i w:val="0"/>
                <w:iCs w:val="0"/>
                <w:color w:val="0000FF"/>
                <w:kern w:val="0"/>
                <w:sz w:val="21"/>
                <w:szCs w:val="21"/>
                <w:highlight w:val="none"/>
                <w:u w:val="none"/>
                <w:lang w:val="en-US" w:eastAsia="zh-CN" w:bidi="ar"/>
              </w:rPr>
              <w:t>灌区范围内</w:t>
            </w:r>
          </w:p>
        </w:tc>
        <w:tc>
          <w:tcPr>
            <w:tcW w:w="37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农田</w:t>
            </w:r>
          </w:p>
        </w:tc>
        <w:tc>
          <w:tcPr>
            <w:tcW w:w="2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34885</w:t>
            </w:r>
          </w:p>
        </w:tc>
        <w:tc>
          <w:tcPr>
            <w:tcW w:w="23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10</w:t>
            </w:r>
          </w:p>
        </w:tc>
        <w:tc>
          <w:tcPr>
            <w:tcW w:w="45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kg/</w:t>
            </w:r>
            <w:r>
              <w:rPr>
                <w:rFonts w:hint="eastAsia" w:ascii="宋体" w:hAnsi="宋体" w:eastAsia="宋体" w:cs="宋体"/>
                <w:i w:val="0"/>
                <w:iCs w:val="0"/>
                <w:color w:val="0000FF"/>
                <w:kern w:val="0"/>
                <w:sz w:val="21"/>
                <w:szCs w:val="21"/>
                <w:highlight w:val="none"/>
                <w:u w:val="none"/>
                <w:lang w:val="en-US" w:eastAsia="zh-CN" w:bidi="ar"/>
              </w:rPr>
              <w:t>（亩</w:t>
            </w:r>
            <w:r>
              <w:rPr>
                <w:rFonts w:hint="default" w:ascii="Times New Roman" w:hAnsi="Times New Roman" w:eastAsia="宋体" w:cs="Times New Roman"/>
                <w:i w:val="0"/>
                <w:iCs w:val="0"/>
                <w:color w:val="0000FF"/>
                <w:kern w:val="0"/>
                <w:sz w:val="21"/>
                <w:szCs w:val="21"/>
                <w:highlight w:val="none"/>
                <w:u w:val="none"/>
                <w:lang w:val="en-US" w:eastAsia="zh-CN" w:bidi="ar"/>
              </w:rPr>
              <w:t>·a</w:t>
            </w:r>
            <w:r>
              <w:rPr>
                <w:rFonts w:hint="eastAsia" w:ascii="宋体" w:hAnsi="宋体" w:eastAsia="宋体" w:cs="宋体"/>
                <w:i w:val="0"/>
                <w:iCs w:val="0"/>
                <w:color w:val="0000FF"/>
                <w:kern w:val="0"/>
                <w:sz w:val="21"/>
                <w:szCs w:val="21"/>
                <w:highlight w:val="none"/>
                <w:u w:val="none"/>
                <w:lang w:val="en-US" w:eastAsia="zh-CN" w:bidi="ar"/>
              </w:rPr>
              <w:t>）</w:t>
            </w:r>
          </w:p>
        </w:tc>
        <w:tc>
          <w:tcPr>
            <w:tcW w:w="34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348.85</w:t>
            </w:r>
          </w:p>
        </w:tc>
        <w:tc>
          <w:tcPr>
            <w:tcW w:w="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0.072</w:t>
            </w:r>
          </w:p>
        </w:tc>
        <w:tc>
          <w:tcPr>
            <w:tcW w:w="44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kg/</w:t>
            </w:r>
            <w:r>
              <w:rPr>
                <w:rFonts w:hint="eastAsia" w:ascii="宋体" w:hAnsi="宋体" w:eastAsia="宋体" w:cs="宋体"/>
                <w:i w:val="0"/>
                <w:iCs w:val="0"/>
                <w:color w:val="0000FF"/>
                <w:kern w:val="0"/>
                <w:sz w:val="21"/>
                <w:szCs w:val="21"/>
                <w:highlight w:val="none"/>
                <w:u w:val="none"/>
                <w:lang w:val="en-US" w:eastAsia="zh-CN" w:bidi="ar"/>
              </w:rPr>
              <w:t>（亩</w:t>
            </w:r>
            <w:r>
              <w:rPr>
                <w:rFonts w:hint="default" w:ascii="Times New Roman" w:hAnsi="Times New Roman" w:eastAsia="宋体" w:cs="Times New Roman"/>
                <w:i w:val="0"/>
                <w:iCs w:val="0"/>
                <w:color w:val="0000FF"/>
                <w:kern w:val="0"/>
                <w:sz w:val="21"/>
                <w:szCs w:val="21"/>
                <w:highlight w:val="none"/>
                <w:u w:val="none"/>
                <w:lang w:val="en-US" w:eastAsia="zh-CN" w:bidi="ar"/>
              </w:rPr>
              <w:t>·a</w:t>
            </w:r>
            <w:r>
              <w:rPr>
                <w:rFonts w:hint="eastAsia" w:ascii="宋体" w:hAnsi="宋体" w:eastAsia="宋体" w:cs="宋体"/>
                <w:i w:val="0"/>
                <w:iCs w:val="0"/>
                <w:color w:val="0000FF"/>
                <w:kern w:val="0"/>
                <w:sz w:val="21"/>
                <w:szCs w:val="21"/>
                <w:highlight w:val="none"/>
                <w:u w:val="none"/>
                <w:lang w:val="en-US" w:eastAsia="zh-CN" w:bidi="ar"/>
              </w:rPr>
              <w:t>）</w:t>
            </w:r>
          </w:p>
        </w:tc>
        <w:tc>
          <w:tcPr>
            <w:tcW w:w="2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 xml:space="preserve">2.51 </w:t>
            </w:r>
          </w:p>
        </w:tc>
        <w:tc>
          <w:tcPr>
            <w:tcW w:w="27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0.2</w:t>
            </w:r>
          </w:p>
        </w:tc>
        <w:tc>
          <w:tcPr>
            <w:tcW w:w="4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kg/</w:t>
            </w:r>
            <w:r>
              <w:rPr>
                <w:rFonts w:hint="eastAsia" w:ascii="宋体" w:hAnsi="宋体" w:eastAsia="宋体" w:cs="宋体"/>
                <w:i w:val="0"/>
                <w:iCs w:val="0"/>
                <w:color w:val="0000FF"/>
                <w:kern w:val="0"/>
                <w:sz w:val="21"/>
                <w:szCs w:val="21"/>
                <w:highlight w:val="none"/>
                <w:u w:val="none"/>
                <w:lang w:val="en-US" w:eastAsia="zh-CN" w:bidi="ar"/>
              </w:rPr>
              <w:t>（亩</w:t>
            </w:r>
            <w:r>
              <w:rPr>
                <w:rFonts w:hint="default" w:ascii="Times New Roman" w:hAnsi="Times New Roman" w:eastAsia="宋体" w:cs="Times New Roman"/>
                <w:i w:val="0"/>
                <w:iCs w:val="0"/>
                <w:color w:val="0000FF"/>
                <w:kern w:val="0"/>
                <w:sz w:val="21"/>
                <w:szCs w:val="21"/>
                <w:highlight w:val="none"/>
                <w:u w:val="none"/>
                <w:lang w:val="en-US" w:eastAsia="zh-CN" w:bidi="ar"/>
              </w:rPr>
              <w:t>·a</w:t>
            </w:r>
            <w:r>
              <w:rPr>
                <w:rFonts w:hint="eastAsia" w:ascii="宋体" w:hAnsi="宋体" w:eastAsia="宋体" w:cs="宋体"/>
                <w:i w:val="0"/>
                <w:iCs w:val="0"/>
                <w:color w:val="0000FF"/>
                <w:kern w:val="0"/>
                <w:sz w:val="21"/>
                <w:szCs w:val="21"/>
                <w:highlight w:val="none"/>
                <w:u w:val="none"/>
                <w:lang w:val="en-US" w:eastAsia="zh-CN" w:bidi="ar"/>
              </w:rPr>
              <w:t>）</w:t>
            </w:r>
          </w:p>
        </w:tc>
        <w:tc>
          <w:tcPr>
            <w:tcW w:w="30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 xml:space="preserve">6.98 </w:t>
            </w:r>
          </w:p>
        </w:tc>
        <w:tc>
          <w:tcPr>
            <w:tcW w:w="32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1.33</w:t>
            </w:r>
          </w:p>
        </w:tc>
        <w:tc>
          <w:tcPr>
            <w:tcW w:w="4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kg/</w:t>
            </w:r>
            <w:r>
              <w:rPr>
                <w:rFonts w:hint="eastAsia" w:ascii="宋体" w:hAnsi="宋体" w:eastAsia="宋体" w:cs="宋体"/>
                <w:i w:val="0"/>
                <w:iCs w:val="0"/>
                <w:color w:val="0000FF"/>
                <w:kern w:val="0"/>
                <w:sz w:val="21"/>
                <w:szCs w:val="21"/>
                <w:highlight w:val="none"/>
                <w:u w:val="none"/>
                <w:lang w:val="en-US" w:eastAsia="zh-CN" w:bidi="ar"/>
              </w:rPr>
              <w:t>（亩</w:t>
            </w:r>
            <w:r>
              <w:rPr>
                <w:rFonts w:hint="default" w:ascii="Times New Roman" w:hAnsi="Times New Roman" w:eastAsia="宋体" w:cs="Times New Roman"/>
                <w:i w:val="0"/>
                <w:iCs w:val="0"/>
                <w:color w:val="0000FF"/>
                <w:kern w:val="0"/>
                <w:sz w:val="21"/>
                <w:szCs w:val="21"/>
                <w:highlight w:val="none"/>
                <w:u w:val="none"/>
                <w:lang w:val="en-US" w:eastAsia="zh-CN" w:bidi="ar"/>
              </w:rPr>
              <w:t>·a</w:t>
            </w:r>
            <w:r>
              <w:rPr>
                <w:rFonts w:hint="eastAsia" w:ascii="宋体" w:hAnsi="宋体" w:eastAsia="宋体" w:cs="宋体"/>
                <w:i w:val="0"/>
                <w:iCs w:val="0"/>
                <w:color w:val="0000FF"/>
                <w:kern w:val="0"/>
                <w:sz w:val="21"/>
                <w:szCs w:val="21"/>
                <w:highlight w:val="none"/>
                <w:u w:val="none"/>
                <w:lang w:val="en-US" w:eastAsia="zh-CN" w:bidi="ar"/>
              </w:rPr>
              <w:t>）</w:t>
            </w:r>
          </w:p>
        </w:tc>
        <w:tc>
          <w:tcPr>
            <w:tcW w:w="2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 xml:space="preserve">46.40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224" w:type="pct"/>
            <w:vMerge w:val="continue"/>
            <w:tcBorders>
              <w:tl2br w:val="nil"/>
              <w:tr2bl w:val="nil"/>
            </w:tcBorders>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FF"/>
                <w:sz w:val="21"/>
                <w:szCs w:val="21"/>
                <w:highlight w:val="none"/>
                <w:u w:val="none"/>
              </w:rPr>
            </w:pPr>
          </w:p>
        </w:tc>
        <w:tc>
          <w:tcPr>
            <w:tcW w:w="37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居民</w:t>
            </w:r>
          </w:p>
        </w:tc>
        <w:tc>
          <w:tcPr>
            <w:tcW w:w="2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7889</w:t>
            </w:r>
          </w:p>
        </w:tc>
        <w:tc>
          <w:tcPr>
            <w:tcW w:w="23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19.57</w:t>
            </w:r>
          </w:p>
        </w:tc>
        <w:tc>
          <w:tcPr>
            <w:tcW w:w="45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g/</w:t>
            </w:r>
            <w:r>
              <w:rPr>
                <w:rFonts w:hint="eastAsia" w:ascii="宋体" w:hAnsi="宋体" w:eastAsia="宋体" w:cs="宋体"/>
                <w:i w:val="0"/>
                <w:iCs w:val="0"/>
                <w:color w:val="0000FF"/>
                <w:kern w:val="0"/>
                <w:sz w:val="21"/>
                <w:szCs w:val="21"/>
                <w:highlight w:val="none"/>
                <w:u w:val="none"/>
                <w:lang w:val="en-US" w:eastAsia="zh-CN" w:bidi="ar"/>
              </w:rPr>
              <w:t>（人</w:t>
            </w:r>
            <w:r>
              <w:rPr>
                <w:rFonts w:hint="default" w:ascii="Times New Roman" w:hAnsi="Times New Roman" w:eastAsia="宋体" w:cs="Times New Roman"/>
                <w:i w:val="0"/>
                <w:iCs w:val="0"/>
                <w:color w:val="0000FF"/>
                <w:kern w:val="0"/>
                <w:sz w:val="21"/>
                <w:szCs w:val="21"/>
                <w:highlight w:val="none"/>
                <w:u w:val="none"/>
                <w:lang w:val="en-US" w:eastAsia="zh-CN" w:bidi="ar"/>
              </w:rPr>
              <w:t>·d</w:t>
            </w:r>
            <w:r>
              <w:rPr>
                <w:rFonts w:hint="eastAsia" w:ascii="宋体" w:hAnsi="宋体" w:eastAsia="宋体" w:cs="宋体"/>
                <w:i w:val="0"/>
                <w:iCs w:val="0"/>
                <w:color w:val="0000FF"/>
                <w:kern w:val="0"/>
                <w:sz w:val="21"/>
                <w:szCs w:val="21"/>
                <w:highlight w:val="none"/>
                <w:u w:val="none"/>
                <w:lang w:val="en-US" w:eastAsia="zh-CN" w:bidi="ar"/>
              </w:rPr>
              <w:t>）</w:t>
            </w:r>
          </w:p>
        </w:tc>
        <w:tc>
          <w:tcPr>
            <w:tcW w:w="34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 xml:space="preserve">56.35 </w:t>
            </w:r>
          </w:p>
        </w:tc>
        <w:tc>
          <w:tcPr>
            <w:tcW w:w="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0.62</w:t>
            </w:r>
          </w:p>
        </w:tc>
        <w:tc>
          <w:tcPr>
            <w:tcW w:w="44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g/</w:t>
            </w:r>
            <w:r>
              <w:rPr>
                <w:rFonts w:hint="eastAsia" w:ascii="宋体" w:hAnsi="宋体" w:eastAsia="宋体" w:cs="宋体"/>
                <w:i w:val="0"/>
                <w:iCs w:val="0"/>
                <w:color w:val="0000FF"/>
                <w:kern w:val="0"/>
                <w:sz w:val="21"/>
                <w:szCs w:val="21"/>
                <w:highlight w:val="none"/>
                <w:u w:val="none"/>
                <w:lang w:val="en-US" w:eastAsia="zh-CN" w:bidi="ar"/>
              </w:rPr>
              <w:t>（人</w:t>
            </w:r>
            <w:r>
              <w:rPr>
                <w:rFonts w:hint="default" w:ascii="Times New Roman" w:hAnsi="Times New Roman" w:eastAsia="宋体" w:cs="Times New Roman"/>
                <w:i w:val="0"/>
                <w:iCs w:val="0"/>
                <w:color w:val="0000FF"/>
                <w:kern w:val="0"/>
                <w:sz w:val="21"/>
                <w:szCs w:val="21"/>
                <w:highlight w:val="none"/>
                <w:u w:val="none"/>
                <w:lang w:val="en-US" w:eastAsia="zh-CN" w:bidi="ar"/>
              </w:rPr>
              <w:t>·d</w:t>
            </w:r>
            <w:r>
              <w:rPr>
                <w:rFonts w:hint="eastAsia" w:ascii="宋体" w:hAnsi="宋体" w:eastAsia="宋体" w:cs="宋体"/>
                <w:i w:val="0"/>
                <w:iCs w:val="0"/>
                <w:color w:val="0000FF"/>
                <w:kern w:val="0"/>
                <w:sz w:val="21"/>
                <w:szCs w:val="21"/>
                <w:highlight w:val="none"/>
                <w:u w:val="none"/>
                <w:lang w:val="en-US" w:eastAsia="zh-CN" w:bidi="ar"/>
              </w:rPr>
              <w:t>）</w:t>
            </w:r>
          </w:p>
        </w:tc>
        <w:tc>
          <w:tcPr>
            <w:tcW w:w="2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 xml:space="preserve">1.79 </w:t>
            </w:r>
          </w:p>
        </w:tc>
        <w:tc>
          <w:tcPr>
            <w:tcW w:w="27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0.12</w:t>
            </w:r>
          </w:p>
        </w:tc>
        <w:tc>
          <w:tcPr>
            <w:tcW w:w="4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g/</w:t>
            </w:r>
            <w:r>
              <w:rPr>
                <w:rFonts w:hint="eastAsia" w:ascii="宋体" w:hAnsi="宋体" w:eastAsia="宋体" w:cs="宋体"/>
                <w:i w:val="0"/>
                <w:iCs w:val="0"/>
                <w:color w:val="0000FF"/>
                <w:kern w:val="0"/>
                <w:sz w:val="21"/>
                <w:szCs w:val="21"/>
                <w:highlight w:val="none"/>
                <w:u w:val="none"/>
                <w:lang w:val="en-US" w:eastAsia="zh-CN" w:bidi="ar"/>
              </w:rPr>
              <w:t>（人</w:t>
            </w:r>
            <w:r>
              <w:rPr>
                <w:rFonts w:hint="default" w:ascii="Times New Roman" w:hAnsi="Times New Roman" w:eastAsia="宋体" w:cs="Times New Roman"/>
                <w:i w:val="0"/>
                <w:iCs w:val="0"/>
                <w:color w:val="0000FF"/>
                <w:kern w:val="0"/>
                <w:sz w:val="21"/>
                <w:szCs w:val="21"/>
                <w:highlight w:val="none"/>
                <w:u w:val="none"/>
                <w:lang w:val="en-US" w:eastAsia="zh-CN" w:bidi="ar"/>
              </w:rPr>
              <w:t>·d</w:t>
            </w:r>
            <w:r>
              <w:rPr>
                <w:rFonts w:hint="eastAsia" w:ascii="宋体" w:hAnsi="宋体" w:eastAsia="宋体" w:cs="宋体"/>
                <w:i w:val="0"/>
                <w:iCs w:val="0"/>
                <w:color w:val="0000FF"/>
                <w:kern w:val="0"/>
                <w:sz w:val="21"/>
                <w:szCs w:val="21"/>
                <w:highlight w:val="none"/>
                <w:u w:val="none"/>
                <w:lang w:val="en-US" w:eastAsia="zh-CN" w:bidi="ar"/>
              </w:rPr>
              <w:t>）</w:t>
            </w:r>
          </w:p>
        </w:tc>
        <w:tc>
          <w:tcPr>
            <w:tcW w:w="30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 xml:space="preserve">0.35 </w:t>
            </w:r>
          </w:p>
        </w:tc>
        <w:tc>
          <w:tcPr>
            <w:tcW w:w="32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1.31</w:t>
            </w:r>
          </w:p>
        </w:tc>
        <w:tc>
          <w:tcPr>
            <w:tcW w:w="4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g/</w:t>
            </w:r>
            <w:r>
              <w:rPr>
                <w:rFonts w:hint="eastAsia" w:ascii="宋体" w:hAnsi="宋体" w:eastAsia="宋体" w:cs="宋体"/>
                <w:i w:val="0"/>
                <w:iCs w:val="0"/>
                <w:color w:val="0000FF"/>
                <w:kern w:val="0"/>
                <w:sz w:val="21"/>
                <w:szCs w:val="21"/>
                <w:highlight w:val="none"/>
                <w:u w:val="none"/>
                <w:lang w:val="en-US" w:eastAsia="zh-CN" w:bidi="ar"/>
              </w:rPr>
              <w:t>（人</w:t>
            </w:r>
            <w:r>
              <w:rPr>
                <w:rFonts w:hint="default" w:ascii="Times New Roman" w:hAnsi="Times New Roman" w:eastAsia="宋体" w:cs="Times New Roman"/>
                <w:i w:val="0"/>
                <w:iCs w:val="0"/>
                <w:color w:val="0000FF"/>
                <w:kern w:val="0"/>
                <w:sz w:val="21"/>
                <w:szCs w:val="21"/>
                <w:highlight w:val="none"/>
                <w:u w:val="none"/>
                <w:lang w:val="en-US" w:eastAsia="zh-CN" w:bidi="ar"/>
              </w:rPr>
              <w:t>·d</w:t>
            </w:r>
            <w:r>
              <w:rPr>
                <w:rFonts w:hint="eastAsia" w:ascii="宋体" w:hAnsi="宋体" w:eastAsia="宋体" w:cs="宋体"/>
                <w:i w:val="0"/>
                <w:iCs w:val="0"/>
                <w:color w:val="0000FF"/>
                <w:kern w:val="0"/>
                <w:sz w:val="21"/>
                <w:szCs w:val="21"/>
                <w:highlight w:val="none"/>
                <w:u w:val="none"/>
                <w:lang w:val="en-US" w:eastAsia="zh-CN" w:bidi="ar"/>
              </w:rPr>
              <w:t>）</w:t>
            </w:r>
          </w:p>
        </w:tc>
        <w:tc>
          <w:tcPr>
            <w:tcW w:w="2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 xml:space="preserve">3.77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224" w:type="pct"/>
            <w:vMerge w:val="continue"/>
            <w:tcBorders>
              <w:tl2br w:val="nil"/>
              <w:tr2bl w:val="nil"/>
            </w:tcBorders>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FF"/>
                <w:sz w:val="21"/>
                <w:szCs w:val="21"/>
                <w:highlight w:val="none"/>
                <w:u w:val="none"/>
              </w:rPr>
            </w:pPr>
          </w:p>
        </w:tc>
        <w:tc>
          <w:tcPr>
            <w:tcW w:w="37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猪（折算）</w:t>
            </w:r>
          </w:p>
        </w:tc>
        <w:tc>
          <w:tcPr>
            <w:tcW w:w="2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lang w:val="en-US"/>
              </w:rPr>
            </w:pPr>
            <w:r>
              <w:rPr>
                <w:rFonts w:hint="eastAsia" w:eastAsia="宋体" w:cs="Times New Roman"/>
                <w:i w:val="0"/>
                <w:iCs w:val="0"/>
                <w:color w:val="0000FF"/>
                <w:kern w:val="0"/>
                <w:sz w:val="21"/>
                <w:szCs w:val="21"/>
                <w:highlight w:val="none"/>
                <w:u w:val="none"/>
                <w:lang w:val="en-US" w:eastAsia="zh-CN" w:bidi="ar"/>
              </w:rPr>
              <w:t>12508</w:t>
            </w:r>
          </w:p>
        </w:tc>
        <w:tc>
          <w:tcPr>
            <w:tcW w:w="23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49.4</w:t>
            </w:r>
          </w:p>
        </w:tc>
        <w:tc>
          <w:tcPr>
            <w:tcW w:w="45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g /</w:t>
            </w:r>
            <w:r>
              <w:rPr>
                <w:rFonts w:hint="eastAsia" w:ascii="宋体" w:hAnsi="宋体" w:eastAsia="宋体" w:cs="宋体"/>
                <w:i w:val="0"/>
                <w:iCs w:val="0"/>
                <w:color w:val="0000FF"/>
                <w:kern w:val="0"/>
                <w:sz w:val="21"/>
                <w:szCs w:val="21"/>
                <w:highlight w:val="none"/>
                <w:u w:val="none"/>
                <w:lang w:val="en-US" w:eastAsia="zh-CN" w:bidi="ar"/>
              </w:rPr>
              <w:t>头</w:t>
            </w:r>
            <w:r>
              <w:rPr>
                <w:rFonts w:hint="default" w:ascii="Times New Roman" w:hAnsi="Times New Roman" w:eastAsia="宋体" w:cs="Times New Roman"/>
                <w:i w:val="0"/>
                <w:iCs w:val="0"/>
                <w:color w:val="0000FF"/>
                <w:kern w:val="0"/>
                <w:sz w:val="21"/>
                <w:szCs w:val="21"/>
                <w:highlight w:val="none"/>
                <w:u w:val="none"/>
                <w:lang w:val="en-US" w:eastAsia="zh-CN" w:bidi="ar"/>
              </w:rPr>
              <w:t>·d</w:t>
            </w:r>
          </w:p>
        </w:tc>
        <w:tc>
          <w:tcPr>
            <w:tcW w:w="34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 xml:space="preserve">225.53 </w:t>
            </w:r>
          </w:p>
        </w:tc>
        <w:tc>
          <w:tcPr>
            <w:tcW w:w="3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0.6</w:t>
            </w:r>
          </w:p>
        </w:tc>
        <w:tc>
          <w:tcPr>
            <w:tcW w:w="44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g /</w:t>
            </w:r>
            <w:r>
              <w:rPr>
                <w:rFonts w:hint="eastAsia" w:ascii="宋体" w:hAnsi="宋体" w:eastAsia="宋体" w:cs="宋体"/>
                <w:i w:val="0"/>
                <w:iCs w:val="0"/>
                <w:color w:val="0000FF"/>
                <w:kern w:val="0"/>
                <w:sz w:val="21"/>
                <w:szCs w:val="21"/>
                <w:highlight w:val="none"/>
                <w:u w:val="none"/>
                <w:lang w:val="en-US" w:eastAsia="zh-CN" w:bidi="ar"/>
              </w:rPr>
              <w:t>头</w:t>
            </w:r>
            <w:r>
              <w:rPr>
                <w:rFonts w:hint="default" w:ascii="Times New Roman" w:hAnsi="Times New Roman" w:eastAsia="宋体" w:cs="Times New Roman"/>
                <w:i w:val="0"/>
                <w:iCs w:val="0"/>
                <w:color w:val="0000FF"/>
                <w:kern w:val="0"/>
                <w:sz w:val="21"/>
                <w:szCs w:val="21"/>
                <w:highlight w:val="none"/>
                <w:u w:val="none"/>
                <w:lang w:val="en-US" w:eastAsia="zh-CN" w:bidi="ar"/>
              </w:rPr>
              <w:t>·d</w:t>
            </w:r>
          </w:p>
        </w:tc>
        <w:tc>
          <w:tcPr>
            <w:tcW w:w="2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 xml:space="preserve">2.74 </w:t>
            </w:r>
          </w:p>
        </w:tc>
        <w:tc>
          <w:tcPr>
            <w:tcW w:w="27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0.7</w:t>
            </w:r>
          </w:p>
        </w:tc>
        <w:tc>
          <w:tcPr>
            <w:tcW w:w="4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g /</w:t>
            </w:r>
            <w:r>
              <w:rPr>
                <w:rFonts w:hint="eastAsia" w:ascii="宋体" w:hAnsi="宋体" w:eastAsia="宋体" w:cs="宋体"/>
                <w:i w:val="0"/>
                <w:iCs w:val="0"/>
                <w:color w:val="0000FF"/>
                <w:kern w:val="0"/>
                <w:sz w:val="21"/>
                <w:szCs w:val="21"/>
                <w:highlight w:val="none"/>
                <w:u w:val="none"/>
                <w:lang w:val="en-US" w:eastAsia="zh-CN" w:bidi="ar"/>
              </w:rPr>
              <w:t>头</w:t>
            </w:r>
            <w:r>
              <w:rPr>
                <w:rFonts w:hint="default" w:ascii="Times New Roman" w:hAnsi="Times New Roman" w:eastAsia="宋体" w:cs="Times New Roman"/>
                <w:i w:val="0"/>
                <w:iCs w:val="0"/>
                <w:color w:val="0000FF"/>
                <w:kern w:val="0"/>
                <w:sz w:val="21"/>
                <w:szCs w:val="21"/>
                <w:highlight w:val="none"/>
                <w:u w:val="none"/>
                <w:lang w:val="en-US" w:eastAsia="zh-CN" w:bidi="ar"/>
              </w:rPr>
              <w:t>·d</w:t>
            </w:r>
          </w:p>
        </w:tc>
        <w:tc>
          <w:tcPr>
            <w:tcW w:w="30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 xml:space="preserve">3.20 </w:t>
            </w:r>
          </w:p>
        </w:tc>
        <w:tc>
          <w:tcPr>
            <w:tcW w:w="32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4.6</w:t>
            </w:r>
          </w:p>
        </w:tc>
        <w:tc>
          <w:tcPr>
            <w:tcW w:w="4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g /</w:t>
            </w:r>
            <w:r>
              <w:rPr>
                <w:rFonts w:hint="eastAsia" w:ascii="宋体" w:hAnsi="宋体" w:eastAsia="宋体" w:cs="宋体"/>
                <w:i w:val="0"/>
                <w:iCs w:val="0"/>
                <w:color w:val="0000FF"/>
                <w:kern w:val="0"/>
                <w:sz w:val="21"/>
                <w:szCs w:val="21"/>
                <w:highlight w:val="none"/>
                <w:u w:val="none"/>
                <w:lang w:val="en-US" w:eastAsia="zh-CN" w:bidi="ar"/>
              </w:rPr>
              <w:t>头</w:t>
            </w:r>
            <w:r>
              <w:rPr>
                <w:rFonts w:hint="default" w:ascii="Times New Roman" w:hAnsi="Times New Roman" w:eastAsia="宋体" w:cs="Times New Roman"/>
                <w:i w:val="0"/>
                <w:iCs w:val="0"/>
                <w:color w:val="0000FF"/>
                <w:kern w:val="0"/>
                <w:sz w:val="21"/>
                <w:szCs w:val="21"/>
                <w:highlight w:val="none"/>
                <w:u w:val="none"/>
                <w:lang w:val="en-US" w:eastAsia="zh-CN" w:bidi="ar"/>
              </w:rPr>
              <w:t>·d</w:t>
            </w:r>
          </w:p>
        </w:tc>
        <w:tc>
          <w:tcPr>
            <w:tcW w:w="2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 xml:space="preserve">21.00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224" w:type="pct"/>
            <w:vMerge w:val="continue"/>
            <w:tcBorders>
              <w:tl2br w:val="nil"/>
              <w:tr2bl w:val="nil"/>
            </w:tcBorders>
            <w:shd w:val="clear" w:color="auto" w:fill="auto"/>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i w:val="0"/>
                <w:iCs w:val="0"/>
                <w:color w:val="0000FF"/>
                <w:sz w:val="21"/>
                <w:szCs w:val="21"/>
                <w:highlight w:val="none"/>
                <w:u w:val="none"/>
              </w:rPr>
            </w:pPr>
          </w:p>
        </w:tc>
        <w:tc>
          <w:tcPr>
            <w:tcW w:w="37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i w:val="0"/>
                <w:iCs w:val="0"/>
                <w:color w:val="0000FF"/>
                <w:sz w:val="21"/>
                <w:szCs w:val="21"/>
                <w:highlight w:val="none"/>
                <w:u w:val="none"/>
              </w:rPr>
            </w:pPr>
            <w:r>
              <w:rPr>
                <w:rFonts w:hint="eastAsia" w:ascii="宋体" w:hAnsi="宋体" w:eastAsia="宋体" w:cs="宋体"/>
                <w:i w:val="0"/>
                <w:iCs w:val="0"/>
                <w:color w:val="0000FF"/>
                <w:kern w:val="0"/>
                <w:sz w:val="21"/>
                <w:szCs w:val="21"/>
                <w:highlight w:val="none"/>
                <w:u w:val="none"/>
                <w:lang w:val="en-US" w:eastAsia="zh-CN" w:bidi="ar"/>
              </w:rPr>
              <w:t>合计</w:t>
            </w:r>
          </w:p>
        </w:tc>
        <w:tc>
          <w:tcPr>
            <w:tcW w:w="2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w:t>
            </w:r>
          </w:p>
        </w:tc>
        <w:tc>
          <w:tcPr>
            <w:tcW w:w="23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w:t>
            </w:r>
          </w:p>
        </w:tc>
        <w:tc>
          <w:tcPr>
            <w:tcW w:w="454"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w:t>
            </w:r>
          </w:p>
        </w:tc>
        <w:tc>
          <w:tcPr>
            <w:tcW w:w="34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 xml:space="preserve">630.73 </w:t>
            </w:r>
          </w:p>
        </w:tc>
        <w:tc>
          <w:tcPr>
            <w:tcW w:w="309"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0000FF"/>
                <w:sz w:val="21"/>
                <w:szCs w:val="21"/>
                <w:highlight w:val="none"/>
                <w:u w:val="none"/>
              </w:rPr>
            </w:pPr>
          </w:p>
        </w:tc>
        <w:tc>
          <w:tcPr>
            <w:tcW w:w="44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w:t>
            </w:r>
          </w:p>
        </w:tc>
        <w:tc>
          <w:tcPr>
            <w:tcW w:w="2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 xml:space="preserve">7.04 </w:t>
            </w:r>
          </w:p>
        </w:tc>
        <w:tc>
          <w:tcPr>
            <w:tcW w:w="27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i w:val="0"/>
                <w:iCs w:val="0"/>
                <w:color w:val="0000FF"/>
                <w:sz w:val="21"/>
                <w:szCs w:val="21"/>
                <w:highlight w:val="none"/>
                <w:u w:val="none"/>
              </w:rPr>
            </w:pPr>
          </w:p>
        </w:tc>
        <w:tc>
          <w:tcPr>
            <w:tcW w:w="4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w:t>
            </w:r>
          </w:p>
        </w:tc>
        <w:tc>
          <w:tcPr>
            <w:tcW w:w="30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 xml:space="preserve">10.52 </w:t>
            </w:r>
          </w:p>
        </w:tc>
        <w:tc>
          <w:tcPr>
            <w:tcW w:w="32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w:t>
            </w:r>
          </w:p>
        </w:tc>
        <w:tc>
          <w:tcPr>
            <w:tcW w:w="44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w:t>
            </w:r>
          </w:p>
        </w:tc>
        <w:tc>
          <w:tcPr>
            <w:tcW w:w="2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highlight w:val="none"/>
                <w:u w:val="none"/>
              </w:rPr>
            </w:pPr>
            <w:r>
              <w:rPr>
                <w:rFonts w:hint="default" w:ascii="Times New Roman" w:hAnsi="Times New Roman" w:eastAsia="宋体" w:cs="Times New Roman"/>
                <w:i w:val="0"/>
                <w:iCs w:val="0"/>
                <w:color w:val="0000FF"/>
                <w:kern w:val="0"/>
                <w:sz w:val="21"/>
                <w:szCs w:val="21"/>
                <w:highlight w:val="none"/>
                <w:u w:val="none"/>
                <w:lang w:val="en-US" w:eastAsia="zh-CN" w:bidi="ar"/>
              </w:rPr>
              <w:t xml:space="preserve">71.17 </w:t>
            </w:r>
          </w:p>
        </w:tc>
      </w:tr>
    </w:tbl>
    <w:p>
      <w:pPr>
        <w:pStyle w:val="13"/>
        <w:adjustRightInd w:val="0"/>
        <w:snapToGrid w:val="0"/>
        <w:spacing w:line="360" w:lineRule="auto"/>
        <w:ind w:firstLine="480" w:firstLineChars="200"/>
        <w:rPr>
          <w:rFonts w:hint="default" w:ascii="Times New Roman" w:hAnsi="Times New Roman" w:cs="Times New Roman"/>
          <w:color w:val="0000FF"/>
          <w:sz w:val="24"/>
          <w:szCs w:val="24"/>
          <w:highlight w:val="none"/>
        </w:rPr>
      </w:pPr>
      <w:r>
        <w:rPr>
          <w:rFonts w:hint="default" w:ascii="Times New Roman" w:hAnsi="Times New Roman" w:cs="Times New Roman"/>
          <w:color w:val="0000FF"/>
          <w:sz w:val="24"/>
          <w:szCs w:val="24"/>
          <w:highlight w:val="none"/>
        </w:rPr>
        <w:t>根据统计</w:t>
      </w:r>
      <w:r>
        <w:rPr>
          <w:rFonts w:hint="default" w:ascii="Times New Roman" w:hAnsi="Times New Roman" w:cs="Times New Roman"/>
          <w:color w:val="0000FF"/>
          <w:sz w:val="24"/>
          <w:szCs w:val="24"/>
          <w:highlight w:val="none"/>
          <w:lang w:val="en-US" w:eastAsia="zh-CN"/>
        </w:rPr>
        <w:t>上表</w:t>
      </w:r>
      <w:r>
        <w:rPr>
          <w:rFonts w:hint="default" w:ascii="Times New Roman" w:hAnsi="Times New Roman" w:cs="Times New Roman"/>
          <w:color w:val="0000FF"/>
          <w:sz w:val="24"/>
          <w:szCs w:val="24"/>
          <w:highlight w:val="none"/>
        </w:rPr>
        <w:t>估算可知，</w:t>
      </w:r>
      <w:r>
        <w:rPr>
          <w:rFonts w:hint="eastAsia" w:ascii="Times New Roman" w:hAnsi="Times New Roman" w:cs="Times New Roman"/>
          <w:color w:val="0000FF"/>
          <w:sz w:val="24"/>
          <w:szCs w:val="24"/>
          <w:highlight w:val="none"/>
          <w:lang w:val="en-US" w:eastAsia="zh-CN"/>
        </w:rPr>
        <w:t>灌区</w:t>
      </w:r>
      <w:r>
        <w:rPr>
          <w:rFonts w:hint="default" w:ascii="Times New Roman" w:hAnsi="Times New Roman" w:cs="Times New Roman"/>
          <w:color w:val="0000FF"/>
          <w:sz w:val="24"/>
          <w:szCs w:val="24"/>
          <w:highlight w:val="none"/>
        </w:rPr>
        <w:t xml:space="preserve">内面源污染每年共产生COD </w:t>
      </w:r>
      <w:r>
        <w:rPr>
          <w:rFonts w:hint="default" w:ascii="Times New Roman" w:hAnsi="Times New Roman" w:cs="Times New Roman"/>
          <w:color w:val="0000FF"/>
          <w:sz w:val="24"/>
          <w:szCs w:val="24"/>
          <w:highlight w:val="none"/>
          <w:lang w:val="en-US" w:eastAsia="zh-CN"/>
        </w:rPr>
        <w:t xml:space="preserve">630.73 </w:t>
      </w:r>
      <w:r>
        <w:rPr>
          <w:rFonts w:hint="default" w:ascii="Times New Roman" w:hAnsi="Times New Roman" w:cs="Times New Roman"/>
          <w:color w:val="0000FF"/>
          <w:sz w:val="24"/>
          <w:szCs w:val="24"/>
          <w:highlight w:val="none"/>
        </w:rPr>
        <w:t>t</w:t>
      </w:r>
      <w:r>
        <w:rPr>
          <w:rFonts w:hint="default" w:ascii="Times New Roman" w:hAnsi="Times New Roman" w:cs="Times New Roman"/>
          <w:color w:val="0000FF"/>
          <w:sz w:val="24"/>
          <w:szCs w:val="24"/>
          <w:highlight w:val="none"/>
          <w:lang w:eastAsia="zh-CN"/>
        </w:rPr>
        <w:t>、</w:t>
      </w:r>
      <w:r>
        <w:rPr>
          <w:rFonts w:hint="default" w:ascii="Times New Roman" w:hAnsi="Times New Roman" w:cs="Times New Roman"/>
          <w:color w:val="0000FF"/>
          <w:sz w:val="24"/>
          <w:szCs w:val="24"/>
          <w:highlight w:val="none"/>
        </w:rPr>
        <w:t>氨氮</w:t>
      </w:r>
      <w:r>
        <w:rPr>
          <w:rFonts w:hint="eastAsia" w:ascii="Times New Roman" w:hAnsi="Times New Roman" w:cs="Times New Roman"/>
          <w:color w:val="0000FF"/>
          <w:sz w:val="24"/>
          <w:szCs w:val="24"/>
          <w:highlight w:val="none"/>
          <w:lang w:val="en-US" w:eastAsia="zh-CN"/>
        </w:rPr>
        <w:t>7.04 t</w:t>
      </w:r>
      <w:r>
        <w:rPr>
          <w:rFonts w:hint="default" w:ascii="Times New Roman" w:hAnsi="Times New Roman" w:cs="Times New Roman"/>
          <w:color w:val="0000FF"/>
          <w:sz w:val="24"/>
          <w:szCs w:val="24"/>
          <w:highlight w:val="none"/>
          <w:lang w:eastAsia="zh-CN"/>
        </w:rPr>
        <w:t>、</w:t>
      </w:r>
      <w:r>
        <w:rPr>
          <w:rFonts w:hint="default" w:ascii="Times New Roman" w:hAnsi="Times New Roman" w:cs="Times New Roman"/>
          <w:color w:val="0000FF"/>
          <w:sz w:val="24"/>
          <w:szCs w:val="24"/>
          <w:highlight w:val="none"/>
          <w:lang w:val="en-US" w:eastAsia="zh-CN"/>
        </w:rPr>
        <w:t>总磷</w:t>
      </w:r>
      <w:r>
        <w:rPr>
          <w:rFonts w:hint="eastAsia" w:ascii="Times New Roman" w:hAnsi="Times New Roman" w:cs="Times New Roman"/>
          <w:color w:val="0000FF"/>
          <w:sz w:val="24"/>
          <w:szCs w:val="24"/>
          <w:highlight w:val="none"/>
          <w:lang w:val="en-US" w:eastAsia="zh-CN"/>
        </w:rPr>
        <w:t>10.52t</w:t>
      </w:r>
      <w:r>
        <w:rPr>
          <w:rFonts w:hint="default" w:ascii="Times New Roman" w:hAnsi="Times New Roman" w:cs="Times New Roman"/>
          <w:color w:val="0000FF"/>
          <w:sz w:val="24"/>
          <w:szCs w:val="24"/>
          <w:highlight w:val="none"/>
        </w:rPr>
        <w:t>、</w:t>
      </w:r>
      <w:r>
        <w:rPr>
          <w:rFonts w:hint="default" w:ascii="Times New Roman" w:hAnsi="Times New Roman" w:cs="Times New Roman"/>
          <w:color w:val="0000FF"/>
          <w:sz w:val="24"/>
          <w:szCs w:val="24"/>
          <w:highlight w:val="none"/>
          <w:lang w:val="en-US" w:eastAsia="zh-CN"/>
        </w:rPr>
        <w:t>总氮</w:t>
      </w:r>
      <w:r>
        <w:rPr>
          <w:rFonts w:hint="eastAsia" w:ascii="Times New Roman" w:hAnsi="Times New Roman" w:cs="Times New Roman"/>
          <w:color w:val="0000FF"/>
          <w:sz w:val="24"/>
          <w:szCs w:val="24"/>
          <w:highlight w:val="none"/>
          <w:lang w:val="en-US" w:eastAsia="zh-CN"/>
        </w:rPr>
        <w:t>71.17t</w:t>
      </w:r>
      <w:r>
        <w:rPr>
          <w:rFonts w:hint="default" w:ascii="Times New Roman" w:hAnsi="Times New Roman" w:cs="Times New Roman"/>
          <w:color w:val="0000FF"/>
          <w:sz w:val="24"/>
          <w:szCs w:val="24"/>
          <w:highlight w:val="none"/>
        </w:rPr>
        <w:t>。</w:t>
      </w:r>
    </w:p>
    <w:p>
      <w:pPr>
        <w:ind w:firstLine="480"/>
        <w:rPr>
          <w:rFonts w:hint="default" w:ascii="Times New Roman" w:hAnsi="Times New Roman" w:cs="Times New Roman"/>
          <w:color w:val="0000FF"/>
          <w:highlight w:val="none"/>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p>
    <w:p>
      <w:pPr>
        <w:ind w:firstLine="480"/>
        <w:rPr>
          <w:rFonts w:hint="default" w:ascii="Times New Roman" w:hAnsi="Times New Roman" w:cs="Times New Roman"/>
          <w:color w:val="0000FF"/>
          <w:highlight w:val="none"/>
        </w:rPr>
      </w:pPr>
    </w:p>
    <w:p>
      <w:pPr>
        <w:pStyle w:val="5"/>
        <w:bidi w:val="0"/>
        <w:rPr>
          <w:rFonts w:hint="default"/>
          <w:lang w:val="en-US" w:eastAsia="zh-CN"/>
        </w:rPr>
      </w:pPr>
      <w:r>
        <w:rPr>
          <w:rFonts w:hint="eastAsia"/>
          <w:lang w:val="en-US" w:eastAsia="zh-CN"/>
        </w:rPr>
        <w:t>地表水质量现状调查</w:t>
      </w:r>
    </w:p>
    <w:p>
      <w:pPr>
        <w:bidi w:val="0"/>
        <w:rPr>
          <w:rFonts w:hint="default"/>
          <w:color w:val="auto"/>
          <w:highlight w:val="yellow"/>
          <w:lang w:val="en-US" w:eastAsia="zh-CN"/>
        </w:rPr>
      </w:pPr>
      <w:r>
        <w:rPr>
          <w:rFonts w:hint="eastAsia"/>
          <w:color w:val="0000FF"/>
          <w:highlight w:val="none"/>
          <w:lang w:val="en-US" w:eastAsia="zh-CN"/>
        </w:rPr>
        <w:t>水源区、退水区：</w:t>
      </w:r>
      <w:r>
        <w:rPr>
          <w:rFonts w:hint="eastAsia"/>
          <w:color w:val="0000FF"/>
          <w:sz w:val="24"/>
          <w:szCs w:val="24"/>
          <w:highlight w:val="none"/>
          <w:lang w:val="en-US" w:eastAsia="zh-CN"/>
        </w:rPr>
        <w:t>本项目水源为“金沙江乌东德水电站水资源综合利用—元谋县姜驿乡提水工程”，该工程利用一级浮船泵站从金沙江乌东德电站库区取水至</w:t>
      </w:r>
      <w:r>
        <w:rPr>
          <w:rFonts w:hint="default"/>
          <w:color w:val="0000FF"/>
          <w:sz w:val="24"/>
          <w:szCs w:val="24"/>
          <w:highlight w:val="none"/>
          <w:lang w:val="en-US" w:eastAsia="zh-CN"/>
        </w:rPr>
        <w:t>2040m³</w:t>
      </w:r>
      <w:r>
        <w:rPr>
          <w:rFonts w:hint="eastAsia"/>
          <w:color w:val="0000FF"/>
          <w:sz w:val="24"/>
          <w:szCs w:val="24"/>
          <w:highlight w:val="none"/>
          <w:lang w:val="en-US" w:eastAsia="zh-CN"/>
        </w:rPr>
        <w:t>的高位水池，一级浮船泵站西北侧约100m为姜驿乡抗旱应急供水工程饮用水取水点（阿咪拉取水点），水源区水质引用该取水点数据进行说明。同时因退水区</w:t>
      </w:r>
      <w:r>
        <w:rPr>
          <w:rFonts w:hint="eastAsia"/>
          <w:color w:val="0000FF"/>
          <w:highlight w:val="none"/>
          <w:lang w:val="en-US" w:eastAsia="zh-CN"/>
        </w:rPr>
        <w:t>沙沟箐、姜驿河为高山季节性溪沟，旱季呈干涸状态，雨季有少量雨水汇流。进行现状调查采样时，姜驿河与沙沟箐无水，故未进行监测。姜驿乡抗旱应急供水工程饮用水取水点（阿咪拉取水点）在退水区下游，引用该点数据进行说明。</w:t>
      </w:r>
    </w:p>
    <w:p>
      <w:pPr>
        <w:bidi w:val="0"/>
        <w:rPr>
          <w:rFonts w:hint="default"/>
          <w:color w:val="auto"/>
          <w:highlight w:val="none"/>
          <w:lang w:val="en-US" w:eastAsia="zh-CN"/>
        </w:rPr>
      </w:pPr>
      <w:r>
        <w:rPr>
          <w:rFonts w:hint="eastAsia"/>
          <w:color w:val="auto"/>
          <w:highlight w:val="none"/>
          <w:lang w:val="en-US" w:eastAsia="zh-CN"/>
        </w:rPr>
        <w:t>受水区：界牌箐（阿拉益）水库、水平石水库、姜中水库、李官坟水库。</w:t>
      </w:r>
    </w:p>
    <w:p>
      <w:pPr>
        <w:bidi w:val="0"/>
        <w:rPr>
          <w:rFonts w:hint="eastAsia"/>
          <w:color w:val="auto"/>
          <w:highlight w:val="none"/>
          <w:lang w:val="en-US" w:eastAsia="zh-CN"/>
        </w:rPr>
      </w:pPr>
      <w:r>
        <w:rPr>
          <w:rFonts w:hint="eastAsia"/>
          <w:color w:val="auto"/>
          <w:highlight w:val="none"/>
          <w:lang w:val="en-US" w:eastAsia="zh-CN"/>
        </w:rPr>
        <w:t>本项目受退水区水质来源情况表见4.2.3-1.</w:t>
      </w:r>
    </w:p>
    <w:p>
      <w:pPr>
        <w:bidi w:val="0"/>
        <w:spacing w:line="240" w:lineRule="auto"/>
        <w:ind w:firstLine="2409" w:firstLineChars="1000"/>
        <w:jc w:val="both"/>
        <w:rPr>
          <w:rFonts w:hint="default"/>
          <w:b/>
          <w:bCs/>
          <w:color w:val="auto"/>
          <w:highlight w:val="yellow"/>
          <w:lang w:val="en-US" w:eastAsia="zh-CN"/>
        </w:rPr>
      </w:pPr>
      <w:r>
        <w:rPr>
          <w:rFonts w:hint="eastAsia"/>
          <w:b/>
          <w:bCs/>
          <w:color w:val="auto"/>
          <w:highlight w:val="yellow"/>
          <w:lang w:val="en-US" w:eastAsia="zh-CN"/>
        </w:rPr>
        <w:t>表4.2.3-1  项目现状水质来源</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2093"/>
        <w:gridCol w:w="2723"/>
        <w:gridCol w:w="29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default" w:ascii="Times New Roman" w:hAnsi="Times New Roman" w:eastAsia="宋体" w:cs="Times New Roman"/>
                <w:color w:val="0000FF"/>
                <w:sz w:val="21"/>
                <w:szCs w:val="21"/>
                <w:highlight w:val="none"/>
                <w:vertAlign w:val="baseline"/>
                <w:lang w:val="en-US" w:eastAsia="zh-CN"/>
              </w:rPr>
              <w:t>序号</w:t>
            </w:r>
          </w:p>
        </w:tc>
        <w:tc>
          <w:tcPr>
            <w:tcW w:w="122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区域</w:t>
            </w:r>
          </w:p>
        </w:tc>
        <w:tc>
          <w:tcPr>
            <w:tcW w:w="1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名称</w:t>
            </w:r>
          </w:p>
        </w:tc>
        <w:tc>
          <w:tcPr>
            <w:tcW w:w="175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default" w:ascii="Times New Roman" w:hAnsi="Times New Roman" w:eastAsia="宋体" w:cs="Times New Roman"/>
                <w:color w:val="0000FF"/>
                <w:sz w:val="21"/>
                <w:szCs w:val="21"/>
                <w:highlight w:val="none"/>
                <w:vertAlign w:val="baseline"/>
                <w:lang w:val="en-US" w:eastAsia="zh-CN"/>
              </w:rPr>
              <w:t>水质来源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4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1</w:t>
            </w:r>
          </w:p>
        </w:tc>
        <w:tc>
          <w:tcPr>
            <w:tcW w:w="122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水源区（依托）</w:t>
            </w:r>
          </w:p>
        </w:tc>
        <w:tc>
          <w:tcPr>
            <w:tcW w:w="1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金沙江乌东德水电站水资源综合利用—元谋县姜驿乡提水工程水源</w:t>
            </w:r>
          </w:p>
        </w:tc>
        <w:tc>
          <w:tcPr>
            <w:tcW w:w="1753"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default" w:ascii="Times New Roman" w:hAnsi="Times New Roman" w:eastAsia="宋体" w:cs="Times New Roman"/>
                <w:color w:val="0000FF"/>
                <w:sz w:val="21"/>
                <w:szCs w:val="21"/>
                <w:highlight w:val="none"/>
                <w:vertAlign w:val="baseline"/>
                <w:lang w:val="en-US" w:eastAsia="zh-CN"/>
              </w:rPr>
              <w:t>姜驿乡抗旱应急供水工程饮用水取水点（阿咪拉取水点）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2</w:t>
            </w:r>
          </w:p>
        </w:tc>
        <w:tc>
          <w:tcPr>
            <w:tcW w:w="122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退水区</w:t>
            </w:r>
          </w:p>
        </w:tc>
        <w:tc>
          <w:tcPr>
            <w:tcW w:w="1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yellow"/>
                <w:vertAlign w:val="baseline"/>
                <w:lang w:val="en-US" w:eastAsia="zh-CN"/>
              </w:rPr>
            </w:pPr>
            <w:r>
              <w:rPr>
                <w:rFonts w:hint="eastAsia" w:cs="Times New Roman"/>
                <w:color w:val="0000FF"/>
                <w:sz w:val="21"/>
                <w:szCs w:val="21"/>
                <w:highlight w:val="none"/>
                <w:vertAlign w:val="baseline"/>
                <w:lang w:val="en-US" w:eastAsia="zh-CN"/>
              </w:rPr>
              <w:t>沙沟箐、姜驿河</w:t>
            </w:r>
          </w:p>
        </w:tc>
        <w:tc>
          <w:tcPr>
            <w:tcW w:w="1753"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yellow"/>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3</w:t>
            </w:r>
          </w:p>
        </w:tc>
        <w:tc>
          <w:tcPr>
            <w:tcW w:w="1229"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受水区</w:t>
            </w:r>
          </w:p>
        </w:tc>
        <w:tc>
          <w:tcPr>
            <w:tcW w:w="1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default" w:ascii="Times New Roman" w:hAnsi="Times New Roman" w:eastAsia="宋体" w:cs="Times New Roman"/>
                <w:color w:val="0000FF"/>
                <w:sz w:val="21"/>
                <w:szCs w:val="21"/>
                <w:highlight w:val="none"/>
                <w:vertAlign w:val="baseline"/>
                <w:lang w:val="en-US" w:eastAsia="zh-CN"/>
              </w:rPr>
              <w:t>界牌箐（阿拉益）水库</w:t>
            </w:r>
          </w:p>
        </w:tc>
        <w:tc>
          <w:tcPr>
            <w:tcW w:w="1753"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default" w:ascii="Times New Roman" w:hAnsi="Times New Roman" w:eastAsia="宋体" w:cs="Times New Roman"/>
                <w:color w:val="0000FF"/>
                <w:sz w:val="21"/>
                <w:szCs w:val="21"/>
                <w:highlight w:val="none"/>
                <w:vertAlign w:val="baseline"/>
                <w:lang w:val="en-US" w:eastAsia="zh-CN"/>
              </w:rPr>
              <w:t>补充监测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4</w:t>
            </w:r>
          </w:p>
        </w:tc>
        <w:tc>
          <w:tcPr>
            <w:tcW w:w="1229"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p>
        </w:tc>
        <w:tc>
          <w:tcPr>
            <w:tcW w:w="1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default" w:ascii="Times New Roman" w:hAnsi="Times New Roman" w:eastAsia="宋体" w:cs="Times New Roman"/>
                <w:color w:val="0000FF"/>
                <w:sz w:val="21"/>
                <w:szCs w:val="21"/>
                <w:highlight w:val="none"/>
                <w:vertAlign w:val="baseline"/>
                <w:lang w:val="en-US" w:eastAsia="zh-CN"/>
              </w:rPr>
              <w:t>水平石水库</w:t>
            </w:r>
          </w:p>
        </w:tc>
        <w:tc>
          <w:tcPr>
            <w:tcW w:w="1753"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5</w:t>
            </w:r>
          </w:p>
        </w:tc>
        <w:tc>
          <w:tcPr>
            <w:tcW w:w="1229"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s="Times New Roman"/>
                <w:color w:val="0000FF"/>
                <w:sz w:val="21"/>
                <w:szCs w:val="21"/>
                <w:highlight w:val="none"/>
                <w:vertAlign w:val="baseline"/>
                <w:lang w:val="en-US" w:eastAsia="zh-CN"/>
              </w:rPr>
            </w:pPr>
          </w:p>
        </w:tc>
        <w:tc>
          <w:tcPr>
            <w:tcW w:w="1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姜中水库</w:t>
            </w:r>
          </w:p>
        </w:tc>
        <w:tc>
          <w:tcPr>
            <w:tcW w:w="1753"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6</w:t>
            </w:r>
          </w:p>
        </w:tc>
        <w:tc>
          <w:tcPr>
            <w:tcW w:w="1229"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s="Times New Roman"/>
                <w:color w:val="0000FF"/>
                <w:sz w:val="21"/>
                <w:szCs w:val="21"/>
                <w:highlight w:val="none"/>
                <w:vertAlign w:val="baseline"/>
                <w:lang w:val="en-US" w:eastAsia="zh-CN"/>
              </w:rPr>
            </w:pPr>
          </w:p>
        </w:tc>
        <w:tc>
          <w:tcPr>
            <w:tcW w:w="1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r>
              <w:rPr>
                <w:rFonts w:hint="eastAsia" w:cs="Times New Roman"/>
                <w:color w:val="0000FF"/>
                <w:sz w:val="21"/>
                <w:szCs w:val="21"/>
                <w:highlight w:val="none"/>
                <w:vertAlign w:val="baseline"/>
                <w:lang w:val="en-US" w:eastAsia="zh-CN"/>
              </w:rPr>
              <w:t>李官坟水库</w:t>
            </w:r>
          </w:p>
        </w:tc>
        <w:tc>
          <w:tcPr>
            <w:tcW w:w="1753"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21"/>
                <w:szCs w:val="21"/>
                <w:highlight w:val="none"/>
                <w:vertAlign w:val="baseline"/>
                <w:lang w:val="en-US" w:eastAsia="zh-CN"/>
              </w:rPr>
            </w:pPr>
          </w:p>
        </w:tc>
      </w:tr>
    </w:tbl>
    <w:p>
      <w:pPr>
        <w:numPr>
          <w:ilvl w:val="0"/>
          <w:numId w:val="0"/>
        </w:numPr>
        <w:tabs>
          <w:tab w:val="left" w:pos="420"/>
        </w:tabs>
        <w:bidi w:val="0"/>
        <w:ind w:leftChars="200"/>
        <w:rPr>
          <w:rFonts w:hint="eastAsia"/>
          <w:b/>
          <w:bCs/>
          <w:lang w:eastAsia="zh-CN"/>
        </w:rPr>
      </w:pPr>
      <w:r>
        <w:rPr>
          <w:rFonts w:hint="eastAsia"/>
          <w:b/>
          <w:bCs/>
          <w:lang w:val="en-US" w:eastAsia="zh-CN"/>
        </w:rPr>
        <w:t>1、</w:t>
      </w:r>
      <w:r>
        <w:rPr>
          <w:rFonts w:hint="eastAsia"/>
          <w:b/>
          <w:bCs/>
          <w:lang w:eastAsia="zh-CN"/>
        </w:rPr>
        <w:t>评价方法</w:t>
      </w:r>
    </w:p>
    <w:p>
      <w:pPr>
        <w:adjustRightInd/>
        <w:snapToGrid/>
        <w:ind w:firstLine="480"/>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采用《环境影响评价技术导则 地表水环境》（HJ2.3-2018）附录D中的水质指数法进行评价，计算公式如下：</w:t>
      </w:r>
    </w:p>
    <w:p>
      <w:pPr>
        <w:adjustRightInd/>
        <w:snapToGrid/>
        <w:ind w:firstLine="0" w:firstLineChars="0"/>
        <w:jc w:val="center"/>
        <w:rPr>
          <w:rFonts w:hint="default" w:ascii="Times New Roman" w:hAnsi="Times New Roman" w:cs="Times New Roman"/>
          <w:color w:val="000000"/>
          <w:szCs w:val="24"/>
          <w:highlight w:val="none"/>
        </w:rPr>
      </w:pPr>
      <w:r>
        <w:rPr>
          <w:rFonts w:hint="default" w:ascii="Times New Roman" w:hAnsi="Times New Roman" w:cs="Times New Roman"/>
          <w:color w:val="000000"/>
          <w:position w:val="-14"/>
          <w:szCs w:val="24"/>
          <w:highlight w:val="none"/>
        </w:rPr>
        <w:drawing>
          <wp:inline distT="0" distB="0" distL="114300" distR="114300">
            <wp:extent cx="809625" cy="238125"/>
            <wp:effectExtent l="0" t="0" r="0" b="8255"/>
            <wp:docPr id="8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7"/>
                    <pic:cNvPicPr>
                      <a:picLocks noChangeAspect="1"/>
                    </pic:cNvPicPr>
                  </pic:nvPicPr>
                  <pic:blipFill>
                    <a:blip r:embed="rId57"/>
                    <a:stretch>
                      <a:fillRect/>
                    </a:stretch>
                  </pic:blipFill>
                  <pic:spPr>
                    <a:xfrm>
                      <a:off x="0" y="0"/>
                      <a:ext cx="809625" cy="238125"/>
                    </a:xfrm>
                    <a:prstGeom prst="rect">
                      <a:avLst/>
                    </a:prstGeom>
                    <a:noFill/>
                    <a:ln>
                      <a:noFill/>
                    </a:ln>
                  </pic:spPr>
                </pic:pic>
              </a:graphicData>
            </a:graphic>
          </wp:inline>
        </w:drawing>
      </w:r>
    </w:p>
    <w:p>
      <w:pPr>
        <w:topLinePunct/>
        <w:adjustRightInd/>
        <w:snapToGrid/>
        <w:spacing w:line="336" w:lineRule="auto"/>
        <w:ind w:firstLine="480" w:firstLineChars="0"/>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式中：S</w:t>
      </w:r>
      <w:r>
        <w:rPr>
          <w:rFonts w:hint="default" w:ascii="Times New Roman" w:hAnsi="Times New Roman" w:cs="Times New Roman"/>
          <w:color w:val="000000"/>
          <w:szCs w:val="24"/>
          <w:highlight w:val="none"/>
          <w:vertAlign w:val="subscript"/>
        </w:rPr>
        <w:t>ij</w:t>
      </w:r>
      <w:r>
        <w:rPr>
          <w:rFonts w:hint="default" w:ascii="Times New Roman" w:hAnsi="Times New Roman" w:cs="Times New Roman"/>
          <w:color w:val="000000"/>
          <w:szCs w:val="24"/>
          <w:highlight w:val="none"/>
        </w:rPr>
        <w:t xml:space="preserve"> ——评价因子i的水质指数，大于1表明该水质因子超标；</w:t>
      </w:r>
    </w:p>
    <w:p>
      <w:pPr>
        <w:adjustRightInd/>
        <w:snapToGrid/>
        <w:ind w:firstLine="480"/>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 xml:space="preserve">      C</w:t>
      </w:r>
      <w:r>
        <w:rPr>
          <w:rFonts w:hint="default" w:ascii="Times New Roman" w:hAnsi="Times New Roman" w:cs="Times New Roman"/>
          <w:color w:val="000000"/>
          <w:szCs w:val="24"/>
          <w:highlight w:val="none"/>
          <w:vertAlign w:val="subscript"/>
        </w:rPr>
        <w:t xml:space="preserve">ij </w:t>
      </w:r>
      <w:r>
        <w:rPr>
          <w:rFonts w:hint="default" w:ascii="Times New Roman" w:hAnsi="Times New Roman" w:cs="Times New Roman"/>
          <w:color w:val="000000"/>
          <w:szCs w:val="24"/>
          <w:highlight w:val="none"/>
        </w:rPr>
        <w:t>——评价因子i在j点的实测统计代表值，mg/L；</w:t>
      </w:r>
    </w:p>
    <w:p>
      <w:pPr>
        <w:adjustRightInd/>
        <w:snapToGrid/>
        <w:ind w:firstLine="480"/>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 xml:space="preserve">      C</w:t>
      </w:r>
      <w:r>
        <w:rPr>
          <w:rFonts w:hint="default" w:ascii="Times New Roman" w:hAnsi="Times New Roman" w:cs="Times New Roman"/>
          <w:color w:val="000000"/>
          <w:szCs w:val="24"/>
          <w:highlight w:val="none"/>
          <w:vertAlign w:val="subscript"/>
        </w:rPr>
        <w:t>i</w:t>
      </w:r>
      <w:r>
        <w:rPr>
          <w:rFonts w:hint="default" w:ascii="Times New Roman" w:hAnsi="Times New Roman" w:cs="Times New Roman"/>
          <w:color w:val="000000"/>
          <w:szCs w:val="24"/>
          <w:highlight w:val="none"/>
        </w:rPr>
        <w:t xml:space="preserve"> ——评价因子i的水质评价标准限值，mg/L。</w:t>
      </w:r>
    </w:p>
    <w:p>
      <w:pPr>
        <w:adjustRightInd/>
        <w:snapToGrid/>
        <w:ind w:firstLine="480"/>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DO的标准指数：</w:t>
      </w:r>
    </w:p>
    <w:p>
      <w:pPr>
        <w:adjustRightInd/>
        <w:snapToGrid/>
        <w:ind w:firstLine="0" w:firstLineChars="0"/>
        <w:jc w:val="center"/>
        <w:rPr>
          <w:rFonts w:hint="default" w:ascii="Times New Roman" w:hAnsi="Times New Roman" w:cs="Times New Roman"/>
          <w:color w:val="000000"/>
          <w:position w:val="-32"/>
          <w:szCs w:val="24"/>
          <w:highlight w:val="none"/>
        </w:rPr>
      </w:pPr>
      <w:r>
        <w:rPr>
          <w:rFonts w:hint="default" w:ascii="Times New Roman" w:hAnsi="Times New Roman" w:cs="Times New Roman"/>
          <w:color w:val="000000"/>
          <w:position w:val="-32"/>
          <w:szCs w:val="24"/>
          <w:highlight w:val="none"/>
        </w:rPr>
        <w:t xml:space="preserve">  </w:t>
      </w:r>
      <w:r>
        <w:rPr>
          <w:rFonts w:hint="default" w:ascii="Times New Roman" w:hAnsi="Times New Roman" w:cs="Times New Roman"/>
          <w:color w:val="000000"/>
          <w:position w:val="-32"/>
          <w:szCs w:val="24"/>
          <w:highlight w:val="none"/>
        </w:rPr>
        <w:drawing>
          <wp:inline distT="0" distB="0" distL="114300" distR="114300">
            <wp:extent cx="2372360" cy="906780"/>
            <wp:effectExtent l="0" t="0" r="8890" b="7620"/>
            <wp:docPr id="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
                    <pic:cNvPicPr>
                      <a:picLocks noChangeAspect="1"/>
                    </pic:cNvPicPr>
                  </pic:nvPicPr>
                  <pic:blipFill>
                    <a:blip r:embed="rId58"/>
                    <a:stretch>
                      <a:fillRect/>
                    </a:stretch>
                  </pic:blipFill>
                  <pic:spPr>
                    <a:xfrm>
                      <a:off x="0" y="0"/>
                      <a:ext cx="2372360" cy="906780"/>
                    </a:xfrm>
                    <a:prstGeom prst="rect">
                      <a:avLst/>
                    </a:prstGeom>
                    <a:noFill/>
                    <a:ln>
                      <a:noFill/>
                    </a:ln>
                  </pic:spPr>
                </pic:pic>
              </a:graphicData>
            </a:graphic>
          </wp:inline>
        </w:drawing>
      </w:r>
    </w:p>
    <w:p>
      <w:pPr>
        <w:topLinePunct/>
        <w:adjustRightInd/>
        <w:snapToGrid/>
        <w:spacing w:line="336" w:lineRule="auto"/>
        <w:ind w:firstLine="480" w:firstLineChars="0"/>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式中：S</w:t>
      </w:r>
      <w:r>
        <w:rPr>
          <w:rFonts w:hint="default" w:ascii="Times New Roman" w:hAnsi="Times New Roman" w:cs="Times New Roman"/>
          <w:color w:val="000000"/>
          <w:szCs w:val="24"/>
          <w:highlight w:val="none"/>
          <w:vertAlign w:val="subscript"/>
        </w:rPr>
        <w:t>DO，j</w:t>
      </w:r>
      <w:r>
        <w:rPr>
          <w:rFonts w:hint="default" w:ascii="Times New Roman" w:hAnsi="Times New Roman" w:cs="Times New Roman"/>
          <w:color w:val="000000"/>
          <w:szCs w:val="24"/>
          <w:highlight w:val="none"/>
        </w:rPr>
        <w:t>——溶解氧的标准指数，大于1表明该水质因子超标；</w:t>
      </w:r>
    </w:p>
    <w:p>
      <w:pPr>
        <w:adjustRightInd/>
        <w:snapToGrid/>
        <w:ind w:firstLine="480"/>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 xml:space="preserve">      DO</w:t>
      </w:r>
      <w:r>
        <w:rPr>
          <w:rFonts w:hint="default" w:ascii="Times New Roman" w:hAnsi="Times New Roman" w:cs="Times New Roman"/>
          <w:color w:val="000000"/>
          <w:szCs w:val="24"/>
          <w:highlight w:val="none"/>
          <w:vertAlign w:val="subscript"/>
        </w:rPr>
        <w:t>j</w:t>
      </w:r>
      <w:r>
        <w:rPr>
          <w:rFonts w:hint="default" w:ascii="Times New Roman" w:hAnsi="Times New Roman" w:cs="Times New Roman"/>
          <w:color w:val="000000"/>
          <w:szCs w:val="24"/>
          <w:highlight w:val="none"/>
        </w:rPr>
        <w:t>——溶解氧在j点的实测统计代表值，mg/L；</w:t>
      </w:r>
    </w:p>
    <w:p>
      <w:pPr>
        <w:adjustRightInd/>
        <w:snapToGrid/>
        <w:ind w:firstLine="1200" w:firstLineChars="500"/>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DO</w:t>
      </w:r>
      <w:r>
        <w:rPr>
          <w:rFonts w:hint="default" w:ascii="Times New Roman" w:hAnsi="Times New Roman" w:cs="Times New Roman"/>
          <w:color w:val="000000"/>
          <w:szCs w:val="24"/>
          <w:highlight w:val="none"/>
          <w:vertAlign w:val="subscript"/>
        </w:rPr>
        <w:t>s</w:t>
      </w:r>
      <w:r>
        <w:rPr>
          <w:rFonts w:hint="default" w:ascii="Times New Roman" w:hAnsi="Times New Roman" w:cs="Times New Roman"/>
          <w:color w:val="000000"/>
          <w:szCs w:val="24"/>
          <w:highlight w:val="none"/>
        </w:rPr>
        <w:t>——溶解氧的水质评价标准限值，mg/L；</w:t>
      </w:r>
    </w:p>
    <w:p>
      <w:pPr>
        <w:adjustRightInd/>
        <w:snapToGrid/>
        <w:ind w:firstLine="0" w:firstLineChars="0"/>
        <w:jc w:val="center"/>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 xml:space="preserve">          DO</w:t>
      </w:r>
      <w:r>
        <w:rPr>
          <w:rFonts w:hint="default" w:ascii="Times New Roman" w:hAnsi="Times New Roman" w:cs="Times New Roman"/>
          <w:color w:val="000000"/>
          <w:szCs w:val="24"/>
          <w:highlight w:val="none"/>
          <w:vertAlign w:val="subscript"/>
        </w:rPr>
        <w:t>f</w:t>
      </w:r>
      <w:r>
        <w:rPr>
          <w:rFonts w:hint="default" w:ascii="Times New Roman" w:hAnsi="Times New Roman" w:cs="Times New Roman"/>
          <w:color w:val="000000"/>
          <w:szCs w:val="24"/>
          <w:highlight w:val="none"/>
        </w:rPr>
        <w:t>——饱和溶解氧浓度，mg/L，对于河流，DO</w:t>
      </w:r>
      <w:r>
        <w:rPr>
          <w:rFonts w:hint="default" w:ascii="Times New Roman" w:hAnsi="Times New Roman" w:cs="Times New Roman"/>
          <w:color w:val="000000"/>
          <w:szCs w:val="24"/>
          <w:highlight w:val="none"/>
          <w:vertAlign w:val="subscript"/>
        </w:rPr>
        <w:t>f</w:t>
      </w:r>
      <w:r>
        <w:rPr>
          <w:rFonts w:hint="default" w:ascii="Times New Roman" w:hAnsi="Times New Roman" w:cs="Times New Roman"/>
          <w:color w:val="000000"/>
          <w:szCs w:val="24"/>
          <w:highlight w:val="none"/>
        </w:rPr>
        <w:t>=468/（36.1+T）；</w:t>
      </w:r>
    </w:p>
    <w:p>
      <w:pPr>
        <w:adjustRightInd/>
        <w:snapToGrid/>
        <w:ind w:firstLine="1200" w:firstLineChars="500"/>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T——水温，℃。</w:t>
      </w:r>
    </w:p>
    <w:p>
      <w:pPr>
        <w:adjustRightInd/>
        <w:snapToGrid/>
        <w:ind w:firstLine="480"/>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pH的标准指数：</w:t>
      </w:r>
    </w:p>
    <w:p>
      <w:pPr>
        <w:adjustRightInd/>
        <w:snapToGrid/>
        <w:ind w:firstLine="0" w:firstLineChars="0"/>
        <w:jc w:val="center"/>
        <w:rPr>
          <w:rFonts w:hint="default" w:ascii="Times New Roman" w:hAnsi="Times New Roman" w:cs="Times New Roman"/>
          <w:color w:val="000000"/>
          <w:szCs w:val="24"/>
          <w:highlight w:val="none"/>
        </w:rPr>
      </w:pPr>
      <w:r>
        <w:rPr>
          <w:rFonts w:hint="default" w:ascii="Times New Roman" w:hAnsi="Times New Roman" w:cs="Times New Roman"/>
          <w:color w:val="000000"/>
          <w:position w:val="-30"/>
          <w:szCs w:val="24"/>
          <w:highlight w:val="none"/>
        </w:rPr>
        <w:drawing>
          <wp:inline distT="0" distB="0" distL="114300" distR="114300">
            <wp:extent cx="1219200" cy="457200"/>
            <wp:effectExtent l="0" t="0" r="0" b="0"/>
            <wp:docPr id="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9"/>
                    <pic:cNvPicPr>
                      <a:picLocks noChangeAspect="1"/>
                    </pic:cNvPicPr>
                  </pic:nvPicPr>
                  <pic:blipFill>
                    <a:blip r:embed="rId59"/>
                    <a:stretch>
                      <a:fillRect/>
                    </a:stretch>
                  </pic:blipFill>
                  <pic:spPr>
                    <a:xfrm>
                      <a:off x="0" y="0"/>
                      <a:ext cx="1219200" cy="457200"/>
                    </a:xfrm>
                    <a:prstGeom prst="rect">
                      <a:avLst/>
                    </a:prstGeom>
                    <a:noFill/>
                    <a:ln>
                      <a:noFill/>
                    </a:ln>
                  </pic:spPr>
                </pic:pic>
              </a:graphicData>
            </a:graphic>
          </wp:inline>
        </w:drawing>
      </w:r>
      <w:r>
        <w:rPr>
          <w:rFonts w:hint="default" w:ascii="Times New Roman" w:hAnsi="Times New Roman" w:cs="Times New Roman"/>
          <w:color w:val="000000"/>
          <w:szCs w:val="24"/>
          <w:highlight w:val="none"/>
        </w:rPr>
        <w:t xml:space="preserve">(pH≤7.0)     </w:t>
      </w:r>
    </w:p>
    <w:p>
      <w:pPr>
        <w:adjustRightInd/>
        <w:snapToGrid/>
        <w:ind w:firstLine="0" w:firstLineChars="0"/>
        <w:jc w:val="center"/>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 xml:space="preserve"> </w:t>
      </w:r>
      <w:r>
        <w:rPr>
          <w:rFonts w:hint="default" w:ascii="Times New Roman" w:hAnsi="Times New Roman" w:cs="Times New Roman"/>
          <w:color w:val="000000"/>
          <w:position w:val="-30"/>
          <w:szCs w:val="24"/>
          <w:highlight w:val="none"/>
        </w:rPr>
        <w:drawing>
          <wp:inline distT="0" distB="0" distL="114300" distR="114300">
            <wp:extent cx="1219200" cy="457200"/>
            <wp:effectExtent l="0" t="0" r="0" b="0"/>
            <wp:docPr id="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0"/>
                    <pic:cNvPicPr>
                      <a:picLocks noChangeAspect="1"/>
                    </pic:cNvPicPr>
                  </pic:nvPicPr>
                  <pic:blipFill>
                    <a:blip r:embed="rId60"/>
                    <a:stretch>
                      <a:fillRect/>
                    </a:stretch>
                  </pic:blipFill>
                  <pic:spPr>
                    <a:xfrm>
                      <a:off x="0" y="0"/>
                      <a:ext cx="1219200" cy="457200"/>
                    </a:xfrm>
                    <a:prstGeom prst="rect">
                      <a:avLst/>
                    </a:prstGeom>
                    <a:noFill/>
                    <a:ln>
                      <a:noFill/>
                    </a:ln>
                  </pic:spPr>
                </pic:pic>
              </a:graphicData>
            </a:graphic>
          </wp:inline>
        </w:drawing>
      </w:r>
      <w:r>
        <w:rPr>
          <w:rFonts w:hint="default" w:ascii="Times New Roman" w:hAnsi="Times New Roman" w:cs="Times New Roman"/>
          <w:color w:val="000000"/>
          <w:szCs w:val="24"/>
          <w:highlight w:val="none"/>
        </w:rPr>
        <w:t>(pH＞7.0)</w:t>
      </w:r>
    </w:p>
    <w:p>
      <w:pPr>
        <w:topLinePunct/>
        <w:adjustRightInd/>
        <w:snapToGrid/>
        <w:spacing w:line="336" w:lineRule="auto"/>
        <w:ind w:firstLine="480" w:firstLineChars="0"/>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式中：S</w:t>
      </w:r>
      <w:r>
        <w:rPr>
          <w:rFonts w:hint="default" w:ascii="Times New Roman" w:hAnsi="Times New Roman" w:cs="Times New Roman"/>
          <w:color w:val="000000"/>
          <w:szCs w:val="24"/>
          <w:highlight w:val="none"/>
          <w:vertAlign w:val="subscript"/>
        </w:rPr>
        <w:t>pHj</w:t>
      </w:r>
      <w:r>
        <w:rPr>
          <w:rFonts w:hint="default" w:ascii="Times New Roman" w:hAnsi="Times New Roman" w:cs="Times New Roman"/>
          <w:color w:val="000000"/>
          <w:szCs w:val="24"/>
          <w:highlight w:val="none"/>
        </w:rPr>
        <w:t xml:space="preserve"> —— pH在j断面的标准指数，大于1表明该水质因子超标；</w:t>
      </w:r>
    </w:p>
    <w:p>
      <w:pPr>
        <w:topLinePunct/>
        <w:adjustRightInd/>
        <w:snapToGrid/>
        <w:spacing w:line="336" w:lineRule="auto"/>
        <w:ind w:firstLine="480" w:firstLineChars="0"/>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 xml:space="preserve">      pH</w:t>
      </w:r>
      <w:r>
        <w:rPr>
          <w:rFonts w:hint="default" w:ascii="Times New Roman" w:hAnsi="Times New Roman" w:cs="Times New Roman"/>
          <w:color w:val="000000"/>
          <w:szCs w:val="24"/>
          <w:highlight w:val="none"/>
          <w:vertAlign w:val="subscript"/>
        </w:rPr>
        <w:t>j</w:t>
      </w:r>
      <w:r>
        <w:rPr>
          <w:rFonts w:hint="default" w:ascii="Times New Roman" w:hAnsi="Times New Roman" w:cs="Times New Roman"/>
          <w:color w:val="000000"/>
          <w:szCs w:val="24"/>
          <w:highlight w:val="none"/>
        </w:rPr>
        <w:t xml:space="preserve"> —— 在j断面的pH值；</w:t>
      </w:r>
    </w:p>
    <w:p>
      <w:pPr>
        <w:topLinePunct/>
        <w:adjustRightInd/>
        <w:snapToGrid/>
        <w:spacing w:line="336" w:lineRule="auto"/>
        <w:ind w:firstLine="480" w:firstLineChars="0"/>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 xml:space="preserve">      pH</w:t>
      </w:r>
      <w:r>
        <w:rPr>
          <w:rFonts w:hint="default" w:ascii="Times New Roman" w:hAnsi="Times New Roman" w:cs="Times New Roman"/>
          <w:color w:val="000000"/>
          <w:szCs w:val="24"/>
          <w:highlight w:val="none"/>
          <w:vertAlign w:val="subscript"/>
        </w:rPr>
        <w:t xml:space="preserve">sd </w:t>
      </w:r>
      <w:r>
        <w:rPr>
          <w:rFonts w:hint="default" w:ascii="Times New Roman" w:hAnsi="Times New Roman" w:cs="Times New Roman"/>
          <w:color w:val="000000"/>
          <w:szCs w:val="24"/>
          <w:highlight w:val="none"/>
        </w:rPr>
        <w:t>—— pH的评价标准下限值；</w:t>
      </w:r>
    </w:p>
    <w:p>
      <w:pPr>
        <w:adjustRightInd/>
        <w:snapToGrid/>
        <w:ind w:firstLine="480"/>
        <w:rPr>
          <w:rFonts w:hint="default" w:ascii="Times New Roman" w:hAnsi="Times New Roman" w:cs="Times New Roman"/>
          <w:color w:val="000000"/>
          <w:szCs w:val="24"/>
          <w:highlight w:val="none"/>
        </w:rPr>
      </w:pPr>
      <w:r>
        <w:rPr>
          <w:rFonts w:hint="default" w:ascii="Times New Roman" w:hAnsi="Times New Roman" w:cs="Times New Roman"/>
          <w:color w:val="000000"/>
          <w:szCs w:val="24"/>
          <w:highlight w:val="none"/>
        </w:rPr>
        <w:t xml:space="preserve">      pH</w:t>
      </w:r>
      <w:r>
        <w:rPr>
          <w:rFonts w:hint="default" w:ascii="Times New Roman" w:hAnsi="Times New Roman" w:cs="Times New Roman"/>
          <w:color w:val="000000"/>
          <w:szCs w:val="24"/>
          <w:highlight w:val="none"/>
          <w:vertAlign w:val="subscript"/>
        </w:rPr>
        <w:t>su</w:t>
      </w:r>
      <w:r>
        <w:rPr>
          <w:rFonts w:hint="default" w:ascii="Times New Roman" w:hAnsi="Times New Roman" w:cs="Times New Roman"/>
          <w:color w:val="000000"/>
          <w:szCs w:val="24"/>
          <w:highlight w:val="none"/>
        </w:rPr>
        <w:t xml:space="preserve"> —— pH的评价标准上限值。</w:t>
      </w:r>
    </w:p>
    <w:p>
      <w:pPr>
        <w:bidi w:val="0"/>
        <w:ind w:firstLine="720" w:firstLineChars="300"/>
        <w:rPr>
          <w:rFonts w:hint="eastAsia"/>
          <w:color w:val="auto"/>
          <w:highlight w:val="none"/>
        </w:rPr>
      </w:pPr>
    </w:p>
    <w:p>
      <w:pPr>
        <w:pStyle w:val="36"/>
        <w:rPr>
          <w:rFonts w:hint="eastAsia"/>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p>
    <w:p>
      <w:pPr>
        <w:bidi w:val="0"/>
        <w:rPr>
          <w:b/>
          <w:bCs/>
        </w:rPr>
      </w:pPr>
      <w:r>
        <w:rPr>
          <w:rFonts w:hint="eastAsia"/>
          <w:b/>
          <w:bCs/>
          <w:lang w:val="en-US" w:eastAsia="zh-CN"/>
        </w:rPr>
        <w:t>2、水源区、退水区水质现状</w:t>
      </w:r>
    </w:p>
    <w:p>
      <w:pPr>
        <w:rPr>
          <w:rFonts w:hint="eastAsia"/>
          <w:color w:val="0000FF"/>
          <w:highlight w:val="yellow"/>
        </w:rPr>
      </w:pPr>
      <w:r>
        <w:rPr>
          <w:rFonts w:hint="eastAsia"/>
          <w:color w:val="0000FF"/>
        </w:rPr>
        <w:t>本项目水源为“金沙江乌东德水电站水资源综合利用—元谋县姜驿乡提水工程”，该工程利用一级浮船泵站从金沙江乌东德电站库区取水至2040m³的高位水池，一级浮船泵站西北侧约100m为姜驿乡抗旱应急供水工程饮用水取水点（阿咪拉取水点），水源区水质引用该取水点数据进行说明。根据楚雄彝族自治州生态环境局元谋分局生态环境监测站提供的元谋县姜驿乡抗旱应急供水工程饮用水取水点（阿咪拉取水点）2022年上半年、下半年水源地水质监测，</w:t>
      </w:r>
      <w:r>
        <w:rPr>
          <w:rFonts w:hint="eastAsia"/>
          <w:color w:val="0000FF"/>
          <w:highlight w:val="yellow"/>
        </w:rPr>
        <w:t>如表4.2</w:t>
      </w:r>
      <w:r>
        <w:rPr>
          <w:rFonts w:hint="eastAsia"/>
          <w:color w:val="0000FF"/>
          <w:highlight w:val="yellow"/>
          <w:lang w:val="en-US" w:eastAsia="zh-CN"/>
        </w:rPr>
        <w:t>.3</w:t>
      </w:r>
      <w:r>
        <w:rPr>
          <w:rFonts w:hint="eastAsia"/>
          <w:color w:val="0000FF"/>
          <w:highlight w:val="yellow"/>
        </w:rPr>
        <w:t>-</w:t>
      </w:r>
      <w:r>
        <w:rPr>
          <w:rFonts w:hint="eastAsia"/>
          <w:color w:val="0000FF"/>
          <w:highlight w:val="yellow"/>
          <w:lang w:val="en-US" w:eastAsia="zh-CN"/>
        </w:rPr>
        <w:t>2</w:t>
      </w:r>
      <w:r>
        <w:rPr>
          <w:rFonts w:hint="eastAsia"/>
          <w:color w:val="0000FF"/>
          <w:highlight w:val="yellow"/>
        </w:rPr>
        <w:t>。</w:t>
      </w:r>
    </w:p>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b/>
          <w:bCs/>
          <w:color w:val="0000FF"/>
          <w:lang w:val="en-US" w:eastAsia="zh-CN"/>
        </w:rPr>
      </w:pPr>
      <w:r>
        <w:rPr>
          <w:b/>
          <w:bCs/>
          <w:color w:val="0000FF"/>
        </w:rPr>
        <w:t>表 4.2</w:t>
      </w:r>
      <w:r>
        <w:rPr>
          <w:rFonts w:hint="eastAsia"/>
          <w:b/>
          <w:bCs/>
          <w:color w:val="0000FF"/>
          <w:lang w:val="en-US" w:eastAsia="zh-CN"/>
        </w:rPr>
        <w:t>.3</w:t>
      </w:r>
      <w:r>
        <w:rPr>
          <w:b/>
          <w:bCs/>
          <w:color w:val="0000FF"/>
        </w:rPr>
        <w:t>-</w:t>
      </w:r>
      <w:r>
        <w:rPr>
          <w:rFonts w:hint="eastAsia"/>
          <w:b/>
          <w:bCs/>
          <w:color w:val="0000FF"/>
          <w:lang w:val="en-US" w:eastAsia="zh-CN"/>
        </w:rPr>
        <w:t>2</w:t>
      </w:r>
      <w:r>
        <w:rPr>
          <w:b/>
          <w:bCs/>
          <w:color w:val="0000FF"/>
        </w:rPr>
        <w:t xml:space="preserve">    阿咪拉取水点 2022 年上半年、下半年水源地水质监测监测结果一览表</w:t>
      </w:r>
      <w:r>
        <w:rPr>
          <w:rFonts w:hint="eastAsia"/>
          <w:b/>
          <w:bCs/>
          <w:color w:val="0000FF"/>
          <w:lang w:val="en-US" w:eastAsia="zh-CN"/>
        </w:rPr>
        <w:t xml:space="preserve">   单位：mg/L</w:t>
      </w:r>
    </w:p>
    <w:tbl>
      <w:tblPr>
        <w:tblStyle w:val="57"/>
        <w:tblW w:w="14099" w:type="dxa"/>
        <w:tblInd w:w="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5"/>
        <w:gridCol w:w="599"/>
        <w:gridCol w:w="684"/>
        <w:gridCol w:w="820"/>
        <w:gridCol w:w="823"/>
        <w:gridCol w:w="1018"/>
        <w:gridCol w:w="986"/>
        <w:gridCol w:w="804"/>
        <w:gridCol w:w="734"/>
        <w:gridCol w:w="929"/>
        <w:gridCol w:w="823"/>
        <w:gridCol w:w="734"/>
        <w:gridCol w:w="902"/>
        <w:gridCol w:w="922"/>
        <w:gridCol w:w="921"/>
        <w:gridCol w:w="1027"/>
        <w:gridCol w:w="8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45"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采</w:t>
            </w:r>
            <w:r>
              <w:rPr>
                <w:rFonts w:ascii="宋体" w:hAnsi="宋体" w:eastAsia="宋体" w:cs="宋体"/>
                <w:color w:val="0000FF"/>
                <w:spacing w:val="-43"/>
                <w:sz w:val="21"/>
                <w:szCs w:val="21"/>
              </w:rPr>
              <w:t xml:space="preserve"> </w:t>
            </w:r>
            <w:r>
              <w:rPr>
                <w:rFonts w:ascii="宋体" w:hAnsi="宋体" w:eastAsia="宋体" w:cs="宋体"/>
                <w:color w:val="0000FF"/>
                <w:spacing w:val="1"/>
                <w:sz w:val="21"/>
                <w:szCs w:val="21"/>
              </w:rPr>
              <w:t>样</w:t>
            </w:r>
            <w:r>
              <w:rPr>
                <w:rFonts w:ascii="宋体" w:hAnsi="宋体" w:eastAsia="宋体" w:cs="宋体"/>
                <w:color w:val="0000FF"/>
                <w:spacing w:val="-45"/>
                <w:sz w:val="21"/>
                <w:szCs w:val="21"/>
              </w:rPr>
              <w:t xml:space="preserve"> </w:t>
            </w:r>
            <w:r>
              <w:rPr>
                <w:rFonts w:ascii="宋体" w:hAnsi="宋体" w:eastAsia="宋体" w:cs="宋体"/>
                <w:color w:val="0000FF"/>
                <w:spacing w:val="1"/>
                <w:sz w:val="21"/>
                <w:szCs w:val="21"/>
              </w:rPr>
              <w:t>时</w:t>
            </w:r>
            <w:r>
              <w:rPr>
                <w:rFonts w:ascii="宋体" w:hAnsi="宋体" w:eastAsia="宋体" w:cs="宋体"/>
                <w:color w:val="0000FF"/>
                <w:spacing w:val="-43"/>
                <w:sz w:val="21"/>
                <w:szCs w:val="21"/>
              </w:rPr>
              <w:t xml:space="preserve"> </w:t>
            </w:r>
            <w:r>
              <w:rPr>
                <w:rFonts w:ascii="宋体" w:hAnsi="宋体" w:eastAsia="宋体" w:cs="宋体"/>
                <w:color w:val="0000FF"/>
                <w:spacing w:val="1"/>
                <w:sz w:val="21"/>
                <w:szCs w:val="21"/>
              </w:rPr>
              <w:t>间</w:t>
            </w:r>
          </w:p>
        </w:tc>
        <w:tc>
          <w:tcPr>
            <w:tcW w:w="599"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1"/>
                <w:sz w:val="21"/>
                <w:szCs w:val="21"/>
              </w:rPr>
              <w:t>样品</w:t>
            </w:r>
          </w:p>
        </w:tc>
        <w:tc>
          <w:tcPr>
            <w:tcW w:w="68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hint="eastAsia" w:ascii="宋体" w:hAnsi="宋体" w:eastAsia="宋体" w:cs="宋体"/>
                <w:color w:val="0000FF"/>
                <w:sz w:val="21"/>
                <w:szCs w:val="21"/>
                <w:lang w:eastAsia="zh-CN"/>
              </w:rPr>
            </w:pPr>
            <w:r>
              <w:rPr>
                <w:rFonts w:ascii="宋体" w:hAnsi="宋体" w:eastAsia="宋体" w:cs="宋体"/>
                <w:color w:val="0000FF"/>
                <w:spacing w:val="-3"/>
                <w:sz w:val="21"/>
                <w:szCs w:val="21"/>
              </w:rPr>
              <w:t>水温</w:t>
            </w:r>
            <w:r>
              <w:rPr>
                <w:rFonts w:hint="eastAsia" w:ascii="宋体" w:hAnsi="宋体" w:eastAsia="宋体" w:cs="宋体"/>
                <w:color w:val="0000FF"/>
                <w:spacing w:val="-3"/>
                <w:sz w:val="21"/>
                <w:szCs w:val="21"/>
                <w:lang w:eastAsia="zh-CN"/>
              </w:rPr>
              <w:t>（</w:t>
            </w:r>
            <w:r>
              <w:rPr>
                <w:rFonts w:hint="eastAsia" w:ascii="宋体" w:hAnsi="宋体" w:eastAsia="宋体" w:cs="宋体"/>
                <w:color w:val="0000FF"/>
                <w:spacing w:val="-3"/>
                <w:sz w:val="21"/>
                <w:szCs w:val="21"/>
                <w:lang w:val="en-US" w:eastAsia="zh-CN"/>
              </w:rPr>
              <w:t>℃</w:t>
            </w:r>
            <w:r>
              <w:rPr>
                <w:rFonts w:hint="eastAsia" w:ascii="宋体" w:hAnsi="宋体" w:eastAsia="宋体" w:cs="宋体"/>
                <w:color w:val="0000FF"/>
                <w:spacing w:val="-3"/>
                <w:sz w:val="21"/>
                <w:szCs w:val="21"/>
                <w:lang w:eastAsia="zh-CN"/>
              </w:rPr>
              <w:t>）</w:t>
            </w:r>
          </w:p>
        </w:tc>
        <w:tc>
          <w:tcPr>
            <w:tcW w:w="820"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hint="eastAsia" w:ascii="宋体" w:hAnsi="宋体" w:eastAsia="宋体" w:cs="宋体"/>
                <w:color w:val="0000FF"/>
                <w:sz w:val="21"/>
                <w:szCs w:val="21"/>
                <w:lang w:eastAsia="zh-CN"/>
              </w:rPr>
            </w:pPr>
            <w:r>
              <w:rPr>
                <w:rFonts w:ascii="Times New Roman" w:hAnsi="Times New Roman" w:eastAsia="Times New Roman" w:cs="Times New Roman"/>
                <w:color w:val="0000FF"/>
                <w:sz w:val="21"/>
                <w:szCs w:val="21"/>
              </w:rPr>
              <w:t>pH</w:t>
            </w:r>
            <w:r>
              <w:rPr>
                <w:rFonts w:ascii="Times New Roman" w:hAnsi="Times New Roman" w:eastAsia="Times New Roman" w:cs="Times New Roman"/>
                <w:color w:val="0000FF"/>
                <w:spacing w:val="7"/>
                <w:sz w:val="21"/>
                <w:szCs w:val="21"/>
              </w:rPr>
              <w:t xml:space="preserve"> </w:t>
            </w:r>
            <w:r>
              <w:rPr>
                <w:rFonts w:ascii="宋体" w:hAnsi="宋体" w:eastAsia="宋体" w:cs="宋体"/>
                <w:color w:val="0000FF"/>
                <w:spacing w:val="1"/>
                <w:sz w:val="21"/>
                <w:szCs w:val="21"/>
              </w:rPr>
              <w:t>值</w:t>
            </w:r>
            <w:r>
              <w:rPr>
                <w:rFonts w:hint="eastAsia" w:ascii="宋体" w:hAnsi="宋体" w:eastAsia="宋体" w:cs="宋体"/>
                <w:color w:val="0000FF"/>
                <w:spacing w:val="1"/>
                <w:sz w:val="21"/>
                <w:szCs w:val="21"/>
                <w:lang w:eastAsia="zh-CN"/>
              </w:rPr>
              <w:t>（</w:t>
            </w:r>
            <w:r>
              <w:rPr>
                <w:rFonts w:hint="eastAsia" w:ascii="宋体" w:hAnsi="宋体" w:eastAsia="宋体" w:cs="宋体"/>
                <w:color w:val="0000FF"/>
                <w:spacing w:val="1"/>
                <w:sz w:val="21"/>
                <w:szCs w:val="21"/>
                <w:lang w:val="en-US" w:eastAsia="zh-CN"/>
              </w:rPr>
              <w:t>无量纲</w:t>
            </w:r>
            <w:r>
              <w:rPr>
                <w:rFonts w:hint="eastAsia" w:ascii="宋体" w:hAnsi="宋体" w:eastAsia="宋体" w:cs="宋体"/>
                <w:color w:val="0000FF"/>
                <w:spacing w:val="1"/>
                <w:sz w:val="21"/>
                <w:szCs w:val="21"/>
                <w:lang w:eastAsia="zh-CN"/>
              </w:rPr>
              <w:t>）</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溶解</w:t>
            </w:r>
          </w:p>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z w:val="21"/>
                <w:szCs w:val="21"/>
              </w:rPr>
              <w:t>氧</w:t>
            </w:r>
          </w:p>
        </w:tc>
        <w:tc>
          <w:tcPr>
            <w:tcW w:w="101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4"/>
                <w:sz w:val="21"/>
                <w:szCs w:val="21"/>
              </w:rPr>
              <w:t>高锰酸</w:t>
            </w:r>
            <w:r>
              <w:rPr>
                <w:rFonts w:ascii="宋体" w:hAnsi="宋体" w:eastAsia="宋体" w:cs="宋体"/>
                <w:color w:val="0000FF"/>
                <w:sz w:val="21"/>
                <w:szCs w:val="21"/>
              </w:rPr>
              <w:t xml:space="preserve"> </w:t>
            </w:r>
            <w:r>
              <w:rPr>
                <w:rFonts w:ascii="宋体" w:hAnsi="宋体" w:eastAsia="宋体" w:cs="宋体"/>
                <w:color w:val="0000FF"/>
                <w:spacing w:val="-3"/>
                <w:sz w:val="21"/>
                <w:szCs w:val="21"/>
              </w:rPr>
              <w:t>盐指数</w:t>
            </w:r>
          </w:p>
        </w:tc>
        <w:tc>
          <w:tcPr>
            <w:tcW w:w="986"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五日生</w:t>
            </w:r>
          </w:p>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化需氧</w:t>
            </w:r>
            <w:r>
              <w:rPr>
                <w:rFonts w:ascii="宋体" w:hAnsi="宋体" w:eastAsia="宋体" w:cs="宋体"/>
                <w:color w:val="0000FF"/>
                <w:sz w:val="21"/>
                <w:szCs w:val="21"/>
              </w:rPr>
              <w:t>量</w:t>
            </w:r>
          </w:p>
        </w:tc>
        <w:tc>
          <w:tcPr>
            <w:tcW w:w="80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氨氮</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总磷</w:t>
            </w:r>
          </w:p>
        </w:tc>
        <w:tc>
          <w:tcPr>
            <w:tcW w:w="929"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总氮</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z w:val="21"/>
                <w:szCs w:val="21"/>
              </w:rPr>
              <w:t>铜</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z w:val="21"/>
                <w:szCs w:val="21"/>
              </w:rPr>
              <w:t>锌</w:t>
            </w:r>
          </w:p>
        </w:tc>
        <w:tc>
          <w:tcPr>
            <w:tcW w:w="90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氟化物</w:t>
            </w:r>
          </w:p>
        </w:tc>
        <w:tc>
          <w:tcPr>
            <w:tcW w:w="92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总硒</w:t>
            </w:r>
          </w:p>
        </w:tc>
        <w:tc>
          <w:tcPr>
            <w:tcW w:w="921"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总砷</w:t>
            </w:r>
          </w:p>
        </w:tc>
        <w:tc>
          <w:tcPr>
            <w:tcW w:w="1027"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总汞</w:t>
            </w:r>
          </w:p>
        </w:tc>
        <w:tc>
          <w:tcPr>
            <w:tcW w:w="82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z w:val="21"/>
                <w:szCs w:val="21"/>
              </w:rPr>
              <w:t>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45"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z w:val="21"/>
                <w:szCs w:val="21"/>
              </w:rPr>
              <w:t>4</w:t>
            </w:r>
            <w:r>
              <w:rPr>
                <w:rFonts w:hint="eastAsia" w:ascii="宋体" w:hAnsi="宋体" w:cs="宋体"/>
                <w:color w:val="0000FF"/>
                <w:sz w:val="21"/>
                <w:szCs w:val="21"/>
                <w:lang w:eastAsia="zh-CN"/>
              </w:rPr>
              <w:t>.</w:t>
            </w:r>
            <w:r>
              <w:rPr>
                <w:rFonts w:ascii="Times New Roman" w:hAnsi="Times New Roman" w:eastAsia="Times New Roman" w:cs="Times New Roman"/>
                <w:color w:val="0000FF"/>
                <w:spacing w:val="-6"/>
                <w:sz w:val="21"/>
                <w:szCs w:val="21"/>
              </w:rPr>
              <w:t>12</w:t>
            </w:r>
          </w:p>
        </w:tc>
        <w:tc>
          <w:tcPr>
            <w:tcW w:w="599"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1"/>
                <w:sz w:val="21"/>
                <w:szCs w:val="21"/>
              </w:rPr>
              <w:t>数值</w:t>
            </w:r>
          </w:p>
        </w:tc>
        <w:tc>
          <w:tcPr>
            <w:tcW w:w="68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5"/>
                <w:sz w:val="21"/>
                <w:szCs w:val="21"/>
              </w:rPr>
              <w:t>19.4</w:t>
            </w:r>
          </w:p>
        </w:tc>
        <w:tc>
          <w:tcPr>
            <w:tcW w:w="820"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8.48</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9.36</w:t>
            </w:r>
          </w:p>
        </w:tc>
        <w:tc>
          <w:tcPr>
            <w:tcW w:w="101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5"/>
                <w:sz w:val="21"/>
                <w:szCs w:val="21"/>
              </w:rPr>
              <w:t>1.8</w:t>
            </w:r>
          </w:p>
        </w:tc>
        <w:tc>
          <w:tcPr>
            <w:tcW w:w="986"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2.3</w:t>
            </w:r>
          </w:p>
        </w:tc>
        <w:tc>
          <w:tcPr>
            <w:tcW w:w="80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0.56</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w:t>
            </w:r>
          </w:p>
        </w:tc>
        <w:tc>
          <w:tcPr>
            <w:tcW w:w="929"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0.8</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0.001L</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0.05L</w:t>
            </w:r>
          </w:p>
        </w:tc>
        <w:tc>
          <w:tcPr>
            <w:tcW w:w="90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0.264</w:t>
            </w:r>
          </w:p>
        </w:tc>
        <w:tc>
          <w:tcPr>
            <w:tcW w:w="92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0.0004L</w:t>
            </w:r>
          </w:p>
        </w:tc>
        <w:tc>
          <w:tcPr>
            <w:tcW w:w="921"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0.0003L</w:t>
            </w:r>
          </w:p>
        </w:tc>
        <w:tc>
          <w:tcPr>
            <w:tcW w:w="1027"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0.00004L</w:t>
            </w:r>
          </w:p>
        </w:tc>
        <w:tc>
          <w:tcPr>
            <w:tcW w:w="82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45"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6"/>
                <w:sz w:val="21"/>
                <w:szCs w:val="21"/>
              </w:rPr>
              <w:t>11</w:t>
            </w:r>
            <w:r>
              <w:rPr>
                <w:rFonts w:hint="eastAsia" w:ascii="宋体" w:hAnsi="宋体" w:cs="宋体"/>
                <w:color w:val="0000FF"/>
                <w:sz w:val="21"/>
                <w:szCs w:val="21"/>
                <w:lang w:eastAsia="zh-CN"/>
              </w:rPr>
              <w:t>.</w:t>
            </w:r>
            <w:r>
              <w:rPr>
                <w:rFonts w:ascii="Times New Roman" w:hAnsi="Times New Roman" w:eastAsia="Times New Roman" w:cs="Times New Roman"/>
                <w:color w:val="0000FF"/>
                <w:sz w:val="21"/>
                <w:szCs w:val="21"/>
              </w:rPr>
              <w:t>7</w:t>
            </w:r>
          </w:p>
        </w:tc>
        <w:tc>
          <w:tcPr>
            <w:tcW w:w="599"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1"/>
                <w:sz w:val="21"/>
                <w:szCs w:val="21"/>
              </w:rPr>
              <w:t>数值</w:t>
            </w:r>
          </w:p>
        </w:tc>
        <w:tc>
          <w:tcPr>
            <w:tcW w:w="68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5"/>
                <w:sz w:val="21"/>
                <w:szCs w:val="21"/>
              </w:rPr>
              <w:t>19.6</w:t>
            </w:r>
          </w:p>
        </w:tc>
        <w:tc>
          <w:tcPr>
            <w:tcW w:w="820"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7.91</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8.36</w:t>
            </w:r>
          </w:p>
        </w:tc>
        <w:tc>
          <w:tcPr>
            <w:tcW w:w="101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5"/>
                <w:sz w:val="21"/>
                <w:szCs w:val="21"/>
              </w:rPr>
              <w:t>1.1</w:t>
            </w:r>
          </w:p>
        </w:tc>
        <w:tc>
          <w:tcPr>
            <w:tcW w:w="986"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2.3</w:t>
            </w:r>
          </w:p>
        </w:tc>
        <w:tc>
          <w:tcPr>
            <w:tcW w:w="80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0.218</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w:t>
            </w:r>
          </w:p>
        </w:tc>
        <w:tc>
          <w:tcPr>
            <w:tcW w:w="929"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0.001L</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0.05L</w:t>
            </w:r>
          </w:p>
        </w:tc>
        <w:tc>
          <w:tcPr>
            <w:tcW w:w="90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0.078</w:t>
            </w:r>
          </w:p>
        </w:tc>
        <w:tc>
          <w:tcPr>
            <w:tcW w:w="92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0.0004L</w:t>
            </w:r>
          </w:p>
        </w:tc>
        <w:tc>
          <w:tcPr>
            <w:tcW w:w="921"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0.0003L</w:t>
            </w:r>
          </w:p>
        </w:tc>
        <w:tc>
          <w:tcPr>
            <w:tcW w:w="1027"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0.00004L</w:t>
            </w:r>
          </w:p>
        </w:tc>
        <w:tc>
          <w:tcPr>
            <w:tcW w:w="82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44" w:type="dxa"/>
            <w:gridSpan w:val="2"/>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年均值</w:t>
            </w:r>
          </w:p>
        </w:tc>
        <w:tc>
          <w:tcPr>
            <w:tcW w:w="68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5"/>
                <w:sz w:val="21"/>
                <w:szCs w:val="21"/>
              </w:rPr>
              <w:t>19.5</w:t>
            </w:r>
          </w:p>
        </w:tc>
        <w:tc>
          <w:tcPr>
            <w:tcW w:w="820"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8.20</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8.86</w:t>
            </w:r>
          </w:p>
        </w:tc>
        <w:tc>
          <w:tcPr>
            <w:tcW w:w="101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5"/>
                <w:sz w:val="21"/>
                <w:szCs w:val="21"/>
              </w:rPr>
              <w:t>1.45</w:t>
            </w:r>
          </w:p>
        </w:tc>
        <w:tc>
          <w:tcPr>
            <w:tcW w:w="986"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2.3</w:t>
            </w:r>
          </w:p>
        </w:tc>
        <w:tc>
          <w:tcPr>
            <w:tcW w:w="80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0.389</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w:t>
            </w:r>
          </w:p>
        </w:tc>
        <w:tc>
          <w:tcPr>
            <w:tcW w:w="929"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0.8</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0.001L</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0.05L</w:t>
            </w:r>
          </w:p>
        </w:tc>
        <w:tc>
          <w:tcPr>
            <w:tcW w:w="90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0.078</w:t>
            </w:r>
          </w:p>
        </w:tc>
        <w:tc>
          <w:tcPr>
            <w:tcW w:w="92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0.0004L</w:t>
            </w:r>
          </w:p>
        </w:tc>
        <w:tc>
          <w:tcPr>
            <w:tcW w:w="921"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0.0003L</w:t>
            </w:r>
          </w:p>
        </w:tc>
        <w:tc>
          <w:tcPr>
            <w:tcW w:w="1027"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0.00004L</w:t>
            </w:r>
          </w:p>
        </w:tc>
        <w:tc>
          <w:tcPr>
            <w:tcW w:w="82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44" w:type="dxa"/>
            <w:gridSpan w:val="2"/>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类别</w:t>
            </w:r>
          </w:p>
        </w:tc>
        <w:tc>
          <w:tcPr>
            <w:tcW w:w="68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820"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101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986"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80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2"/>
                <w:sz w:val="21"/>
                <w:szCs w:val="21"/>
              </w:rPr>
              <w:t>Ⅱ</w:t>
            </w:r>
            <w:r>
              <w:rPr>
                <w:rFonts w:ascii="宋体" w:hAnsi="宋体" w:eastAsia="宋体" w:cs="宋体"/>
                <w:color w:val="0000FF"/>
                <w:spacing w:val="-2"/>
                <w:sz w:val="21"/>
                <w:szCs w:val="21"/>
              </w:rPr>
              <w:t>类</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929"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Ⅲ类</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90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92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921"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1027"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82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45"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采</w:t>
            </w:r>
            <w:r>
              <w:rPr>
                <w:rFonts w:ascii="宋体" w:hAnsi="宋体" w:eastAsia="宋体" w:cs="宋体"/>
                <w:color w:val="0000FF"/>
                <w:spacing w:val="-43"/>
                <w:sz w:val="21"/>
                <w:szCs w:val="21"/>
              </w:rPr>
              <w:t xml:space="preserve"> </w:t>
            </w:r>
            <w:r>
              <w:rPr>
                <w:rFonts w:ascii="宋体" w:hAnsi="宋体" w:eastAsia="宋体" w:cs="宋体"/>
                <w:color w:val="0000FF"/>
                <w:spacing w:val="1"/>
                <w:sz w:val="21"/>
                <w:szCs w:val="21"/>
              </w:rPr>
              <w:t>样</w:t>
            </w:r>
            <w:r>
              <w:rPr>
                <w:rFonts w:ascii="宋体" w:hAnsi="宋体" w:eastAsia="宋体" w:cs="宋体"/>
                <w:color w:val="0000FF"/>
                <w:spacing w:val="-45"/>
                <w:sz w:val="21"/>
                <w:szCs w:val="21"/>
              </w:rPr>
              <w:t xml:space="preserve"> </w:t>
            </w:r>
            <w:r>
              <w:rPr>
                <w:rFonts w:ascii="宋体" w:hAnsi="宋体" w:eastAsia="宋体" w:cs="宋体"/>
                <w:color w:val="0000FF"/>
                <w:spacing w:val="1"/>
                <w:sz w:val="21"/>
                <w:szCs w:val="21"/>
              </w:rPr>
              <w:t>时</w:t>
            </w:r>
            <w:r>
              <w:rPr>
                <w:rFonts w:ascii="宋体" w:hAnsi="宋体" w:eastAsia="宋体" w:cs="宋体"/>
                <w:color w:val="0000FF"/>
                <w:spacing w:val="-43"/>
                <w:sz w:val="21"/>
                <w:szCs w:val="21"/>
              </w:rPr>
              <w:t xml:space="preserve"> </w:t>
            </w:r>
            <w:r>
              <w:rPr>
                <w:rFonts w:ascii="宋体" w:hAnsi="宋体" w:eastAsia="宋体" w:cs="宋体"/>
                <w:color w:val="0000FF"/>
                <w:spacing w:val="1"/>
                <w:sz w:val="21"/>
                <w:szCs w:val="21"/>
              </w:rPr>
              <w:t>间</w:t>
            </w:r>
          </w:p>
        </w:tc>
        <w:tc>
          <w:tcPr>
            <w:tcW w:w="599"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样</w:t>
            </w:r>
            <w:r>
              <w:rPr>
                <w:rFonts w:ascii="宋体" w:hAnsi="宋体" w:eastAsia="宋体" w:cs="宋体"/>
                <w:color w:val="0000FF"/>
                <w:spacing w:val="-43"/>
                <w:sz w:val="21"/>
                <w:szCs w:val="21"/>
              </w:rPr>
              <w:t xml:space="preserve"> </w:t>
            </w:r>
            <w:r>
              <w:rPr>
                <w:rFonts w:ascii="宋体" w:hAnsi="宋体" w:eastAsia="宋体" w:cs="宋体"/>
                <w:color w:val="0000FF"/>
                <w:spacing w:val="1"/>
                <w:sz w:val="21"/>
                <w:szCs w:val="21"/>
              </w:rPr>
              <w:t>品</w:t>
            </w:r>
          </w:p>
        </w:tc>
        <w:tc>
          <w:tcPr>
            <w:tcW w:w="68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六价</w:t>
            </w:r>
          </w:p>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z w:val="21"/>
                <w:szCs w:val="21"/>
              </w:rPr>
              <w:t>铬</w:t>
            </w:r>
          </w:p>
        </w:tc>
        <w:tc>
          <w:tcPr>
            <w:tcW w:w="820"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z w:val="21"/>
                <w:szCs w:val="21"/>
              </w:rPr>
              <w:t>铅</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氰化</w:t>
            </w:r>
          </w:p>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z w:val="21"/>
                <w:szCs w:val="21"/>
              </w:rPr>
              <w:t>物</w:t>
            </w:r>
          </w:p>
        </w:tc>
        <w:tc>
          <w:tcPr>
            <w:tcW w:w="101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挥发酚</w:t>
            </w:r>
          </w:p>
        </w:tc>
        <w:tc>
          <w:tcPr>
            <w:tcW w:w="986"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石油类</w:t>
            </w:r>
          </w:p>
        </w:tc>
        <w:tc>
          <w:tcPr>
            <w:tcW w:w="80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5"/>
                <w:sz w:val="21"/>
                <w:szCs w:val="21"/>
              </w:rPr>
              <w:t>阴离子</w:t>
            </w:r>
          </w:p>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表面活</w:t>
            </w:r>
          </w:p>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性剂</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硫化</w:t>
            </w:r>
          </w:p>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z w:val="21"/>
                <w:szCs w:val="21"/>
              </w:rPr>
              <w:t>物</w:t>
            </w:r>
          </w:p>
        </w:tc>
        <w:tc>
          <w:tcPr>
            <w:tcW w:w="929"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粪大肠</w:t>
            </w:r>
            <w:r>
              <w:rPr>
                <w:rFonts w:ascii="宋体" w:hAnsi="宋体" w:eastAsia="宋体" w:cs="宋体"/>
                <w:color w:val="0000FF"/>
                <w:spacing w:val="1"/>
                <w:sz w:val="21"/>
                <w:szCs w:val="21"/>
              </w:rPr>
              <w:t xml:space="preserve"> </w:t>
            </w:r>
            <w:r>
              <w:rPr>
                <w:rFonts w:ascii="宋体" w:hAnsi="宋体" w:eastAsia="宋体" w:cs="宋体"/>
                <w:color w:val="0000FF"/>
                <w:spacing w:val="-2"/>
                <w:sz w:val="21"/>
                <w:szCs w:val="21"/>
              </w:rPr>
              <w:t>杆菌</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硫酸</w:t>
            </w:r>
          </w:p>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z w:val="21"/>
                <w:szCs w:val="21"/>
              </w:rPr>
              <w:t>盐</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氯化</w:t>
            </w:r>
          </w:p>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z w:val="21"/>
                <w:szCs w:val="21"/>
              </w:rPr>
              <w:t>物</w:t>
            </w:r>
          </w:p>
        </w:tc>
        <w:tc>
          <w:tcPr>
            <w:tcW w:w="90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硝酸盐</w:t>
            </w:r>
            <w:r>
              <w:rPr>
                <w:rFonts w:ascii="宋体" w:hAnsi="宋体" w:eastAsia="宋体" w:cs="宋体"/>
                <w:color w:val="0000FF"/>
                <w:spacing w:val="1"/>
                <w:sz w:val="21"/>
                <w:szCs w:val="21"/>
              </w:rPr>
              <w:t xml:space="preserve"> </w:t>
            </w:r>
            <w:r>
              <w:rPr>
                <w:rFonts w:ascii="宋体" w:hAnsi="宋体" w:eastAsia="宋体" w:cs="宋体"/>
                <w:color w:val="0000FF"/>
                <w:spacing w:val="-10"/>
                <w:sz w:val="21"/>
                <w:szCs w:val="21"/>
              </w:rPr>
              <w:t>（以</w:t>
            </w:r>
            <w:r>
              <w:rPr>
                <w:rFonts w:ascii="宋体" w:hAnsi="宋体" w:eastAsia="宋体" w:cs="宋体"/>
                <w:color w:val="0000FF"/>
                <w:spacing w:val="-37"/>
                <w:sz w:val="21"/>
                <w:szCs w:val="21"/>
              </w:rPr>
              <w:t xml:space="preserve"> </w:t>
            </w:r>
            <w:r>
              <w:rPr>
                <w:rFonts w:ascii="Times New Roman" w:hAnsi="Times New Roman" w:eastAsia="Times New Roman" w:cs="Times New Roman"/>
                <w:color w:val="0000FF"/>
                <w:spacing w:val="-10"/>
                <w:sz w:val="21"/>
                <w:szCs w:val="21"/>
              </w:rPr>
              <w:t>N</w:t>
            </w:r>
            <w:r>
              <w:rPr>
                <w:rFonts w:ascii="Times New Roman" w:hAnsi="Times New Roman" w:eastAsia="Times New Roman" w:cs="Times New Roman"/>
                <w:color w:val="0000FF"/>
                <w:sz w:val="21"/>
                <w:szCs w:val="21"/>
              </w:rPr>
              <w:t xml:space="preserve"> </w:t>
            </w:r>
            <w:r>
              <w:rPr>
                <w:rFonts w:ascii="宋体" w:hAnsi="宋体" w:eastAsia="宋体" w:cs="宋体"/>
                <w:color w:val="0000FF"/>
                <w:spacing w:val="37"/>
                <w:sz w:val="21"/>
                <w:szCs w:val="21"/>
              </w:rPr>
              <w:t>计）</w:t>
            </w:r>
          </w:p>
        </w:tc>
        <w:tc>
          <w:tcPr>
            <w:tcW w:w="92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z w:val="21"/>
                <w:szCs w:val="21"/>
              </w:rPr>
              <w:t>铁</w:t>
            </w:r>
          </w:p>
        </w:tc>
        <w:tc>
          <w:tcPr>
            <w:tcW w:w="921"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z w:val="21"/>
                <w:szCs w:val="21"/>
              </w:rPr>
              <w:t>锰</w:t>
            </w:r>
          </w:p>
        </w:tc>
        <w:tc>
          <w:tcPr>
            <w:tcW w:w="1027"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6"/>
                <w:sz w:val="21"/>
                <w:szCs w:val="21"/>
              </w:rPr>
              <w:t>叶绿素</w:t>
            </w:r>
            <w:r>
              <w:rPr>
                <w:rFonts w:ascii="宋体" w:hAnsi="宋体" w:eastAsia="宋体" w:cs="宋体"/>
                <w:color w:val="0000FF"/>
                <w:spacing w:val="-42"/>
                <w:sz w:val="21"/>
                <w:szCs w:val="21"/>
              </w:rPr>
              <w:t xml:space="preserve"> </w:t>
            </w:r>
            <w:r>
              <w:rPr>
                <w:rFonts w:ascii="Times New Roman" w:hAnsi="Times New Roman" w:eastAsia="Times New Roman" w:cs="Times New Roman"/>
                <w:color w:val="0000FF"/>
                <w:spacing w:val="-6"/>
                <w:sz w:val="21"/>
                <w:szCs w:val="21"/>
              </w:rPr>
              <w:t>a</w:t>
            </w:r>
          </w:p>
        </w:tc>
        <w:tc>
          <w:tcPr>
            <w:tcW w:w="82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both"/>
              <w:textAlignment w:val="auto"/>
              <w:rPr>
                <w:rFonts w:hint="eastAsia" w:ascii="宋体" w:hAnsi="宋体" w:eastAsia="宋体" w:cs="宋体"/>
                <w:color w:val="0000FF"/>
                <w:sz w:val="21"/>
                <w:szCs w:val="21"/>
                <w:lang w:eastAsia="zh-CN"/>
              </w:rPr>
            </w:pPr>
            <w:r>
              <w:rPr>
                <w:rFonts w:ascii="宋体" w:hAnsi="宋体" w:eastAsia="宋体" w:cs="宋体"/>
                <w:color w:val="0000FF"/>
                <w:spacing w:val="-2"/>
                <w:sz w:val="21"/>
                <w:szCs w:val="21"/>
              </w:rPr>
              <w:t>透明</w:t>
            </w:r>
            <w:r>
              <w:rPr>
                <w:rFonts w:ascii="宋体" w:hAnsi="宋体" w:eastAsia="宋体" w:cs="宋体"/>
                <w:color w:val="0000FF"/>
                <w:sz w:val="21"/>
                <w:szCs w:val="21"/>
              </w:rPr>
              <w:t>度</w:t>
            </w:r>
            <w:r>
              <w:rPr>
                <w:rFonts w:hint="eastAsia" w:ascii="宋体" w:hAnsi="宋体" w:eastAsia="宋体" w:cs="宋体"/>
                <w:color w:val="0000FF"/>
                <w:sz w:val="21"/>
                <w:szCs w:val="21"/>
                <w:lang w:eastAsia="zh-CN"/>
              </w:rPr>
              <w:t>（</w:t>
            </w:r>
            <w:r>
              <w:rPr>
                <w:rFonts w:hint="eastAsia" w:ascii="宋体" w:hAnsi="宋体" w:eastAsia="宋体" w:cs="宋体"/>
                <w:color w:val="0000FF"/>
                <w:sz w:val="21"/>
                <w:szCs w:val="21"/>
                <w:lang w:val="en-US" w:eastAsia="zh-CN"/>
              </w:rPr>
              <w:t>cm</w:t>
            </w:r>
            <w:r>
              <w:rPr>
                <w:rFonts w:hint="eastAsia" w:ascii="宋体" w:hAnsi="宋体" w:eastAsia="宋体" w:cs="宋体"/>
                <w:color w:val="0000FF"/>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45"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leftChars="0" w:right="0" w:firstLine="0" w:firstLineChars="0"/>
              <w:jc w:val="both"/>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4</w:t>
            </w:r>
            <w:r>
              <w:rPr>
                <w:rFonts w:hint="eastAsia" w:ascii="宋体" w:hAnsi="宋体" w:cs="宋体"/>
                <w:color w:val="0000FF"/>
                <w:sz w:val="21"/>
                <w:szCs w:val="21"/>
                <w:lang w:eastAsia="zh-CN"/>
              </w:rPr>
              <w:t>.</w:t>
            </w:r>
            <w:r>
              <w:rPr>
                <w:rFonts w:ascii="Times New Roman" w:hAnsi="Times New Roman" w:eastAsia="Times New Roman" w:cs="Times New Roman"/>
                <w:color w:val="0000FF"/>
                <w:spacing w:val="-6"/>
                <w:sz w:val="21"/>
                <w:szCs w:val="21"/>
              </w:rPr>
              <w:t>12</w:t>
            </w:r>
          </w:p>
        </w:tc>
        <w:tc>
          <w:tcPr>
            <w:tcW w:w="599"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数</w:t>
            </w:r>
            <w:r>
              <w:rPr>
                <w:rFonts w:ascii="宋体" w:hAnsi="宋体" w:eastAsia="宋体" w:cs="宋体"/>
                <w:color w:val="0000FF"/>
                <w:spacing w:val="-43"/>
                <w:sz w:val="21"/>
                <w:szCs w:val="21"/>
              </w:rPr>
              <w:t xml:space="preserve"> </w:t>
            </w:r>
            <w:r>
              <w:rPr>
                <w:rFonts w:ascii="宋体" w:hAnsi="宋体" w:eastAsia="宋体" w:cs="宋体"/>
                <w:color w:val="0000FF"/>
                <w:spacing w:val="1"/>
                <w:sz w:val="21"/>
                <w:szCs w:val="21"/>
              </w:rPr>
              <w:t>值</w:t>
            </w:r>
          </w:p>
        </w:tc>
        <w:tc>
          <w:tcPr>
            <w:tcW w:w="68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0.004L</w:t>
            </w:r>
          </w:p>
        </w:tc>
        <w:tc>
          <w:tcPr>
            <w:tcW w:w="820"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0.001L</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0.004L</w:t>
            </w:r>
          </w:p>
        </w:tc>
        <w:tc>
          <w:tcPr>
            <w:tcW w:w="101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0.0003L</w:t>
            </w:r>
          </w:p>
        </w:tc>
        <w:tc>
          <w:tcPr>
            <w:tcW w:w="986"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0.01L</w:t>
            </w:r>
          </w:p>
        </w:tc>
        <w:tc>
          <w:tcPr>
            <w:tcW w:w="80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0.05L</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0.01L</w:t>
            </w:r>
          </w:p>
        </w:tc>
        <w:tc>
          <w:tcPr>
            <w:tcW w:w="929"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6"/>
                <w:sz w:val="21"/>
                <w:szCs w:val="21"/>
              </w:rPr>
              <w:t>110</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45.8</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43.5</w:t>
            </w:r>
          </w:p>
        </w:tc>
        <w:tc>
          <w:tcPr>
            <w:tcW w:w="90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0.112</w:t>
            </w:r>
          </w:p>
        </w:tc>
        <w:tc>
          <w:tcPr>
            <w:tcW w:w="92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0.03L</w:t>
            </w:r>
          </w:p>
        </w:tc>
        <w:tc>
          <w:tcPr>
            <w:tcW w:w="921"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0.01L</w:t>
            </w:r>
          </w:p>
        </w:tc>
        <w:tc>
          <w:tcPr>
            <w:tcW w:w="1027"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82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545"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6"/>
                <w:sz w:val="21"/>
                <w:szCs w:val="21"/>
              </w:rPr>
              <w:t>11</w:t>
            </w:r>
            <w:r>
              <w:rPr>
                <w:rFonts w:hint="eastAsia" w:ascii="宋体" w:hAnsi="宋体" w:cs="宋体"/>
                <w:color w:val="0000FF"/>
                <w:sz w:val="21"/>
                <w:szCs w:val="21"/>
                <w:lang w:eastAsia="zh-CN"/>
              </w:rPr>
              <w:t>.</w:t>
            </w:r>
            <w:r>
              <w:rPr>
                <w:rFonts w:ascii="Times New Roman" w:hAnsi="Times New Roman" w:eastAsia="Times New Roman" w:cs="Times New Roman"/>
                <w:color w:val="0000FF"/>
                <w:sz w:val="21"/>
                <w:szCs w:val="21"/>
              </w:rPr>
              <w:t>7</w:t>
            </w:r>
          </w:p>
        </w:tc>
        <w:tc>
          <w:tcPr>
            <w:tcW w:w="599"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1"/>
                <w:sz w:val="21"/>
                <w:szCs w:val="21"/>
              </w:rPr>
              <w:t>数值</w:t>
            </w:r>
          </w:p>
        </w:tc>
        <w:tc>
          <w:tcPr>
            <w:tcW w:w="68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0.004L</w:t>
            </w:r>
          </w:p>
        </w:tc>
        <w:tc>
          <w:tcPr>
            <w:tcW w:w="820"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0.001L</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0.004L</w:t>
            </w:r>
          </w:p>
        </w:tc>
        <w:tc>
          <w:tcPr>
            <w:tcW w:w="101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0.0003L</w:t>
            </w:r>
          </w:p>
        </w:tc>
        <w:tc>
          <w:tcPr>
            <w:tcW w:w="986"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0.01L</w:t>
            </w:r>
          </w:p>
        </w:tc>
        <w:tc>
          <w:tcPr>
            <w:tcW w:w="80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0.05L</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0.01L</w:t>
            </w:r>
          </w:p>
        </w:tc>
        <w:tc>
          <w:tcPr>
            <w:tcW w:w="929"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330</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50.5</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72.5</w:t>
            </w:r>
          </w:p>
        </w:tc>
        <w:tc>
          <w:tcPr>
            <w:tcW w:w="90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5"/>
                <w:sz w:val="21"/>
                <w:szCs w:val="21"/>
              </w:rPr>
              <w:t>1.89</w:t>
            </w:r>
          </w:p>
        </w:tc>
        <w:tc>
          <w:tcPr>
            <w:tcW w:w="92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0.03L</w:t>
            </w:r>
          </w:p>
        </w:tc>
        <w:tc>
          <w:tcPr>
            <w:tcW w:w="921"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0.01L</w:t>
            </w:r>
          </w:p>
        </w:tc>
        <w:tc>
          <w:tcPr>
            <w:tcW w:w="1027"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82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44" w:type="dxa"/>
            <w:gridSpan w:val="2"/>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年均值</w:t>
            </w:r>
          </w:p>
        </w:tc>
        <w:tc>
          <w:tcPr>
            <w:tcW w:w="68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0.004L</w:t>
            </w:r>
          </w:p>
        </w:tc>
        <w:tc>
          <w:tcPr>
            <w:tcW w:w="820"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0.001L</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0.004L</w:t>
            </w:r>
          </w:p>
        </w:tc>
        <w:tc>
          <w:tcPr>
            <w:tcW w:w="101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0.0003L</w:t>
            </w:r>
          </w:p>
        </w:tc>
        <w:tc>
          <w:tcPr>
            <w:tcW w:w="986"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0.01L</w:t>
            </w:r>
          </w:p>
        </w:tc>
        <w:tc>
          <w:tcPr>
            <w:tcW w:w="80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0.05L</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0.01L</w:t>
            </w:r>
          </w:p>
        </w:tc>
        <w:tc>
          <w:tcPr>
            <w:tcW w:w="929"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220</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48.15</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3"/>
                <w:sz w:val="21"/>
                <w:szCs w:val="21"/>
              </w:rPr>
              <w:t>58</w:t>
            </w:r>
          </w:p>
        </w:tc>
        <w:tc>
          <w:tcPr>
            <w:tcW w:w="90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4"/>
                <w:sz w:val="21"/>
                <w:szCs w:val="21"/>
              </w:rPr>
              <w:t>1.001</w:t>
            </w:r>
          </w:p>
        </w:tc>
        <w:tc>
          <w:tcPr>
            <w:tcW w:w="92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0.03L</w:t>
            </w:r>
          </w:p>
        </w:tc>
        <w:tc>
          <w:tcPr>
            <w:tcW w:w="921"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0.01L</w:t>
            </w:r>
          </w:p>
        </w:tc>
        <w:tc>
          <w:tcPr>
            <w:tcW w:w="1027"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82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144" w:type="dxa"/>
            <w:gridSpan w:val="2"/>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类别</w:t>
            </w:r>
          </w:p>
        </w:tc>
        <w:tc>
          <w:tcPr>
            <w:tcW w:w="68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820"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101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986"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80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929"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3"/>
                <w:sz w:val="21"/>
                <w:szCs w:val="21"/>
              </w:rPr>
              <w:t>Ⅰ</w:t>
            </w:r>
            <w:r>
              <w:rPr>
                <w:rFonts w:ascii="宋体" w:hAnsi="宋体" w:eastAsia="宋体" w:cs="宋体"/>
                <w:color w:val="0000FF"/>
                <w:spacing w:val="-3"/>
                <w:sz w:val="21"/>
                <w:szCs w:val="21"/>
              </w:rPr>
              <w:t>类</w:t>
            </w:r>
          </w:p>
        </w:tc>
        <w:tc>
          <w:tcPr>
            <w:tcW w:w="823"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734"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90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922"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921"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1027"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828" w:type="dxa"/>
            <w:vAlign w:val="center"/>
          </w:tcPr>
          <w:p>
            <w:pPr>
              <w:keepNext w:val="0"/>
              <w:keepLines w:val="0"/>
              <w:pageBreakBefore w:val="0"/>
              <w:widowControl w:val="0"/>
              <w:kinsoku/>
              <w:wordWrap w:val="0"/>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r>
    </w:tbl>
    <w:p>
      <w:pPr>
        <w:rPr>
          <w:rFonts w:hint="eastAsia"/>
          <w:color w:val="0000FF"/>
          <w:highlight w:val="none"/>
        </w:rPr>
      </w:pPr>
      <w:r>
        <w:rPr>
          <w:rFonts w:hint="eastAsia"/>
          <w:color w:val="0000FF"/>
          <w:highlight w:val="none"/>
        </w:rPr>
        <w:t>根据上述监测结果年均值评价以及云南省生态环境厅驻楚雄州生态环境监测站出具的《2022 年楚雄州环境质量状况报告》，元谋 县姜驿乡抗旱应急供水工程饮用水（阿咪拉取水点饮用水水源地）水质监测结果能够满足Ⅱ类水质标准及集中式生活饮用水地表水源地补充项目限值。</w:t>
      </w:r>
    </w:p>
    <w:p>
      <w:pPr>
        <w:bidi w:val="0"/>
        <w:ind w:firstLine="480" w:firstLineChars="200"/>
        <w:rPr>
          <w:rFonts w:hint="default"/>
          <w:color w:val="auto"/>
          <w:highlight w:val="none"/>
          <w:vertAlign w:val="baseline"/>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720" w:num="1"/>
          <w:rtlGutter w:val="0"/>
          <w:docGrid w:type="lines" w:linePitch="312" w:charSpace="0"/>
        </w:sectPr>
      </w:pPr>
    </w:p>
    <w:p>
      <w:pPr>
        <w:keepNext w:val="0"/>
        <w:keepLines w:val="0"/>
        <w:pageBreakBefore w:val="0"/>
        <w:widowControl w:val="0"/>
        <w:kinsoku/>
        <w:wordWrap/>
        <w:overflowPunct/>
        <w:topLinePunct w:val="0"/>
        <w:autoSpaceDE/>
        <w:autoSpaceDN/>
        <w:bidi w:val="0"/>
        <w:adjustRightInd/>
        <w:snapToGrid w:val="0"/>
        <w:spacing w:line="360" w:lineRule="auto"/>
        <w:ind w:left="0" w:right="0"/>
        <w:textAlignment w:val="auto"/>
        <w:rPr>
          <w:b/>
          <w:bCs/>
          <w:color w:val="0000FF"/>
        </w:rPr>
      </w:pPr>
      <w:r>
        <w:rPr>
          <w:rFonts w:hint="eastAsia"/>
          <w:b/>
          <w:bCs/>
          <w:color w:val="0000FF"/>
          <w:lang w:val="en-US" w:eastAsia="zh-CN"/>
        </w:rPr>
        <w:t>3、受水区水质现状</w:t>
      </w:r>
    </w:p>
    <w:p>
      <w:pPr>
        <w:keepNext w:val="0"/>
        <w:keepLines w:val="0"/>
        <w:pageBreakBefore w:val="0"/>
        <w:widowControl w:val="0"/>
        <w:kinsoku/>
        <w:wordWrap/>
        <w:overflowPunct/>
        <w:topLinePunct w:val="0"/>
        <w:autoSpaceDE/>
        <w:autoSpaceDN/>
        <w:bidi w:val="0"/>
        <w:adjustRightInd/>
        <w:snapToGrid w:val="0"/>
        <w:spacing w:line="360" w:lineRule="auto"/>
        <w:ind w:left="0" w:right="0" w:firstLine="480"/>
        <w:textAlignment w:val="auto"/>
        <w:rPr>
          <w:rFonts w:hint="default" w:ascii="宋体" w:hAnsi="宋体" w:eastAsia="宋体" w:cs="宋体"/>
          <w:color w:val="0000FF"/>
          <w:sz w:val="24"/>
          <w:szCs w:val="24"/>
          <w:highlight w:val="none"/>
          <w:lang w:val="en-US" w:eastAsia="zh-CN"/>
        </w:rPr>
      </w:pPr>
      <w:r>
        <w:rPr>
          <w:rFonts w:hint="eastAsia" w:ascii="宋体" w:hAnsi="宋体" w:cs="宋体"/>
          <w:color w:val="0000FF"/>
          <w:spacing w:val="-1"/>
          <w:sz w:val="24"/>
          <w:szCs w:val="24"/>
          <w:highlight w:val="none"/>
          <w:lang w:val="en-US" w:eastAsia="zh-CN"/>
        </w:rPr>
        <w:t>项目受水区水库为界牌箐水库、水平石头水库、姜中水库、李官坟水库。</w:t>
      </w:r>
      <w:r>
        <w:rPr>
          <w:rFonts w:ascii="宋体" w:hAnsi="宋体" w:eastAsia="宋体" w:cs="宋体"/>
          <w:color w:val="0000FF"/>
          <w:spacing w:val="-1"/>
          <w:sz w:val="24"/>
          <w:szCs w:val="24"/>
          <w:highlight w:val="none"/>
        </w:rPr>
        <w:t>受水</w:t>
      </w:r>
      <w:r>
        <w:rPr>
          <w:rFonts w:hint="eastAsia" w:ascii="宋体" w:hAnsi="宋体" w:cs="宋体"/>
          <w:color w:val="0000FF"/>
          <w:spacing w:val="-1"/>
          <w:sz w:val="24"/>
          <w:szCs w:val="24"/>
          <w:highlight w:val="none"/>
          <w:lang w:val="en-US" w:eastAsia="zh-CN"/>
        </w:rPr>
        <w:t>区</w:t>
      </w:r>
      <w:r>
        <w:rPr>
          <w:rFonts w:ascii="宋体" w:hAnsi="宋体" w:eastAsia="宋体" w:cs="宋体"/>
          <w:color w:val="0000FF"/>
          <w:spacing w:val="-1"/>
          <w:sz w:val="24"/>
          <w:szCs w:val="24"/>
          <w:highlight w:val="none"/>
        </w:rPr>
        <w:t>水库均无例行监测数据，本次</w:t>
      </w:r>
      <w:r>
        <w:rPr>
          <w:rFonts w:hint="eastAsia" w:ascii="宋体" w:hAnsi="宋体" w:cs="宋体"/>
          <w:color w:val="0000FF"/>
          <w:spacing w:val="-1"/>
          <w:sz w:val="24"/>
          <w:szCs w:val="24"/>
          <w:highlight w:val="none"/>
          <w:lang w:val="en-US" w:eastAsia="zh-CN"/>
        </w:rPr>
        <w:t>委托</w:t>
      </w:r>
      <w:r>
        <w:rPr>
          <w:rFonts w:hint="eastAsia" w:ascii="宋体" w:hAnsi="宋体" w:eastAsia="宋体" w:cs="宋体"/>
          <w:color w:val="0000FF"/>
          <w:spacing w:val="-1"/>
          <w:sz w:val="24"/>
          <w:szCs w:val="24"/>
          <w:highlight w:val="none"/>
        </w:rPr>
        <w:t>云南浩辰环保科技有限公司</w:t>
      </w:r>
      <w:r>
        <w:rPr>
          <w:rFonts w:hint="eastAsia" w:ascii="宋体" w:hAnsi="宋体" w:cs="宋体"/>
          <w:color w:val="0000FF"/>
          <w:spacing w:val="-1"/>
          <w:sz w:val="24"/>
          <w:szCs w:val="24"/>
          <w:highlight w:val="none"/>
          <w:lang w:val="en-US" w:eastAsia="zh-CN"/>
        </w:rPr>
        <w:t>进行现状检测。</w:t>
      </w:r>
    </w:p>
    <w:p>
      <w:pPr>
        <w:keepNext w:val="0"/>
        <w:keepLines w:val="0"/>
        <w:pageBreakBefore w:val="0"/>
        <w:widowControl w:val="0"/>
        <w:kinsoku/>
        <w:wordWrap/>
        <w:overflowPunct/>
        <w:topLinePunct w:val="0"/>
        <w:autoSpaceDE/>
        <w:autoSpaceDN/>
        <w:bidi w:val="0"/>
        <w:adjustRightInd/>
        <w:snapToGrid w:val="0"/>
        <w:spacing w:line="360" w:lineRule="auto"/>
        <w:ind w:left="0" w:right="0" w:firstLine="482" w:firstLineChars="200"/>
        <w:textAlignment w:val="auto"/>
        <w:rPr>
          <w:rFonts w:hint="default" w:eastAsia="宋体"/>
          <w:b/>
          <w:bCs/>
          <w:color w:val="0000FF"/>
          <w:highlight w:val="none"/>
          <w:lang w:val="en-US" w:eastAsia="zh-CN"/>
        </w:rPr>
      </w:pPr>
      <w:r>
        <w:rPr>
          <w:rFonts w:hint="eastAsia"/>
          <w:b/>
          <w:bCs/>
          <w:color w:val="0000FF"/>
          <w:highlight w:val="none"/>
          <w:lang w:val="en-US" w:eastAsia="zh-CN"/>
        </w:rPr>
        <w:t>1、检测方案</w:t>
      </w:r>
    </w:p>
    <w:p>
      <w:pPr>
        <w:pStyle w:val="52"/>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0" w:right="0" w:firstLine="480" w:firstLineChars="200"/>
        <w:jc w:val="left"/>
        <w:textAlignment w:val="auto"/>
        <w:rPr>
          <w:rFonts w:hint="default" w:ascii="Times New Roman" w:hAnsi="Times New Roman" w:cs="Times New Roman"/>
          <w:b w:val="0"/>
          <w:bCs w:val="0"/>
          <w:color w:val="0000FF"/>
          <w:sz w:val="24"/>
          <w:szCs w:val="24"/>
          <w:lang w:val="en-US" w:eastAsia="zh-CN"/>
        </w:rPr>
      </w:pPr>
      <w:r>
        <w:rPr>
          <w:rFonts w:hint="default" w:ascii="Times New Roman" w:hAnsi="Times New Roman" w:cs="Times New Roman"/>
          <w:b w:val="0"/>
          <w:bCs w:val="0"/>
          <w:color w:val="0000FF"/>
          <w:sz w:val="24"/>
          <w:szCs w:val="24"/>
          <w:lang w:val="en-US" w:eastAsia="zh-CN"/>
        </w:rPr>
        <w:t>检测点位：界牌箐水库、水平石水库、姜中水库、李官坟水库。</w:t>
      </w:r>
    </w:p>
    <w:p>
      <w:pPr>
        <w:pStyle w:val="52"/>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0" w:right="0" w:firstLine="480" w:firstLineChars="200"/>
        <w:jc w:val="left"/>
        <w:textAlignment w:val="auto"/>
        <w:rPr>
          <w:rFonts w:hint="default" w:ascii="Times New Roman" w:hAnsi="Times New Roman" w:cs="Times New Roman"/>
          <w:b w:val="0"/>
          <w:bCs w:val="0"/>
          <w:color w:val="0000FF"/>
          <w:sz w:val="24"/>
          <w:szCs w:val="24"/>
          <w:lang w:val="en-US" w:eastAsia="zh-CN"/>
        </w:rPr>
      </w:pPr>
      <w:r>
        <w:rPr>
          <w:rFonts w:hint="default" w:ascii="Times New Roman" w:hAnsi="Times New Roman" w:cs="Times New Roman"/>
          <w:b w:val="0"/>
          <w:bCs w:val="0"/>
          <w:color w:val="0000FF"/>
          <w:sz w:val="24"/>
          <w:szCs w:val="24"/>
          <w:lang w:val="en-US" w:eastAsia="zh-CN"/>
        </w:rPr>
        <w:t>检测因子：水温</w:t>
      </w:r>
      <w:r>
        <w:rPr>
          <w:rFonts w:hint="eastAsia" w:ascii="Times New Roman" w:hAnsi="Times New Roman" w:cs="Times New Roman"/>
          <w:b w:val="0"/>
          <w:bCs w:val="0"/>
          <w:color w:val="0000FF"/>
          <w:sz w:val="24"/>
          <w:szCs w:val="24"/>
          <w:lang w:val="en-US" w:eastAsia="zh-CN"/>
        </w:rPr>
        <w:t>、PH值、溶解氧、高锰酸盐指数、化学需氧量、五日生化需氧量、氨氮、总磷、总氮、铜、锌、氟化物、硒、砷、汞、镉、铬、铅、氰化物、挥发酚、石油类、阴离子表面活性剂、硫化物、粪大肠菌群、</w:t>
      </w:r>
      <w:r>
        <w:rPr>
          <w:rFonts w:hint="default" w:ascii="Times New Roman" w:hAnsi="Times New Roman" w:cs="Times New Roman"/>
          <w:b w:val="0"/>
          <w:bCs w:val="0"/>
          <w:color w:val="0000FF"/>
          <w:sz w:val="24"/>
          <w:szCs w:val="24"/>
          <w:lang w:val="en-US" w:eastAsia="zh-CN"/>
        </w:rPr>
        <w:t>叶绿素a、透明度。</w:t>
      </w:r>
    </w:p>
    <w:p>
      <w:pPr>
        <w:keepNext w:val="0"/>
        <w:keepLines w:val="0"/>
        <w:pageBreakBefore w:val="0"/>
        <w:widowControl w:val="0"/>
        <w:kinsoku/>
        <w:wordWrap/>
        <w:overflowPunct/>
        <w:topLinePunct w:val="0"/>
        <w:autoSpaceDE/>
        <w:autoSpaceDN/>
        <w:bidi w:val="0"/>
        <w:adjustRightInd/>
        <w:snapToGrid w:val="0"/>
        <w:spacing w:line="360" w:lineRule="auto"/>
        <w:ind w:left="0" w:right="0" w:firstLine="480" w:firstLineChars="200"/>
        <w:textAlignment w:val="auto"/>
        <w:rPr>
          <w:rFonts w:hint="default" w:ascii="Times New Roman" w:hAnsi="Times New Roman" w:cs="Times New Roman"/>
          <w:b w:val="0"/>
          <w:bCs w:val="0"/>
          <w:color w:val="0000FF"/>
          <w:sz w:val="24"/>
          <w:szCs w:val="24"/>
          <w:lang w:val="en-US" w:eastAsia="zh-CN"/>
        </w:rPr>
      </w:pPr>
      <w:r>
        <w:rPr>
          <w:rFonts w:hint="default" w:ascii="Times New Roman" w:hAnsi="Times New Roman" w:cs="Times New Roman"/>
          <w:b w:val="0"/>
          <w:bCs w:val="0"/>
          <w:color w:val="0000FF"/>
          <w:sz w:val="24"/>
          <w:szCs w:val="24"/>
          <w:lang w:val="en-US" w:eastAsia="zh-CN"/>
        </w:rPr>
        <w:t>检测频率：连续测3天，每天1次。</w:t>
      </w:r>
    </w:p>
    <w:p>
      <w:pPr>
        <w:keepNext w:val="0"/>
        <w:keepLines w:val="0"/>
        <w:pageBreakBefore w:val="0"/>
        <w:widowControl w:val="0"/>
        <w:kinsoku/>
        <w:wordWrap/>
        <w:overflowPunct/>
        <w:topLinePunct w:val="0"/>
        <w:autoSpaceDE/>
        <w:autoSpaceDN/>
        <w:bidi w:val="0"/>
        <w:adjustRightInd/>
        <w:snapToGrid w:val="0"/>
        <w:spacing w:line="360" w:lineRule="auto"/>
        <w:ind w:left="0" w:right="0" w:firstLine="482" w:firstLineChars="200"/>
        <w:textAlignment w:val="auto"/>
        <w:rPr>
          <w:rFonts w:hint="default"/>
          <w:b/>
          <w:bCs/>
          <w:color w:val="0000FF"/>
          <w:highlight w:val="none"/>
          <w:lang w:val="en-US" w:eastAsia="zh-CN"/>
        </w:rPr>
      </w:pPr>
      <w:r>
        <w:rPr>
          <w:rFonts w:hint="eastAsia"/>
          <w:b/>
          <w:bCs/>
          <w:color w:val="0000FF"/>
          <w:highlight w:val="none"/>
          <w:lang w:val="en-US" w:eastAsia="zh-CN"/>
        </w:rPr>
        <w:t>2、检测结果</w:t>
      </w:r>
    </w:p>
    <w:p>
      <w:pPr>
        <w:keepNext w:val="0"/>
        <w:keepLines w:val="0"/>
        <w:pageBreakBefore w:val="0"/>
        <w:widowControl w:val="0"/>
        <w:kinsoku/>
        <w:wordWrap/>
        <w:overflowPunct/>
        <w:topLinePunct w:val="0"/>
        <w:autoSpaceDE/>
        <w:autoSpaceDN/>
        <w:bidi w:val="0"/>
        <w:adjustRightInd/>
        <w:snapToGrid w:val="0"/>
        <w:spacing w:line="360" w:lineRule="auto"/>
        <w:ind w:left="0" w:right="0" w:firstLine="480" w:firstLineChars="200"/>
        <w:textAlignment w:val="auto"/>
        <w:rPr>
          <w:rFonts w:hint="eastAsia" w:ascii="宋体" w:hAnsi="宋体" w:cs="宋体"/>
          <w:color w:val="0000FF"/>
          <w:szCs w:val="24"/>
          <w:highlight w:val="none"/>
          <w:lang w:val="en-US" w:eastAsia="zh-CN"/>
        </w:rPr>
      </w:pPr>
      <w:r>
        <w:rPr>
          <w:rFonts w:hint="eastAsia"/>
          <w:color w:val="0000FF"/>
          <w:highlight w:val="none"/>
          <w:lang w:val="en-US" w:eastAsia="zh-CN"/>
        </w:rPr>
        <w:t>4个受水区水库检测</w:t>
      </w:r>
      <w:r>
        <w:rPr>
          <w:color w:val="0000FF"/>
          <w:highlight w:val="none"/>
        </w:rPr>
        <w:t>结果如下：</w:t>
      </w:r>
    </w:p>
    <w:p>
      <w:pPr>
        <w:spacing w:line="240" w:lineRule="auto"/>
        <w:jc w:val="center"/>
        <w:rPr>
          <w:rFonts w:hint="default" w:eastAsiaTheme="minorEastAsia"/>
          <w:b/>
          <w:bCs/>
          <w:sz w:val="21"/>
          <w:szCs w:val="21"/>
          <w:lang w:val="en-US" w:eastAsia="zh-CN"/>
        </w:rPr>
      </w:pPr>
      <w:r>
        <w:rPr>
          <w:rFonts w:hint="eastAsia"/>
          <w:b/>
          <w:bCs/>
          <w:sz w:val="21"/>
          <w:szCs w:val="21"/>
          <w:lang w:val="en-US" w:eastAsia="zh-CN"/>
        </w:rPr>
        <w:t>4.2.3-5界牌箐水库水质检测结果</w:t>
      </w:r>
    </w:p>
    <w:tbl>
      <w:tblPr>
        <w:tblStyle w:val="57"/>
        <w:tblW w:w="5001"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714"/>
        <w:gridCol w:w="1004"/>
        <w:gridCol w:w="1004"/>
        <w:gridCol w:w="1019"/>
        <w:gridCol w:w="881"/>
        <w:gridCol w:w="1643"/>
        <w:gridCol w:w="494"/>
        <w:gridCol w:w="54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检测点位</w:t>
            </w:r>
          </w:p>
        </w:tc>
        <w:tc>
          <w:tcPr>
            <w:tcW w:w="1821" w:type="pct"/>
            <w:gridSpan w:val="3"/>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界牌箐水库</w:t>
            </w:r>
          </w:p>
        </w:tc>
        <w:tc>
          <w:tcPr>
            <w:tcW w:w="530" w:type="pct"/>
            <w:vMerge w:val="restar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平均值</w:t>
            </w:r>
          </w:p>
        </w:tc>
        <w:tc>
          <w:tcPr>
            <w:tcW w:w="988" w:type="pct"/>
            <w:vMerge w:val="restart"/>
            <w:tcBorders>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《地表水环境质量标准》（GB3838-2002）Ⅲ类标准</w:t>
            </w:r>
          </w:p>
        </w:tc>
        <w:tc>
          <w:tcPr>
            <w:tcW w:w="297" w:type="pct"/>
            <w:vMerge w:val="restart"/>
            <w:tcBorders>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标准</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指数</w:t>
            </w:r>
          </w:p>
        </w:tc>
        <w:tc>
          <w:tcPr>
            <w:tcW w:w="330" w:type="pct"/>
            <w:vMerge w:val="restart"/>
            <w:tcBorders>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样品编号</w:t>
            </w:r>
          </w:p>
        </w:tc>
        <w:tc>
          <w:tcPr>
            <w:tcW w:w="60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1-1-1</w:t>
            </w:r>
          </w:p>
        </w:tc>
        <w:tc>
          <w:tcPr>
            <w:tcW w:w="60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2-1-1</w:t>
            </w:r>
          </w:p>
        </w:tc>
        <w:tc>
          <w:tcPr>
            <w:tcW w:w="613"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3-1-1</w:t>
            </w:r>
          </w:p>
        </w:tc>
        <w:tc>
          <w:tcPr>
            <w:tcW w:w="530"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988"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297"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330"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采样日期</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Style w:val="69"/>
                <w:rFonts w:hint="default" w:ascii="Times New Roman" w:hAnsi="Times New Roman" w:eastAsia="宋体" w:cs="Times New Roman"/>
                <w:color w:val="0000FF"/>
                <w:sz w:val="21"/>
                <w:szCs w:val="21"/>
                <w:lang w:val="en-US" w:eastAsia="zh-CN" w:bidi="ar"/>
              </w:rPr>
              <w:t>2024.04.11</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Style w:val="69"/>
                <w:rFonts w:hint="default" w:ascii="Times New Roman" w:hAnsi="Times New Roman" w:eastAsia="宋体" w:cs="Times New Roman"/>
                <w:color w:val="0000FF"/>
                <w:sz w:val="21"/>
                <w:szCs w:val="21"/>
                <w:lang w:val="en-US" w:eastAsia="zh-CN" w:bidi="ar"/>
              </w:rPr>
              <w:t>2024.04.12</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Style w:val="69"/>
                <w:rFonts w:hint="default" w:ascii="Times New Roman" w:hAnsi="Times New Roman" w:eastAsia="宋体" w:cs="Times New Roman"/>
                <w:color w:val="0000FF"/>
                <w:sz w:val="21"/>
                <w:szCs w:val="21"/>
                <w:lang w:val="en-US" w:eastAsia="zh-CN" w:bidi="ar"/>
              </w:rPr>
              <w:t>2024.04.13</w:t>
            </w:r>
          </w:p>
        </w:tc>
        <w:tc>
          <w:tcPr>
            <w:tcW w:w="530"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988"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297"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330"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tcBorders>
              <w:tl2br w:val="single" w:color="000000" w:sz="2" w:space="0"/>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样品状态</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项目</w:t>
            </w:r>
          </w:p>
        </w:tc>
        <w:tc>
          <w:tcPr>
            <w:tcW w:w="60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无色、无味、无漂浮物、无浮油</w:t>
            </w:r>
          </w:p>
        </w:tc>
        <w:tc>
          <w:tcPr>
            <w:tcW w:w="60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无色、无味、无漂浮物、无浮油</w:t>
            </w:r>
          </w:p>
        </w:tc>
        <w:tc>
          <w:tcPr>
            <w:tcW w:w="613"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无色、无味、无漂浮物、无浮油</w:t>
            </w:r>
          </w:p>
        </w:tc>
        <w:tc>
          <w:tcPr>
            <w:tcW w:w="530"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988" w:type="pct"/>
            <w:vMerge w:val="continue"/>
            <w:tcBorders>
              <w:top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297" w:type="pct"/>
            <w:vMerge w:val="continue"/>
            <w:tcBorders>
              <w:top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330" w:type="pct"/>
            <w:vMerge w:val="continue"/>
            <w:tcBorders>
              <w:top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pH</w:t>
            </w:r>
          </w:p>
        </w:tc>
        <w:tc>
          <w:tcPr>
            <w:tcW w:w="6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i w:val="0"/>
                <w:iCs w:val="0"/>
                <w:color w:val="0000FF"/>
                <w:kern w:val="0"/>
                <w:sz w:val="21"/>
                <w:szCs w:val="21"/>
                <w:highlight w:val="none"/>
                <w:u w:val="none"/>
                <w:lang w:val="en-US" w:eastAsia="zh-CN" w:bidi="ar"/>
              </w:rPr>
              <w:t>8.38</w:t>
            </w:r>
          </w:p>
        </w:tc>
        <w:tc>
          <w:tcPr>
            <w:tcW w:w="6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i w:val="0"/>
                <w:iCs w:val="0"/>
                <w:color w:val="0000FF"/>
                <w:kern w:val="0"/>
                <w:sz w:val="21"/>
                <w:szCs w:val="21"/>
                <w:highlight w:val="none"/>
                <w:u w:val="none"/>
                <w:lang w:val="en-US" w:eastAsia="zh-CN" w:bidi="ar"/>
              </w:rPr>
              <w:t>8.33</w:t>
            </w:r>
          </w:p>
        </w:tc>
        <w:tc>
          <w:tcPr>
            <w:tcW w:w="61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i w:val="0"/>
                <w:iCs w:val="0"/>
                <w:color w:val="0000FF"/>
                <w:kern w:val="0"/>
                <w:sz w:val="21"/>
                <w:szCs w:val="21"/>
                <w:highlight w:val="none"/>
                <w:u w:val="none"/>
                <w:lang w:val="en-US" w:eastAsia="zh-CN" w:bidi="ar"/>
              </w:rPr>
              <w:t>8.36</w:t>
            </w:r>
          </w:p>
        </w:tc>
        <w:tc>
          <w:tcPr>
            <w:tcW w:w="53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cs="Times New Roman"/>
                <w:i w:val="0"/>
                <w:iCs w:val="0"/>
                <w:color w:val="0000FF"/>
                <w:kern w:val="0"/>
                <w:sz w:val="21"/>
                <w:szCs w:val="21"/>
                <w:highlight w:val="none"/>
                <w:u w:val="none"/>
                <w:lang w:val="en-US" w:eastAsia="zh-CN" w:bidi="ar"/>
              </w:rPr>
              <w:t>/</w:t>
            </w:r>
          </w:p>
        </w:tc>
        <w:tc>
          <w:tcPr>
            <w:tcW w:w="9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6~9</w:t>
            </w:r>
          </w:p>
        </w:tc>
        <w:tc>
          <w:tcPr>
            <w:tcW w:w="29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cs="Times New Roman"/>
                <w:i w:val="0"/>
                <w:iCs w:val="0"/>
                <w:color w:val="0000FF"/>
                <w:kern w:val="2"/>
                <w:sz w:val="21"/>
                <w:szCs w:val="21"/>
                <w:highlight w:val="none"/>
                <w:u w:val="none"/>
                <w:lang w:val="en-US" w:eastAsia="zh-CN" w:bidi="ar-SA"/>
              </w:rPr>
              <w:t>/</w:t>
            </w:r>
          </w:p>
        </w:tc>
        <w:tc>
          <w:tcPr>
            <w:tcW w:w="330"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水温</w:t>
            </w:r>
          </w:p>
        </w:tc>
        <w:tc>
          <w:tcPr>
            <w:tcW w:w="6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22.3</w:t>
            </w:r>
          </w:p>
        </w:tc>
        <w:tc>
          <w:tcPr>
            <w:tcW w:w="6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21.4</w:t>
            </w:r>
          </w:p>
        </w:tc>
        <w:tc>
          <w:tcPr>
            <w:tcW w:w="61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20.3</w:t>
            </w:r>
          </w:p>
        </w:tc>
        <w:tc>
          <w:tcPr>
            <w:tcW w:w="53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highlight w:val="none"/>
                <w:u w:val="none"/>
                <w:lang w:val="en-US" w:eastAsia="zh-CN" w:bidi="ar"/>
              </w:rPr>
              <w:t>21.3</w:t>
            </w:r>
          </w:p>
        </w:tc>
        <w:tc>
          <w:tcPr>
            <w:tcW w:w="9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w:t>
            </w:r>
          </w:p>
        </w:tc>
        <w:tc>
          <w:tcPr>
            <w:tcW w:w="29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cs="Times New Roman"/>
                <w:i w:val="0"/>
                <w:iCs w:val="0"/>
                <w:color w:val="0000FF"/>
                <w:kern w:val="2"/>
                <w:sz w:val="21"/>
                <w:szCs w:val="21"/>
                <w:highlight w:val="none"/>
                <w:u w:val="none"/>
                <w:lang w:val="en-US" w:eastAsia="zh-CN" w:bidi="ar-SA"/>
              </w:rPr>
              <w:t>/</w:t>
            </w:r>
          </w:p>
        </w:tc>
        <w:tc>
          <w:tcPr>
            <w:tcW w:w="330"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cs="Times New Roman"/>
                <w:color w:val="0000FF"/>
                <w:sz w:val="21"/>
                <w:szCs w:val="21"/>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溶解氧</w:t>
            </w:r>
          </w:p>
        </w:tc>
        <w:tc>
          <w:tcPr>
            <w:tcW w:w="6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10.8</w:t>
            </w:r>
          </w:p>
        </w:tc>
        <w:tc>
          <w:tcPr>
            <w:tcW w:w="6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10.7</w:t>
            </w:r>
          </w:p>
        </w:tc>
        <w:tc>
          <w:tcPr>
            <w:tcW w:w="61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10.8</w:t>
            </w:r>
          </w:p>
        </w:tc>
        <w:tc>
          <w:tcPr>
            <w:tcW w:w="53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highlight w:val="none"/>
                <w:u w:val="none"/>
                <w:lang w:val="en-US" w:eastAsia="zh-CN" w:bidi="ar"/>
              </w:rPr>
              <w:t>10.8</w:t>
            </w:r>
          </w:p>
        </w:tc>
        <w:tc>
          <w:tcPr>
            <w:tcW w:w="9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≥5</w:t>
            </w:r>
          </w:p>
        </w:tc>
        <w:tc>
          <w:tcPr>
            <w:tcW w:w="29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p>
        </w:tc>
        <w:tc>
          <w:tcPr>
            <w:tcW w:w="330"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cs="Times New Roman"/>
                <w:color w:val="0000FF"/>
                <w:sz w:val="21"/>
                <w:szCs w:val="21"/>
                <w:highlight w:val="none"/>
                <w:lang w:val="en-US" w:eastAsia="zh-CN"/>
              </w:rPr>
              <w:t>0.84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03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高锰酸盐指数</w:t>
            </w:r>
          </w:p>
        </w:tc>
        <w:tc>
          <w:tcPr>
            <w:tcW w:w="6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color w:val="0000FF"/>
                <w:sz w:val="21"/>
                <w:szCs w:val="21"/>
                <w:highlight w:val="none"/>
                <w:lang w:val="en-US" w:eastAsia="zh-CN"/>
              </w:rPr>
              <w:t>9.7</w:t>
            </w:r>
          </w:p>
        </w:tc>
        <w:tc>
          <w:tcPr>
            <w:tcW w:w="6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color w:val="0000FF"/>
                <w:sz w:val="21"/>
                <w:szCs w:val="21"/>
                <w:highlight w:val="none"/>
                <w:lang w:val="en-US" w:eastAsia="zh-CN"/>
              </w:rPr>
              <w:t>9.8</w:t>
            </w:r>
          </w:p>
        </w:tc>
        <w:tc>
          <w:tcPr>
            <w:tcW w:w="61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color w:val="0000FF"/>
                <w:sz w:val="21"/>
                <w:szCs w:val="21"/>
                <w:highlight w:val="none"/>
                <w:lang w:val="en-US" w:eastAsia="zh-CN"/>
              </w:rPr>
              <w:t>9.9</w:t>
            </w:r>
          </w:p>
        </w:tc>
        <w:tc>
          <w:tcPr>
            <w:tcW w:w="8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 xml:space="preserve">9.8 </w:t>
            </w:r>
          </w:p>
        </w:tc>
        <w:tc>
          <w:tcPr>
            <w:tcW w:w="9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6</w:t>
            </w:r>
          </w:p>
        </w:tc>
        <w:tc>
          <w:tcPr>
            <w:tcW w:w="494" w:type="dxa"/>
            <w:shd w:val="clear" w:color="auto" w:fill="D7D7D7" w:themeFill="background1" w:themeFillShade="D8"/>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cs="Times New Roman"/>
                <w:i w:val="0"/>
                <w:iCs w:val="0"/>
                <w:color w:val="0000FF"/>
                <w:kern w:val="0"/>
                <w:sz w:val="21"/>
                <w:szCs w:val="21"/>
                <w:u w:val="none"/>
                <w:lang w:val="en-US" w:eastAsia="zh-CN" w:bidi="ar"/>
              </w:rPr>
              <w:t>0</w:t>
            </w:r>
            <w:r>
              <w:rPr>
                <w:rFonts w:hint="default" w:ascii="Times New Roman" w:hAnsi="Times New Roman" w:eastAsia="宋体" w:cs="Times New Roman"/>
                <w:i w:val="0"/>
                <w:iCs w:val="0"/>
                <w:color w:val="0000FF"/>
                <w:kern w:val="0"/>
                <w:sz w:val="21"/>
                <w:szCs w:val="21"/>
                <w:u w:val="none"/>
                <w:lang w:val="en-US" w:eastAsia="zh-CN" w:bidi="ar"/>
              </w:rPr>
              <w:t xml:space="preserve">.63 </w:t>
            </w:r>
          </w:p>
        </w:tc>
        <w:tc>
          <w:tcPr>
            <w:tcW w:w="330"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cs="Times New Roman"/>
                <w:color w:val="0000FF"/>
                <w:sz w:val="21"/>
                <w:szCs w:val="21"/>
                <w:highlight w:val="none"/>
                <w:lang w:val="en-US" w:eastAsia="zh-CN"/>
              </w:rPr>
              <w:t>超标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化学需氧量</w:t>
            </w:r>
          </w:p>
        </w:tc>
        <w:tc>
          <w:tcPr>
            <w:tcW w:w="6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color w:val="0000FF"/>
                <w:sz w:val="21"/>
                <w:szCs w:val="21"/>
                <w:highlight w:val="none"/>
                <w:lang w:val="en-US" w:eastAsia="zh-CN"/>
              </w:rPr>
              <w:t>41</w:t>
            </w:r>
          </w:p>
        </w:tc>
        <w:tc>
          <w:tcPr>
            <w:tcW w:w="6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color w:val="0000FF"/>
                <w:sz w:val="21"/>
                <w:szCs w:val="21"/>
                <w:highlight w:val="none"/>
                <w:lang w:val="en-US" w:eastAsia="zh-CN"/>
              </w:rPr>
              <w:t>37</w:t>
            </w:r>
          </w:p>
        </w:tc>
        <w:tc>
          <w:tcPr>
            <w:tcW w:w="61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color w:val="0000FF"/>
                <w:sz w:val="21"/>
                <w:szCs w:val="21"/>
                <w:highlight w:val="none"/>
                <w:lang w:val="en-US" w:eastAsia="zh-CN"/>
              </w:rPr>
              <w:t>43</w:t>
            </w:r>
          </w:p>
        </w:tc>
        <w:tc>
          <w:tcPr>
            <w:tcW w:w="8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 xml:space="preserve">40.3 </w:t>
            </w:r>
          </w:p>
        </w:tc>
        <w:tc>
          <w:tcPr>
            <w:tcW w:w="9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20</w:t>
            </w:r>
          </w:p>
        </w:tc>
        <w:tc>
          <w:tcPr>
            <w:tcW w:w="494" w:type="dxa"/>
            <w:shd w:val="clear" w:color="auto" w:fill="D7D7D7" w:themeFill="background1" w:themeFillShade="D8"/>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cs="Times New Roman"/>
                <w:i w:val="0"/>
                <w:iCs w:val="0"/>
                <w:color w:val="0000FF"/>
                <w:kern w:val="0"/>
                <w:sz w:val="21"/>
                <w:szCs w:val="21"/>
                <w:u w:val="none"/>
                <w:lang w:val="en-US" w:eastAsia="zh-CN" w:bidi="ar"/>
              </w:rPr>
              <w:t>1</w:t>
            </w:r>
            <w:r>
              <w:rPr>
                <w:rFonts w:hint="default" w:ascii="Times New Roman" w:hAnsi="Times New Roman" w:eastAsia="宋体" w:cs="Times New Roman"/>
                <w:i w:val="0"/>
                <w:iCs w:val="0"/>
                <w:color w:val="0000FF"/>
                <w:kern w:val="0"/>
                <w:sz w:val="21"/>
                <w:szCs w:val="21"/>
                <w:u w:val="none"/>
                <w:lang w:val="en-US" w:eastAsia="zh-CN" w:bidi="ar"/>
              </w:rPr>
              <w:t xml:space="preserve">.02 </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0000FF"/>
                <w:sz w:val="21"/>
                <w:szCs w:val="21"/>
                <w:highlight w:val="none"/>
              </w:rPr>
            </w:pPr>
            <w:r>
              <w:rPr>
                <w:rFonts w:hint="eastAsia" w:cs="Times New Roman"/>
                <w:color w:val="0000FF"/>
                <w:sz w:val="21"/>
                <w:szCs w:val="21"/>
                <w:highlight w:val="none"/>
                <w:lang w:val="en-US" w:eastAsia="zh-CN"/>
              </w:rPr>
              <w:t>超标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五日生化需氧量</w:t>
            </w:r>
          </w:p>
        </w:tc>
        <w:tc>
          <w:tcPr>
            <w:tcW w:w="6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color w:val="0000FF"/>
                <w:sz w:val="21"/>
                <w:szCs w:val="21"/>
                <w:highlight w:val="none"/>
                <w:lang w:val="en-US" w:eastAsia="zh-CN"/>
              </w:rPr>
              <w:t>10.2</w:t>
            </w:r>
          </w:p>
        </w:tc>
        <w:tc>
          <w:tcPr>
            <w:tcW w:w="6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color w:val="0000FF"/>
                <w:sz w:val="21"/>
                <w:szCs w:val="21"/>
                <w:highlight w:val="none"/>
                <w:lang w:val="en-US" w:eastAsia="zh-CN"/>
              </w:rPr>
              <w:t>9.8</w:t>
            </w:r>
          </w:p>
        </w:tc>
        <w:tc>
          <w:tcPr>
            <w:tcW w:w="61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color w:val="0000FF"/>
                <w:sz w:val="21"/>
                <w:szCs w:val="21"/>
                <w:highlight w:val="none"/>
                <w:lang w:val="en-US" w:eastAsia="zh-CN"/>
              </w:rPr>
              <w:t>10.2</w:t>
            </w:r>
          </w:p>
        </w:tc>
        <w:tc>
          <w:tcPr>
            <w:tcW w:w="881"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 xml:space="preserve">10.1 </w:t>
            </w:r>
          </w:p>
        </w:tc>
        <w:tc>
          <w:tcPr>
            <w:tcW w:w="9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4</w:t>
            </w:r>
          </w:p>
        </w:tc>
        <w:tc>
          <w:tcPr>
            <w:tcW w:w="494" w:type="dxa"/>
            <w:shd w:val="clear" w:color="auto" w:fill="D7D7D7" w:themeFill="background1" w:themeFillShade="D8"/>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cs="Times New Roman"/>
                <w:i w:val="0"/>
                <w:iCs w:val="0"/>
                <w:color w:val="0000FF"/>
                <w:kern w:val="0"/>
                <w:sz w:val="21"/>
                <w:szCs w:val="21"/>
                <w:u w:val="none"/>
                <w:lang w:val="en-US" w:eastAsia="zh-CN" w:bidi="ar"/>
              </w:rPr>
              <w:t>1</w:t>
            </w:r>
            <w:r>
              <w:rPr>
                <w:rFonts w:hint="default" w:ascii="Times New Roman" w:hAnsi="Times New Roman" w:eastAsia="宋体" w:cs="Times New Roman"/>
                <w:i w:val="0"/>
                <w:iCs w:val="0"/>
                <w:color w:val="0000FF"/>
                <w:kern w:val="0"/>
                <w:sz w:val="21"/>
                <w:szCs w:val="21"/>
                <w:u w:val="none"/>
                <w:lang w:val="en-US" w:eastAsia="zh-CN" w:bidi="ar"/>
              </w:rPr>
              <w:t>.5</w:t>
            </w:r>
            <w:r>
              <w:rPr>
                <w:rFonts w:hint="eastAsia" w:cs="Times New Roman"/>
                <w:i w:val="0"/>
                <w:iCs w:val="0"/>
                <w:color w:val="0000FF"/>
                <w:kern w:val="0"/>
                <w:sz w:val="21"/>
                <w:szCs w:val="21"/>
                <w:u w:val="none"/>
                <w:lang w:val="en-US" w:eastAsia="zh-CN" w:bidi="ar"/>
              </w:rPr>
              <w:t>3</w:t>
            </w:r>
            <w:r>
              <w:rPr>
                <w:rFonts w:hint="default" w:ascii="Times New Roman" w:hAnsi="Times New Roman" w:eastAsia="宋体" w:cs="Times New Roman"/>
                <w:i w:val="0"/>
                <w:iCs w:val="0"/>
                <w:color w:val="0000FF"/>
                <w:kern w:val="0"/>
                <w:sz w:val="21"/>
                <w:szCs w:val="21"/>
                <w:u w:val="none"/>
                <w:lang w:val="en-US" w:eastAsia="zh-CN" w:bidi="ar"/>
              </w:rPr>
              <w:t xml:space="preserve"> </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0000FF"/>
                <w:sz w:val="21"/>
                <w:szCs w:val="21"/>
                <w:highlight w:val="none"/>
              </w:rPr>
            </w:pPr>
            <w:r>
              <w:rPr>
                <w:rFonts w:hint="eastAsia" w:cs="Times New Roman"/>
                <w:color w:val="0000FF"/>
                <w:sz w:val="21"/>
                <w:szCs w:val="21"/>
                <w:highlight w:val="none"/>
                <w:lang w:val="en-US" w:eastAsia="zh-CN"/>
              </w:rPr>
              <w:t>超标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氨氮</w:t>
            </w:r>
          </w:p>
        </w:tc>
        <w:tc>
          <w:tcPr>
            <w:tcW w:w="6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2.44</w:t>
            </w:r>
          </w:p>
        </w:tc>
        <w:tc>
          <w:tcPr>
            <w:tcW w:w="6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2.31</w:t>
            </w:r>
          </w:p>
        </w:tc>
        <w:tc>
          <w:tcPr>
            <w:tcW w:w="61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2.4</w:t>
            </w:r>
          </w:p>
        </w:tc>
        <w:tc>
          <w:tcPr>
            <w:tcW w:w="53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2.4</w:t>
            </w:r>
          </w:p>
        </w:tc>
        <w:tc>
          <w:tcPr>
            <w:tcW w:w="9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4" w:type="dxa"/>
            <w:shd w:val="clear" w:color="auto" w:fill="D7D7D7" w:themeFill="background1" w:themeFillShade="D8"/>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cs="Times New Roman"/>
                <w:i w:val="0"/>
                <w:iCs w:val="0"/>
                <w:color w:val="0000FF"/>
                <w:kern w:val="0"/>
                <w:sz w:val="21"/>
                <w:szCs w:val="21"/>
                <w:u w:val="none"/>
                <w:lang w:val="en-US" w:eastAsia="zh-CN" w:bidi="ar"/>
              </w:rPr>
              <w:t>1</w:t>
            </w:r>
            <w:r>
              <w:rPr>
                <w:rFonts w:hint="default" w:ascii="Times New Roman" w:hAnsi="Times New Roman" w:eastAsia="宋体" w:cs="Times New Roman"/>
                <w:i w:val="0"/>
                <w:iCs w:val="0"/>
                <w:color w:val="0000FF"/>
                <w:kern w:val="0"/>
                <w:sz w:val="21"/>
                <w:szCs w:val="21"/>
                <w:u w:val="none"/>
                <w:lang w:val="en-US" w:eastAsia="zh-CN" w:bidi="ar"/>
              </w:rPr>
              <w:t>.4</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0000FF"/>
                <w:sz w:val="21"/>
                <w:szCs w:val="21"/>
                <w:highlight w:val="none"/>
              </w:rPr>
            </w:pPr>
            <w:r>
              <w:rPr>
                <w:rFonts w:hint="eastAsia" w:cs="Times New Roman"/>
                <w:color w:val="0000FF"/>
                <w:sz w:val="21"/>
                <w:szCs w:val="21"/>
                <w:highlight w:val="none"/>
                <w:lang w:val="en-US" w:eastAsia="zh-CN"/>
              </w:rPr>
              <w:t>超标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总磷</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0.25</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0.26</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0.22</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0.24</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494" w:type="dxa"/>
            <w:shd w:val="clear" w:color="auto" w:fill="D7D7D7" w:themeFill="background1" w:themeFillShade="D8"/>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cs="Times New Roman"/>
                <w:i w:val="0"/>
                <w:iCs w:val="0"/>
                <w:color w:val="0000FF"/>
                <w:kern w:val="0"/>
                <w:sz w:val="21"/>
                <w:szCs w:val="21"/>
                <w:u w:val="none"/>
                <w:lang w:val="en-US" w:eastAsia="zh-CN" w:bidi="ar"/>
              </w:rPr>
              <w:t>0</w:t>
            </w:r>
            <w:r>
              <w:rPr>
                <w:rFonts w:hint="default" w:ascii="Times New Roman" w:hAnsi="Times New Roman" w:eastAsia="宋体" w:cs="Times New Roman"/>
                <w:i w:val="0"/>
                <w:iCs w:val="0"/>
                <w:color w:val="0000FF"/>
                <w:kern w:val="0"/>
                <w:sz w:val="21"/>
                <w:szCs w:val="21"/>
                <w:u w:val="none"/>
                <w:lang w:val="en-US" w:eastAsia="zh-CN" w:bidi="ar"/>
              </w:rPr>
              <w:t>.2</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 w:cs="Times New Roman"/>
                <w:color w:val="0000FF"/>
                <w:kern w:val="0"/>
                <w:sz w:val="21"/>
                <w:szCs w:val="21"/>
                <w:highlight w:val="none"/>
                <w:lang w:val="en-US" w:eastAsia="zh-CN" w:bidi="ar-SA"/>
              </w:rPr>
            </w:pPr>
            <w:r>
              <w:rPr>
                <w:rFonts w:hint="eastAsia" w:cs="Times New Roman"/>
                <w:color w:val="0000FF"/>
                <w:sz w:val="21"/>
                <w:szCs w:val="21"/>
                <w:highlight w:val="none"/>
                <w:lang w:val="en-US" w:eastAsia="zh-CN"/>
              </w:rPr>
              <w:t>超标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总氮</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5.83</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5.69</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5.94</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5.82</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4" w:type="dxa"/>
            <w:shd w:val="clear" w:color="auto" w:fill="D7D7D7" w:themeFill="background1" w:themeFillShade="D8"/>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cs="Times New Roman"/>
                <w:i w:val="0"/>
                <w:iCs w:val="0"/>
                <w:color w:val="0000FF"/>
                <w:kern w:val="0"/>
                <w:sz w:val="21"/>
                <w:szCs w:val="21"/>
                <w:u w:val="none"/>
                <w:lang w:val="en-US" w:eastAsia="zh-CN" w:bidi="ar"/>
              </w:rPr>
              <w:t>4</w:t>
            </w:r>
            <w:r>
              <w:rPr>
                <w:rFonts w:hint="default" w:ascii="Times New Roman" w:hAnsi="Times New Roman" w:eastAsia="宋体" w:cs="Times New Roman"/>
                <w:i w:val="0"/>
                <w:iCs w:val="0"/>
                <w:color w:val="0000FF"/>
                <w:kern w:val="0"/>
                <w:sz w:val="21"/>
                <w:szCs w:val="21"/>
                <w:u w:val="none"/>
                <w:lang w:val="en-US" w:eastAsia="zh-CN" w:bidi="ar"/>
              </w:rPr>
              <w:t>.82</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 w:cs="Times New Roman"/>
                <w:color w:val="0000FF"/>
                <w:kern w:val="0"/>
                <w:sz w:val="21"/>
                <w:szCs w:val="21"/>
                <w:highlight w:val="none"/>
                <w:lang w:val="en-US" w:eastAsia="zh-CN" w:bidi="ar-SA"/>
              </w:rPr>
            </w:pPr>
            <w:r>
              <w:rPr>
                <w:rFonts w:hint="eastAsia" w:cs="Times New Roman"/>
                <w:color w:val="0000FF"/>
                <w:sz w:val="21"/>
                <w:szCs w:val="21"/>
                <w:highlight w:val="none"/>
                <w:lang w:val="en-US" w:eastAsia="zh-CN"/>
              </w:rPr>
              <w:t>超标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铜</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330"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 w:cs="Times New Roman"/>
                <w:color w:val="0000FF"/>
                <w:kern w:val="0"/>
                <w:sz w:val="21"/>
                <w:szCs w:val="21"/>
                <w:highlight w:val="none"/>
                <w:lang w:val="en-US" w:eastAsia="zh-CN" w:bidi="ar-SA"/>
              </w:rPr>
            </w:pPr>
            <w:r>
              <w:rPr>
                <w:rFonts w:hint="eastAsia" w:eastAsia="宋" w:cs="Times New Roman"/>
                <w:color w:val="0000FF"/>
                <w:kern w:val="0"/>
                <w:sz w:val="21"/>
                <w:szCs w:val="21"/>
                <w:highlight w:val="none"/>
                <w:lang w:val="en-US" w:eastAsia="zh-CN" w:bidi="ar-SA"/>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锌</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 w:cs="Times New Roman"/>
                <w:color w:val="0000FF"/>
                <w:kern w:val="0"/>
                <w:sz w:val="21"/>
                <w:szCs w:val="21"/>
                <w:highlight w:val="none"/>
                <w:lang w:val="en-US" w:eastAsia="zh-CN" w:bidi="ar-SA"/>
              </w:rPr>
            </w:pPr>
            <w:r>
              <w:rPr>
                <w:rFonts w:hint="eastAsia" w:eastAsia="宋" w:cs="Times New Roman"/>
                <w:color w:val="0000FF"/>
                <w:kern w:val="0"/>
                <w:sz w:val="21"/>
                <w:szCs w:val="21"/>
                <w:highlight w:val="none"/>
                <w:lang w:val="en-US" w:eastAsia="zh-CN" w:bidi="ar-SA"/>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氟化物</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0.72</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0.93</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0.86</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0.84</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0.84</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 w:cs="Times New Roman"/>
                <w:color w:val="0000FF"/>
                <w:kern w:val="0"/>
                <w:sz w:val="21"/>
                <w:szCs w:val="21"/>
                <w:highlight w:val="none"/>
                <w:lang w:val="en-US" w:eastAsia="zh-CN" w:bidi="ar-SA"/>
              </w:rPr>
            </w:pPr>
            <w:r>
              <w:rPr>
                <w:rFonts w:hint="eastAsia" w:eastAsia="宋" w:cs="Times New Roman"/>
                <w:color w:val="0000FF"/>
                <w:kern w:val="0"/>
                <w:sz w:val="21"/>
                <w:szCs w:val="21"/>
                <w:highlight w:val="none"/>
                <w:lang w:val="en-US" w:eastAsia="zh-CN" w:bidi="ar-SA"/>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硒</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w:t>
            </w:r>
            <w:r>
              <w:rPr>
                <w:rFonts w:hint="eastAsia" w:ascii="Times New Roman" w:hAnsi="Times New Roman" w:eastAsia="宋体" w:cs="Times New Roman"/>
                <w:i w:val="0"/>
                <w:iCs w:val="0"/>
                <w:color w:val="0000FF"/>
                <w:kern w:val="0"/>
                <w:sz w:val="21"/>
                <w:szCs w:val="21"/>
                <w:u w:val="none"/>
                <w:lang w:val="en-US" w:eastAsia="zh-CN" w:bidi="ar"/>
              </w:rPr>
              <w:t>4L</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w:t>
            </w:r>
            <w:r>
              <w:rPr>
                <w:rFonts w:hint="eastAsia" w:ascii="Times New Roman" w:hAnsi="Times New Roman" w:eastAsia="宋体" w:cs="Times New Roman"/>
                <w:i w:val="0"/>
                <w:iCs w:val="0"/>
                <w:color w:val="0000FF"/>
                <w:kern w:val="0"/>
                <w:sz w:val="21"/>
                <w:szCs w:val="21"/>
                <w:u w:val="none"/>
                <w:lang w:val="en-US" w:eastAsia="zh-CN" w:bidi="ar"/>
              </w:rPr>
              <w:t>4L</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w:t>
            </w:r>
            <w:r>
              <w:rPr>
                <w:rFonts w:hint="eastAsia" w:ascii="Times New Roman" w:hAnsi="Times New Roman" w:eastAsia="宋体" w:cs="Times New Roman"/>
                <w:i w:val="0"/>
                <w:iCs w:val="0"/>
                <w:color w:val="0000FF"/>
                <w:kern w:val="0"/>
                <w:sz w:val="21"/>
                <w:szCs w:val="21"/>
                <w:u w:val="none"/>
                <w:lang w:val="en-US" w:eastAsia="zh-CN" w:bidi="ar"/>
              </w:rPr>
              <w:t>4L</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0.0002</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 w:cs="Times New Roman"/>
                <w:color w:val="0000FF"/>
                <w:kern w:val="0"/>
                <w:sz w:val="21"/>
                <w:szCs w:val="21"/>
                <w:highlight w:val="none"/>
                <w:lang w:val="en-US" w:eastAsia="zh-CN" w:bidi="ar-SA"/>
              </w:rPr>
            </w:pPr>
            <w:r>
              <w:rPr>
                <w:rFonts w:hint="eastAsia" w:eastAsia="宋" w:cs="Times New Roman"/>
                <w:color w:val="0000FF"/>
                <w:kern w:val="0"/>
                <w:sz w:val="21"/>
                <w:szCs w:val="21"/>
                <w:highlight w:val="none"/>
                <w:lang w:val="en-US" w:eastAsia="zh-CN" w:bidi="ar-SA"/>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砷</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0.0016</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0.0016</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0.0011</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0.0014</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0.028</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 w:cs="Times New Roman"/>
                <w:color w:val="0000FF"/>
                <w:kern w:val="0"/>
                <w:sz w:val="21"/>
                <w:szCs w:val="21"/>
                <w:highlight w:val="none"/>
                <w:lang w:val="en-US" w:eastAsia="zh-CN" w:bidi="ar-SA"/>
              </w:rPr>
            </w:pPr>
            <w:r>
              <w:rPr>
                <w:rFonts w:hint="eastAsia" w:eastAsia="宋" w:cs="Times New Roman"/>
                <w:color w:val="0000FF"/>
                <w:kern w:val="0"/>
                <w:sz w:val="21"/>
                <w:szCs w:val="21"/>
                <w:highlight w:val="none"/>
                <w:lang w:val="en-US" w:eastAsia="zh-CN" w:bidi="ar-SA"/>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汞</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0.0000</w:t>
            </w:r>
            <w:r>
              <w:rPr>
                <w:rFonts w:hint="eastAsia" w:ascii="Times New Roman" w:hAnsi="Times New Roman" w:eastAsia="宋体" w:cs="Times New Roman"/>
                <w:i w:val="0"/>
                <w:iCs w:val="0"/>
                <w:color w:val="0000FF"/>
                <w:kern w:val="0"/>
                <w:sz w:val="21"/>
                <w:szCs w:val="21"/>
                <w:u w:val="none"/>
                <w:lang w:val="en-US" w:eastAsia="zh-CN" w:bidi="ar"/>
              </w:rPr>
              <w:t>4L</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0.0000</w:t>
            </w:r>
            <w:r>
              <w:rPr>
                <w:rFonts w:hint="eastAsia" w:ascii="Times New Roman" w:hAnsi="Times New Roman" w:eastAsia="宋体" w:cs="Times New Roman"/>
                <w:i w:val="0"/>
                <w:iCs w:val="0"/>
                <w:color w:val="0000FF"/>
                <w:kern w:val="0"/>
                <w:sz w:val="21"/>
                <w:szCs w:val="21"/>
                <w:u w:val="none"/>
                <w:lang w:val="en-US" w:eastAsia="zh-CN" w:bidi="ar"/>
              </w:rPr>
              <w:t>4L</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0.0000</w:t>
            </w:r>
            <w:r>
              <w:rPr>
                <w:rFonts w:hint="eastAsia" w:ascii="Times New Roman" w:hAnsi="Times New Roman" w:eastAsia="宋体" w:cs="Times New Roman"/>
                <w:i w:val="0"/>
                <w:iCs w:val="0"/>
                <w:color w:val="0000FF"/>
                <w:kern w:val="0"/>
                <w:sz w:val="21"/>
                <w:szCs w:val="21"/>
                <w:u w:val="none"/>
                <w:lang w:val="en-US" w:eastAsia="zh-CN" w:bidi="ar"/>
              </w:rPr>
              <w:t>4L</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0.00002</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0.0001</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0000FF"/>
                <w:sz w:val="21"/>
                <w:szCs w:val="21"/>
                <w:highlight w:val="none"/>
              </w:rPr>
            </w:pPr>
            <w:r>
              <w:rPr>
                <w:rFonts w:hint="eastAsia" w:eastAsia="宋" w:cs="Times New Roman"/>
                <w:color w:val="0000FF"/>
                <w:kern w:val="0"/>
                <w:sz w:val="21"/>
                <w:szCs w:val="21"/>
                <w:highlight w:val="none"/>
                <w:lang w:val="en-US" w:eastAsia="zh-CN" w:bidi="ar-SA"/>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镉</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0.0001L</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0.0001L</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0.0001L</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eastAsia" w:ascii="Times New Roman" w:hAnsi="Times New Roman" w:cs="Times New Roman"/>
                <w:color w:val="0000FF"/>
                <w:kern w:val="2"/>
                <w:sz w:val="21"/>
                <w:szCs w:val="21"/>
                <w:highlight w:val="none"/>
                <w:lang w:val="en-US" w:eastAsia="zh-CN"/>
              </w:rPr>
              <w:t>0.0001L</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0000FF"/>
                <w:sz w:val="21"/>
                <w:szCs w:val="21"/>
                <w:highlight w:val="none"/>
              </w:rPr>
            </w:pPr>
            <w:r>
              <w:rPr>
                <w:rFonts w:hint="eastAsia" w:eastAsia="宋" w:cs="Times New Roman"/>
                <w:color w:val="0000FF"/>
                <w:kern w:val="0"/>
                <w:sz w:val="21"/>
                <w:szCs w:val="21"/>
                <w:highlight w:val="none"/>
                <w:lang w:val="en-US" w:eastAsia="zh-CN" w:bidi="ar-SA"/>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总铬</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0.004</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0.006</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0.1</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0000FF"/>
                <w:sz w:val="21"/>
                <w:szCs w:val="21"/>
                <w:highlight w:val="none"/>
              </w:rPr>
            </w:pPr>
            <w:r>
              <w:rPr>
                <w:rFonts w:hint="eastAsia" w:eastAsia="宋" w:cs="Times New Roman"/>
                <w:color w:val="0000FF"/>
                <w:kern w:val="0"/>
                <w:sz w:val="21"/>
                <w:szCs w:val="21"/>
                <w:highlight w:val="none"/>
                <w:lang w:val="en-US" w:eastAsia="zh-CN" w:bidi="ar-SA"/>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铅</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0.001L</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0.001L</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0.001L</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eastAsia" w:ascii="Times New Roman" w:hAnsi="Times New Roman" w:cs="Times New Roman"/>
                <w:color w:val="0000FF"/>
                <w:sz w:val="21"/>
                <w:szCs w:val="21"/>
                <w:highlight w:val="none"/>
                <w:lang w:val="en-US" w:eastAsia="zh-CN"/>
              </w:rPr>
              <w:t>0.001L</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0000FF"/>
                <w:sz w:val="21"/>
                <w:szCs w:val="21"/>
                <w:highlight w:val="none"/>
              </w:rPr>
            </w:pPr>
            <w:r>
              <w:rPr>
                <w:rFonts w:hint="eastAsia" w:eastAsia="宋" w:cs="Times New Roman"/>
                <w:color w:val="0000FF"/>
                <w:kern w:val="0"/>
                <w:sz w:val="21"/>
                <w:szCs w:val="21"/>
                <w:highlight w:val="none"/>
                <w:lang w:val="en-US" w:eastAsia="zh-CN" w:bidi="ar-SA"/>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氰化物</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0.004L</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0.004L</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0.004L</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eastAsia" w:ascii="Times New Roman" w:hAnsi="Times New Roman" w:cs="Times New Roman"/>
                <w:color w:val="0000FF"/>
                <w:kern w:val="2"/>
                <w:sz w:val="21"/>
                <w:szCs w:val="21"/>
                <w:highlight w:val="none"/>
                <w:lang w:val="en-US" w:eastAsia="zh-CN"/>
              </w:rPr>
              <w:t>0.004L</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0000FF"/>
                <w:sz w:val="21"/>
                <w:szCs w:val="21"/>
                <w:highlight w:val="none"/>
              </w:rPr>
            </w:pPr>
            <w:r>
              <w:rPr>
                <w:rFonts w:hint="eastAsia" w:eastAsia="宋" w:cs="Times New Roman"/>
                <w:color w:val="0000FF"/>
                <w:kern w:val="0"/>
                <w:sz w:val="21"/>
                <w:szCs w:val="21"/>
                <w:highlight w:val="none"/>
                <w:lang w:val="en-US" w:eastAsia="zh-CN" w:bidi="ar-SA"/>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挥发酚</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0.0017</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0.0015</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0.0018</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0.0017</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0.34</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0000FF"/>
                <w:sz w:val="21"/>
                <w:szCs w:val="21"/>
                <w:highlight w:val="none"/>
              </w:rPr>
            </w:pPr>
            <w:r>
              <w:rPr>
                <w:rFonts w:hint="eastAsia" w:eastAsia="宋" w:cs="Times New Roman"/>
                <w:color w:val="0000FF"/>
                <w:kern w:val="0"/>
                <w:sz w:val="21"/>
                <w:szCs w:val="21"/>
                <w:highlight w:val="none"/>
                <w:lang w:val="en-US" w:eastAsia="zh-CN" w:bidi="ar-SA"/>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石油类</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0.15</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0.16</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0.15</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0.15</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3</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0000FF"/>
                <w:sz w:val="21"/>
                <w:szCs w:val="21"/>
                <w:highlight w:val="none"/>
              </w:rPr>
            </w:pPr>
            <w:r>
              <w:rPr>
                <w:rFonts w:hint="eastAsia" w:eastAsia="宋" w:cs="Times New Roman"/>
                <w:color w:val="0000FF"/>
                <w:kern w:val="0"/>
                <w:sz w:val="21"/>
                <w:szCs w:val="21"/>
                <w:highlight w:val="none"/>
                <w:lang w:val="en-US" w:eastAsia="zh-CN" w:bidi="ar-SA"/>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阴离子表面活性剂</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0.16</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0.17</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0.16</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0.16</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0.8</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0000FF"/>
                <w:sz w:val="21"/>
                <w:szCs w:val="21"/>
                <w:highlight w:val="none"/>
              </w:rPr>
            </w:pPr>
            <w:r>
              <w:rPr>
                <w:rFonts w:hint="eastAsia" w:eastAsia="宋" w:cs="Times New Roman"/>
                <w:color w:val="0000FF"/>
                <w:kern w:val="0"/>
                <w:sz w:val="21"/>
                <w:szCs w:val="21"/>
                <w:highlight w:val="none"/>
                <w:lang w:val="en-US" w:eastAsia="zh-CN" w:bidi="ar-SA"/>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硫化物</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0.01L</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0.01L</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0.01L</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0000FF"/>
                <w:sz w:val="21"/>
                <w:szCs w:val="21"/>
                <w:highlight w:val="none"/>
              </w:rPr>
            </w:pPr>
            <w:r>
              <w:rPr>
                <w:rFonts w:hint="eastAsia" w:eastAsia="宋" w:cs="Times New Roman"/>
                <w:color w:val="0000FF"/>
                <w:kern w:val="0"/>
                <w:sz w:val="21"/>
                <w:szCs w:val="21"/>
                <w:highlight w:val="none"/>
                <w:lang w:val="en-US" w:eastAsia="zh-CN" w:bidi="ar-SA"/>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粪大肠菌群</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1100</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1300</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1400</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1266.7</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10000</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 xml:space="preserve">0.127 </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0000FF"/>
                <w:sz w:val="21"/>
                <w:szCs w:val="21"/>
                <w:highlight w:val="none"/>
              </w:rPr>
            </w:pPr>
            <w:r>
              <w:rPr>
                <w:rFonts w:hint="eastAsia" w:eastAsia="宋" w:cs="Times New Roman"/>
                <w:color w:val="0000FF"/>
                <w:kern w:val="0"/>
                <w:sz w:val="21"/>
                <w:szCs w:val="21"/>
                <w:highlight w:val="none"/>
                <w:lang w:val="en-US" w:eastAsia="zh-CN" w:bidi="ar-SA"/>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叶绿素</w:t>
            </w:r>
            <w:r>
              <w:rPr>
                <w:rStyle w:val="80"/>
                <w:rFonts w:hint="default" w:ascii="Times New Roman" w:hAnsi="Times New Roman" w:eastAsia="宋体" w:cs="Times New Roman"/>
                <w:color w:val="0000FF"/>
                <w:sz w:val="21"/>
                <w:szCs w:val="21"/>
                <w:lang w:val="en-US" w:eastAsia="zh-CN" w:bidi="ar"/>
              </w:rPr>
              <w:t>a</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97</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101</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91</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96.3</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w:t>
            </w:r>
          </w:p>
        </w:tc>
        <w:tc>
          <w:tcPr>
            <w:tcW w:w="29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cs="Times New Roman"/>
                <w:i w:val="0"/>
                <w:iCs w:val="0"/>
                <w:color w:val="0000FF"/>
                <w:kern w:val="2"/>
                <w:sz w:val="21"/>
                <w:szCs w:val="21"/>
                <w:highlight w:val="none"/>
                <w:u w:val="none"/>
                <w:lang w:val="en-US" w:eastAsia="zh-CN" w:bidi="ar-SA"/>
              </w:rPr>
              <w:t>/</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0000FF"/>
                <w:sz w:val="21"/>
                <w:szCs w:val="21"/>
                <w:highlight w:val="none"/>
              </w:rPr>
            </w:pPr>
            <w:r>
              <w:rPr>
                <w:rFonts w:hint="eastAsia" w:eastAsia="宋" w:cs="Times New Roman"/>
                <w:color w:val="0000FF"/>
                <w:kern w:val="0"/>
                <w:sz w:val="21"/>
                <w:szCs w:val="21"/>
                <w:highlight w:val="none"/>
                <w:lang w:val="en-US" w:eastAsia="zh-CN" w:bidi="ar-SA"/>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透明度</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17</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18</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20</w:t>
            </w:r>
          </w:p>
        </w:tc>
        <w:tc>
          <w:tcPr>
            <w:tcW w:w="53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18.3</w:t>
            </w:r>
          </w:p>
        </w:tc>
        <w:tc>
          <w:tcPr>
            <w:tcW w:w="98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w:t>
            </w:r>
          </w:p>
        </w:tc>
        <w:tc>
          <w:tcPr>
            <w:tcW w:w="29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cs="Times New Roman"/>
                <w:i w:val="0"/>
                <w:iCs w:val="0"/>
                <w:color w:val="0000FF"/>
                <w:kern w:val="2"/>
                <w:sz w:val="21"/>
                <w:szCs w:val="21"/>
                <w:highlight w:val="none"/>
                <w:u w:val="none"/>
                <w:lang w:val="en-US" w:eastAsia="zh-CN" w:bidi="ar-SA"/>
              </w:rPr>
              <w:t>/</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cs="Times New Roman"/>
                <w:color w:val="0000FF"/>
                <w:sz w:val="21"/>
                <w:szCs w:val="21"/>
                <w:highlight w:val="none"/>
              </w:rPr>
            </w:pPr>
            <w:r>
              <w:rPr>
                <w:rFonts w:hint="eastAsia" w:eastAsia="宋" w:cs="Times New Roman"/>
                <w:color w:val="0000FF"/>
                <w:kern w:val="0"/>
                <w:sz w:val="21"/>
                <w:szCs w:val="21"/>
                <w:highlight w:val="none"/>
                <w:lang w:val="en-US" w:eastAsia="zh-CN" w:bidi="ar-SA"/>
              </w:rPr>
              <w:t>达标</w:t>
            </w:r>
          </w:p>
        </w:tc>
      </w:tr>
    </w:tbl>
    <w:p>
      <w:pPr>
        <w:spacing w:line="240" w:lineRule="auto"/>
        <w:jc w:val="center"/>
        <w:rPr>
          <w:rFonts w:hint="default" w:eastAsiaTheme="minorEastAsia"/>
          <w:b/>
          <w:bCs/>
          <w:sz w:val="21"/>
          <w:szCs w:val="21"/>
          <w:lang w:val="en-US" w:eastAsia="zh-CN"/>
        </w:rPr>
      </w:pPr>
      <w:r>
        <w:rPr>
          <w:rFonts w:hint="eastAsia"/>
          <w:b/>
          <w:bCs/>
          <w:sz w:val="21"/>
          <w:szCs w:val="21"/>
          <w:lang w:val="en-US" w:eastAsia="zh-CN"/>
        </w:rPr>
        <w:t>4.2.3-6水平石水库水质检测结果</w:t>
      </w:r>
    </w:p>
    <w:tbl>
      <w:tblPr>
        <w:tblStyle w:val="57"/>
        <w:tblW w:w="5001"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714"/>
        <w:gridCol w:w="1004"/>
        <w:gridCol w:w="1004"/>
        <w:gridCol w:w="1019"/>
        <w:gridCol w:w="881"/>
        <w:gridCol w:w="1643"/>
        <w:gridCol w:w="494"/>
        <w:gridCol w:w="54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检测点位</w:t>
            </w:r>
          </w:p>
        </w:tc>
        <w:tc>
          <w:tcPr>
            <w:tcW w:w="1821" w:type="pct"/>
            <w:gridSpan w:val="3"/>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水平石</w:t>
            </w:r>
            <w:r>
              <w:rPr>
                <w:rFonts w:hint="default" w:ascii="Times New Roman" w:hAnsi="Times New Roman" w:cs="Times New Roman"/>
                <w:color w:val="0000FF"/>
                <w:sz w:val="21"/>
                <w:szCs w:val="21"/>
                <w:highlight w:val="none"/>
                <w:lang w:val="en-US" w:eastAsia="zh-CN"/>
              </w:rPr>
              <w:t>水库</w:t>
            </w:r>
          </w:p>
        </w:tc>
        <w:tc>
          <w:tcPr>
            <w:tcW w:w="530" w:type="pct"/>
            <w:vMerge w:val="restar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平均值</w:t>
            </w:r>
          </w:p>
        </w:tc>
        <w:tc>
          <w:tcPr>
            <w:tcW w:w="988" w:type="pct"/>
            <w:vMerge w:val="restart"/>
            <w:tcBorders>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《地表水环境质量标准》（GB3838-2002）Ⅲ类标准</w:t>
            </w:r>
          </w:p>
        </w:tc>
        <w:tc>
          <w:tcPr>
            <w:tcW w:w="297" w:type="pct"/>
            <w:vMerge w:val="restart"/>
            <w:tcBorders>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标准</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指数</w:t>
            </w:r>
          </w:p>
        </w:tc>
        <w:tc>
          <w:tcPr>
            <w:tcW w:w="330" w:type="pct"/>
            <w:vMerge w:val="restart"/>
            <w:tcBorders>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样品编号</w:t>
            </w:r>
          </w:p>
        </w:tc>
        <w:tc>
          <w:tcPr>
            <w:tcW w:w="60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1-1-1</w:t>
            </w:r>
          </w:p>
        </w:tc>
        <w:tc>
          <w:tcPr>
            <w:tcW w:w="60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2-1-1</w:t>
            </w:r>
          </w:p>
        </w:tc>
        <w:tc>
          <w:tcPr>
            <w:tcW w:w="613"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3-1-1</w:t>
            </w:r>
          </w:p>
        </w:tc>
        <w:tc>
          <w:tcPr>
            <w:tcW w:w="530"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988"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297"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330"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采样日期</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Style w:val="69"/>
                <w:rFonts w:hint="default" w:ascii="Times New Roman" w:hAnsi="Times New Roman" w:eastAsia="宋体" w:cs="Times New Roman"/>
                <w:color w:val="0000FF"/>
                <w:sz w:val="21"/>
                <w:szCs w:val="21"/>
                <w:lang w:val="en-US" w:eastAsia="zh-CN" w:bidi="ar"/>
              </w:rPr>
              <w:t>2024.04.11</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Style w:val="69"/>
                <w:rFonts w:hint="default" w:ascii="Times New Roman" w:hAnsi="Times New Roman" w:eastAsia="宋体" w:cs="Times New Roman"/>
                <w:color w:val="0000FF"/>
                <w:sz w:val="21"/>
                <w:szCs w:val="21"/>
                <w:lang w:val="en-US" w:eastAsia="zh-CN" w:bidi="ar"/>
              </w:rPr>
              <w:t>2024.04.12</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Style w:val="69"/>
                <w:rFonts w:hint="default" w:ascii="Times New Roman" w:hAnsi="Times New Roman" w:eastAsia="宋体" w:cs="Times New Roman"/>
                <w:color w:val="0000FF"/>
                <w:sz w:val="21"/>
                <w:szCs w:val="21"/>
                <w:lang w:val="en-US" w:eastAsia="zh-CN" w:bidi="ar"/>
              </w:rPr>
              <w:t>2024.04.13</w:t>
            </w:r>
          </w:p>
        </w:tc>
        <w:tc>
          <w:tcPr>
            <w:tcW w:w="530"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988"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297"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330"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tcBorders>
              <w:tl2br w:val="single" w:color="000000" w:sz="2" w:space="0"/>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样品状态</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项目</w:t>
            </w:r>
          </w:p>
        </w:tc>
        <w:tc>
          <w:tcPr>
            <w:tcW w:w="60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无色、无味、无漂浮物、无浮油</w:t>
            </w:r>
          </w:p>
        </w:tc>
        <w:tc>
          <w:tcPr>
            <w:tcW w:w="60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无色、无味、无漂浮物、无浮油</w:t>
            </w:r>
          </w:p>
        </w:tc>
        <w:tc>
          <w:tcPr>
            <w:tcW w:w="613"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无色、无味、无漂浮物、无浮油</w:t>
            </w:r>
          </w:p>
        </w:tc>
        <w:tc>
          <w:tcPr>
            <w:tcW w:w="530"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988" w:type="pct"/>
            <w:vMerge w:val="continue"/>
            <w:tcBorders>
              <w:top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297" w:type="pct"/>
            <w:vMerge w:val="continue"/>
            <w:tcBorders>
              <w:top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330" w:type="pct"/>
            <w:vMerge w:val="continue"/>
            <w:tcBorders>
              <w:top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pH</w:t>
            </w:r>
          </w:p>
        </w:tc>
        <w:tc>
          <w:tcPr>
            <w:tcW w:w="100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color w:val="0000FF"/>
                <w:sz w:val="21"/>
                <w:szCs w:val="21"/>
                <w:highlight w:val="none"/>
                <w:lang w:val="en-US" w:eastAsia="zh-CN"/>
              </w:rPr>
              <w:t>8.26</w:t>
            </w:r>
          </w:p>
        </w:tc>
        <w:tc>
          <w:tcPr>
            <w:tcW w:w="100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color w:val="0000FF"/>
                <w:sz w:val="21"/>
                <w:szCs w:val="21"/>
                <w:highlight w:val="none"/>
                <w:lang w:val="en-US" w:eastAsia="zh-CN"/>
              </w:rPr>
              <w:t>8.18</w:t>
            </w:r>
          </w:p>
        </w:tc>
        <w:tc>
          <w:tcPr>
            <w:tcW w:w="102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color w:val="0000FF"/>
                <w:sz w:val="21"/>
                <w:szCs w:val="21"/>
                <w:highlight w:val="none"/>
                <w:lang w:val="en-US" w:eastAsia="zh-CN"/>
              </w:rPr>
              <w:t>8.27</w:t>
            </w:r>
          </w:p>
        </w:tc>
        <w:tc>
          <w:tcPr>
            <w:tcW w:w="8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cs="Times New Roman"/>
                <w:i w:val="0"/>
                <w:iCs w:val="0"/>
                <w:color w:val="0000FF"/>
                <w:kern w:val="2"/>
                <w:sz w:val="21"/>
                <w:szCs w:val="21"/>
                <w:highlight w:val="none"/>
                <w:u w:val="none"/>
                <w:lang w:val="en-US" w:eastAsia="zh-CN" w:bidi="ar-SA"/>
              </w:rPr>
              <w:t>/</w:t>
            </w:r>
          </w:p>
        </w:tc>
        <w:tc>
          <w:tcPr>
            <w:tcW w:w="164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6~9</w:t>
            </w:r>
          </w:p>
        </w:tc>
        <w:tc>
          <w:tcPr>
            <w:tcW w:w="494" w:type="dxa"/>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i w:val="0"/>
                <w:iCs w:val="0"/>
                <w:color w:val="0000FF"/>
                <w:kern w:val="2"/>
                <w:sz w:val="21"/>
                <w:szCs w:val="21"/>
                <w:highlight w:val="none"/>
                <w:u w:val="none"/>
                <w:lang w:val="en-US" w:eastAsia="zh-CN" w:bidi="ar-SA"/>
              </w:rPr>
            </w:pPr>
          </w:p>
        </w:tc>
        <w:tc>
          <w:tcPr>
            <w:tcW w:w="330" w:type="pct"/>
            <w:shd w:val="clear" w:color="auto" w:fill="auto"/>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水温</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22.6</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19.3</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18.2</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20.0</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ascii="宋体" w:hAnsi="宋体" w:eastAsia="宋体" w:cs="宋体"/>
                <w:i w:val="0"/>
                <w:iCs w:val="0"/>
                <w:color w:val="0000FF"/>
                <w:kern w:val="0"/>
                <w:sz w:val="21"/>
                <w:szCs w:val="21"/>
                <w:u w:val="none"/>
                <w:lang w:val="en-US" w:eastAsia="zh-CN" w:bidi="ar"/>
              </w:rPr>
              <w:t>/</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溶解氧</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7.85</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7.88</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7.82</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7.85</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≥5</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0.13</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高锰酸盐指数</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4.5</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4.5</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4.4</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4.5</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6</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0.74</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化学需氧量</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21</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18</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19</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19.3</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20</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0.97</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五日生化需氧量</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3.6</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3.8</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3.7</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3.7</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4</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0.93</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氨氮</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0.406</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0.437</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0.448</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0.430</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0.43</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总磷</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0.04</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0.15</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总氮</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0.71</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0.56</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0.61</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0.63</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0.63</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铜</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锌</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氟化物</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0.61</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0.56</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0.56</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0.58</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0.58</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硒</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0.0002</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0.0002</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0.0002</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0.0002</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砷</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0.0005</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0.0004</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0.0004</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汞</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0.00002</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0.00002</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0.00002</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0.00002</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0.0001</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0.20</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镉</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0.00005</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0.00005</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0.00005</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0.00005</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总铬</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0.002</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0.002</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0.002</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0.002</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0.04</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铅</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0.0005</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0.0005</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0.0005</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0.0005</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氰化物</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0.002</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0.002</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0.002</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0.002</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挥发酚</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0.00015</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0.00015</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0.00015</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0.00015</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石油类</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0.10</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阴离子表面活性剂</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0.13</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硫化物</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粪大肠菌群</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330</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490</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460</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426.7</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10000</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0.04</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叶绿素</w:t>
            </w:r>
            <w:r>
              <w:rPr>
                <w:rStyle w:val="80"/>
                <w:rFonts w:hint="default" w:ascii="Times New Roman" w:hAnsi="Times New Roman" w:eastAsia="宋体" w:cs="Times New Roman"/>
                <w:color w:val="0000FF"/>
                <w:sz w:val="21"/>
                <w:szCs w:val="21"/>
                <w:lang w:val="en-US" w:eastAsia="zh-CN" w:bidi="ar"/>
              </w:rPr>
              <w:t>a</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3</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2.3</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透明度</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57</w:t>
            </w:r>
          </w:p>
        </w:tc>
        <w:tc>
          <w:tcPr>
            <w:tcW w:w="100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59</w:t>
            </w:r>
          </w:p>
        </w:tc>
        <w:tc>
          <w:tcPr>
            <w:tcW w:w="102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55</w:t>
            </w:r>
          </w:p>
        </w:tc>
        <w:tc>
          <w:tcPr>
            <w:tcW w:w="88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57</w:t>
            </w:r>
          </w:p>
        </w:tc>
        <w:tc>
          <w:tcPr>
            <w:tcW w:w="164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w:t>
            </w:r>
          </w:p>
        </w:tc>
        <w:tc>
          <w:tcPr>
            <w:tcW w:w="49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bl>
    <w:p>
      <w:pPr>
        <w:spacing w:line="240" w:lineRule="auto"/>
        <w:jc w:val="center"/>
        <w:rPr>
          <w:rFonts w:hint="default" w:eastAsiaTheme="minorEastAsia"/>
          <w:b/>
          <w:bCs/>
          <w:sz w:val="21"/>
          <w:szCs w:val="21"/>
          <w:lang w:val="en-US" w:eastAsia="zh-CN"/>
        </w:rPr>
      </w:pPr>
      <w:r>
        <w:rPr>
          <w:rFonts w:hint="eastAsia"/>
          <w:b/>
          <w:bCs/>
          <w:sz w:val="21"/>
          <w:szCs w:val="21"/>
          <w:lang w:val="en-US" w:eastAsia="zh-CN"/>
        </w:rPr>
        <w:t>4.2.3-7  姜中水库水质检测结果</w:t>
      </w:r>
    </w:p>
    <w:tbl>
      <w:tblPr>
        <w:tblStyle w:val="57"/>
        <w:tblW w:w="499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713"/>
        <w:gridCol w:w="1004"/>
        <w:gridCol w:w="1004"/>
        <w:gridCol w:w="1019"/>
        <w:gridCol w:w="879"/>
        <w:gridCol w:w="1642"/>
        <w:gridCol w:w="492"/>
        <w:gridCol w:w="54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检测点位</w:t>
            </w:r>
          </w:p>
        </w:tc>
        <w:tc>
          <w:tcPr>
            <w:tcW w:w="1821" w:type="pct"/>
            <w:gridSpan w:val="3"/>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姜中水库</w:t>
            </w:r>
          </w:p>
        </w:tc>
        <w:tc>
          <w:tcPr>
            <w:tcW w:w="529" w:type="pct"/>
            <w:vMerge w:val="restar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平均值</w:t>
            </w:r>
          </w:p>
        </w:tc>
        <w:tc>
          <w:tcPr>
            <w:tcW w:w="988" w:type="pct"/>
            <w:vMerge w:val="restart"/>
            <w:tcBorders>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《地表水环境质量标准》（GB3838-2002）Ⅲ类标准</w:t>
            </w:r>
          </w:p>
        </w:tc>
        <w:tc>
          <w:tcPr>
            <w:tcW w:w="296" w:type="pct"/>
            <w:vMerge w:val="restart"/>
            <w:tcBorders>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标准</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指数</w:t>
            </w:r>
          </w:p>
        </w:tc>
        <w:tc>
          <w:tcPr>
            <w:tcW w:w="330" w:type="pct"/>
            <w:vMerge w:val="restart"/>
            <w:tcBorders>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样品编号</w:t>
            </w:r>
          </w:p>
        </w:tc>
        <w:tc>
          <w:tcPr>
            <w:tcW w:w="60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1-1-1</w:t>
            </w:r>
          </w:p>
        </w:tc>
        <w:tc>
          <w:tcPr>
            <w:tcW w:w="60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2-1-1</w:t>
            </w:r>
          </w:p>
        </w:tc>
        <w:tc>
          <w:tcPr>
            <w:tcW w:w="613"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3-1-1</w:t>
            </w:r>
          </w:p>
        </w:tc>
        <w:tc>
          <w:tcPr>
            <w:tcW w:w="529"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988"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296"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330"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采样日期</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Style w:val="69"/>
                <w:rFonts w:hint="default" w:ascii="Times New Roman" w:hAnsi="Times New Roman" w:eastAsia="宋体" w:cs="Times New Roman"/>
                <w:color w:val="0000FF"/>
                <w:sz w:val="21"/>
                <w:szCs w:val="21"/>
                <w:lang w:val="en-US" w:eastAsia="zh-CN" w:bidi="ar"/>
              </w:rPr>
              <w:t>2024.04.11</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Style w:val="69"/>
                <w:rFonts w:hint="default" w:ascii="Times New Roman" w:hAnsi="Times New Roman" w:eastAsia="宋体" w:cs="Times New Roman"/>
                <w:color w:val="0000FF"/>
                <w:sz w:val="21"/>
                <w:szCs w:val="21"/>
                <w:lang w:val="en-US" w:eastAsia="zh-CN" w:bidi="ar"/>
              </w:rPr>
              <w:t>2024.04.12</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Style w:val="69"/>
                <w:rFonts w:hint="default" w:ascii="Times New Roman" w:hAnsi="Times New Roman" w:eastAsia="宋体" w:cs="Times New Roman"/>
                <w:color w:val="0000FF"/>
                <w:sz w:val="21"/>
                <w:szCs w:val="21"/>
                <w:lang w:val="en-US" w:eastAsia="zh-CN" w:bidi="ar"/>
              </w:rPr>
              <w:t>2024.04.13</w:t>
            </w:r>
          </w:p>
        </w:tc>
        <w:tc>
          <w:tcPr>
            <w:tcW w:w="529"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988"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296"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330"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tcBorders>
              <w:tl2br w:val="single" w:color="000000" w:sz="2" w:space="0"/>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样品状态</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项目</w:t>
            </w:r>
          </w:p>
        </w:tc>
        <w:tc>
          <w:tcPr>
            <w:tcW w:w="60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无色、无味、无漂浮物、无浮油</w:t>
            </w:r>
          </w:p>
        </w:tc>
        <w:tc>
          <w:tcPr>
            <w:tcW w:w="60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无色、无味、无漂浮物、无浮油</w:t>
            </w:r>
          </w:p>
        </w:tc>
        <w:tc>
          <w:tcPr>
            <w:tcW w:w="613"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无色、无味、无漂浮物、无浮油</w:t>
            </w:r>
          </w:p>
        </w:tc>
        <w:tc>
          <w:tcPr>
            <w:tcW w:w="529"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988" w:type="pct"/>
            <w:vMerge w:val="continue"/>
            <w:tcBorders>
              <w:top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296" w:type="pct"/>
            <w:vMerge w:val="continue"/>
            <w:tcBorders>
              <w:top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330" w:type="pct"/>
            <w:vMerge w:val="continue"/>
            <w:tcBorders>
              <w:top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jc w:val="center"/>
        </w:trPr>
        <w:tc>
          <w:tcPr>
            <w:tcW w:w="103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pH</w:t>
            </w:r>
          </w:p>
        </w:tc>
        <w:tc>
          <w:tcPr>
            <w:tcW w:w="100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color w:val="0000FF"/>
                <w:sz w:val="21"/>
                <w:szCs w:val="21"/>
                <w:highlight w:val="none"/>
                <w:lang w:val="en-US" w:eastAsia="zh-CN"/>
              </w:rPr>
              <w:t>8.39</w:t>
            </w:r>
          </w:p>
        </w:tc>
        <w:tc>
          <w:tcPr>
            <w:tcW w:w="100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color w:val="0000FF"/>
                <w:sz w:val="21"/>
                <w:szCs w:val="21"/>
                <w:highlight w:val="none"/>
                <w:lang w:val="en-US" w:eastAsia="zh-CN"/>
              </w:rPr>
              <w:t>8.38</w:t>
            </w:r>
          </w:p>
        </w:tc>
        <w:tc>
          <w:tcPr>
            <w:tcW w:w="10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cs="Times New Roman"/>
                <w:color w:val="0000FF"/>
                <w:sz w:val="21"/>
                <w:szCs w:val="21"/>
                <w:highlight w:val="none"/>
                <w:lang w:val="en-US" w:eastAsia="zh-CN"/>
              </w:rPr>
              <w:t>8.43</w:t>
            </w:r>
          </w:p>
        </w:tc>
        <w:tc>
          <w:tcPr>
            <w:tcW w:w="88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cs="Times New Roman"/>
                <w:i w:val="0"/>
                <w:iCs w:val="0"/>
                <w:color w:val="0000FF"/>
                <w:kern w:val="2"/>
                <w:sz w:val="21"/>
                <w:szCs w:val="21"/>
                <w:highlight w:val="none"/>
                <w:u w:val="none"/>
                <w:lang w:val="en-US" w:eastAsia="zh-CN" w:bidi="ar-SA"/>
              </w:rPr>
              <w:t>/</w:t>
            </w:r>
          </w:p>
        </w:tc>
        <w:tc>
          <w:tcPr>
            <w:tcW w:w="164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6~9</w:t>
            </w:r>
          </w:p>
        </w:tc>
        <w:tc>
          <w:tcPr>
            <w:tcW w:w="492" w:type="dxa"/>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cs="Times New Roman"/>
                <w:i w:val="0"/>
                <w:iCs w:val="0"/>
                <w:color w:val="0000FF"/>
                <w:kern w:val="2"/>
                <w:sz w:val="21"/>
                <w:szCs w:val="21"/>
                <w:highlight w:val="none"/>
                <w:u w:val="none"/>
                <w:lang w:val="en-US" w:eastAsia="zh-CN" w:bidi="ar-SA"/>
              </w:rPr>
              <w:t>/</w:t>
            </w:r>
          </w:p>
        </w:tc>
        <w:tc>
          <w:tcPr>
            <w:tcW w:w="330" w:type="pct"/>
            <w:shd w:val="clear" w:color="auto" w:fill="auto"/>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0000FF"/>
                <w:sz w:val="21"/>
                <w:szCs w:val="21"/>
                <w:highlight w:val="none"/>
                <w:lang w:val="en-US" w:eastAsia="zh-CN"/>
              </w:rPr>
            </w:pPr>
            <w:r>
              <w:rPr>
                <w:rFonts w:hint="eastAsia"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水温</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22.7</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19.8</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18.9</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20.47</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ascii="宋体" w:hAnsi="宋体" w:eastAsia="宋体" w:cs="宋体"/>
                <w:i w:val="0"/>
                <w:iCs w:val="0"/>
                <w:color w:val="0000FF"/>
                <w:kern w:val="0"/>
                <w:sz w:val="21"/>
                <w:szCs w:val="21"/>
                <w:u w:val="none"/>
                <w:lang w:val="en-US" w:eastAsia="zh-CN" w:bidi="ar"/>
              </w:rPr>
              <w:t>/</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溶解氧</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7.32</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7.29</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7.35</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7.32</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≥5</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0.39</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高锰酸盐指数</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0.5</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0.5</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0.6</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0.53</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6</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0.09</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化学需氧量</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13</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14</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11</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12.67</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20</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0.63</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五日生化需氧量</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2.4</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2.3</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2.6</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2.43</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4</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0.61</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氨氮</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0.482</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0.465</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0.496</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0.48</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0.48</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总磷</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0.10</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总氮</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0.8</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0.88</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0.75</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0.81</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0.81</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铜</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锌</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氟化物</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0.66</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0.69</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0.69</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0.68</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0.68</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硒</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0.0004L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0.0004L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0.0004L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0.0002</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砷</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汞</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0.00004L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0.00004L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0.00004L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0.00002</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0.0001</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0.20</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镉</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0.0001L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0.0001L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0.0001L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0.00005</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总铬</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0.004L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0.004L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0.004L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0.002</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0.04</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铅</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0.001L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0.001L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0.001L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0.0005</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氰化物</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0.004L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0.004L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0.004L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0.002</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挥发酚</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0.0003L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0.0003L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0.0003L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0.00015</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石油类</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0.47</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阴离子表面活性剂</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0.13</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硫化物</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0.01L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0.01L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0.01L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粪大肠菌群</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2.7×10</w:t>
            </w:r>
            <w:r>
              <w:rPr>
                <w:rFonts w:hint="default" w:ascii="Times New Roman" w:hAnsi="Times New Roman" w:eastAsia="宋体" w:cs="Times New Roman"/>
                <w:i w:val="0"/>
                <w:iCs w:val="0"/>
                <w:color w:val="0000FF"/>
                <w:kern w:val="0"/>
                <w:sz w:val="21"/>
                <w:szCs w:val="21"/>
                <w:u w:val="none"/>
                <w:vertAlign w:val="superscript"/>
                <w:lang w:val="en-US" w:eastAsia="zh-CN" w:bidi="ar"/>
              </w:rPr>
              <w:t>2</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4.9×10</w:t>
            </w:r>
            <w:r>
              <w:rPr>
                <w:rFonts w:hint="default" w:ascii="Times New Roman" w:hAnsi="Times New Roman" w:eastAsia="宋体" w:cs="Times New Roman"/>
                <w:i w:val="0"/>
                <w:iCs w:val="0"/>
                <w:color w:val="0000FF"/>
                <w:kern w:val="0"/>
                <w:sz w:val="21"/>
                <w:szCs w:val="21"/>
                <w:u w:val="none"/>
                <w:vertAlign w:val="superscript"/>
                <w:lang w:val="en-US" w:eastAsia="zh-CN" w:bidi="ar"/>
              </w:rPr>
              <w:t>2</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3.3×10</w:t>
            </w:r>
            <w:r>
              <w:rPr>
                <w:rFonts w:hint="default" w:ascii="Times New Roman" w:hAnsi="Times New Roman" w:eastAsia="宋体" w:cs="Times New Roman"/>
                <w:i w:val="0"/>
                <w:iCs w:val="0"/>
                <w:color w:val="0000FF"/>
                <w:kern w:val="0"/>
                <w:sz w:val="21"/>
                <w:szCs w:val="21"/>
                <w:u w:val="none"/>
                <w:vertAlign w:val="superscript"/>
                <w:lang w:val="en-US" w:eastAsia="zh-CN" w:bidi="ar"/>
              </w:rPr>
              <w:t>2</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363.33</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10000</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0.04</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叶绿素</w:t>
            </w:r>
            <w:r>
              <w:rPr>
                <w:rStyle w:val="80"/>
                <w:rFonts w:hint="default" w:ascii="Times New Roman" w:hAnsi="Times New Roman" w:eastAsia="宋体" w:cs="Times New Roman"/>
                <w:color w:val="0000FF"/>
                <w:sz w:val="21"/>
                <w:szCs w:val="21"/>
                <w:lang w:val="en-US" w:eastAsia="zh-CN" w:bidi="ar"/>
              </w:rPr>
              <w:t>a</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3</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2.33</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透明度</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68</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64</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67</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66.33</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达标</w:t>
            </w:r>
          </w:p>
        </w:tc>
      </w:tr>
    </w:tbl>
    <w:p>
      <w:pPr>
        <w:spacing w:line="240" w:lineRule="auto"/>
        <w:jc w:val="center"/>
        <w:rPr>
          <w:rFonts w:hint="default"/>
          <w:sz w:val="21"/>
          <w:szCs w:val="21"/>
          <w:lang w:val="en-US" w:eastAsia="zh-CN"/>
        </w:rPr>
      </w:pPr>
      <w:r>
        <w:rPr>
          <w:rFonts w:hint="eastAsia"/>
          <w:b/>
          <w:bCs/>
          <w:sz w:val="21"/>
          <w:szCs w:val="21"/>
          <w:lang w:val="en-US" w:eastAsia="zh-CN"/>
        </w:rPr>
        <w:t>4.2.3-8  李官坟水库水质检测结果</w:t>
      </w:r>
    </w:p>
    <w:tbl>
      <w:tblPr>
        <w:tblStyle w:val="57"/>
        <w:tblW w:w="499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713"/>
        <w:gridCol w:w="1004"/>
        <w:gridCol w:w="1004"/>
        <w:gridCol w:w="1019"/>
        <w:gridCol w:w="879"/>
        <w:gridCol w:w="1642"/>
        <w:gridCol w:w="492"/>
        <w:gridCol w:w="54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检测点位</w:t>
            </w:r>
          </w:p>
        </w:tc>
        <w:tc>
          <w:tcPr>
            <w:tcW w:w="1821" w:type="pct"/>
            <w:gridSpan w:val="3"/>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李官坟水库</w:t>
            </w:r>
          </w:p>
        </w:tc>
        <w:tc>
          <w:tcPr>
            <w:tcW w:w="529" w:type="pct"/>
            <w:vMerge w:val="restar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平均值</w:t>
            </w:r>
          </w:p>
        </w:tc>
        <w:tc>
          <w:tcPr>
            <w:tcW w:w="988" w:type="pct"/>
            <w:vMerge w:val="restart"/>
            <w:tcBorders>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《地表水环境质量标准》（GB3838-2002）Ⅲ类标准</w:t>
            </w:r>
          </w:p>
        </w:tc>
        <w:tc>
          <w:tcPr>
            <w:tcW w:w="296" w:type="pct"/>
            <w:vMerge w:val="restart"/>
            <w:tcBorders>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标准</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指数</w:t>
            </w:r>
          </w:p>
        </w:tc>
        <w:tc>
          <w:tcPr>
            <w:tcW w:w="330" w:type="pct"/>
            <w:vMerge w:val="restart"/>
            <w:tcBorders>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样品编号</w:t>
            </w:r>
          </w:p>
        </w:tc>
        <w:tc>
          <w:tcPr>
            <w:tcW w:w="60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1-1-1</w:t>
            </w:r>
          </w:p>
        </w:tc>
        <w:tc>
          <w:tcPr>
            <w:tcW w:w="60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2-1-1</w:t>
            </w:r>
          </w:p>
        </w:tc>
        <w:tc>
          <w:tcPr>
            <w:tcW w:w="613"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3-1-1</w:t>
            </w:r>
          </w:p>
        </w:tc>
        <w:tc>
          <w:tcPr>
            <w:tcW w:w="529"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988"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296"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330"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采样日期</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Style w:val="69"/>
                <w:rFonts w:hint="default" w:ascii="Times New Roman" w:hAnsi="Times New Roman" w:eastAsia="宋体" w:cs="Times New Roman"/>
                <w:color w:val="0000FF"/>
                <w:sz w:val="21"/>
                <w:szCs w:val="21"/>
                <w:lang w:val="en-US" w:eastAsia="zh-CN" w:bidi="ar"/>
              </w:rPr>
              <w:t>2024.04.11</w:t>
            </w:r>
          </w:p>
        </w:tc>
        <w:tc>
          <w:tcPr>
            <w:tcW w:w="604"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Style w:val="69"/>
                <w:rFonts w:hint="default" w:ascii="Times New Roman" w:hAnsi="Times New Roman" w:eastAsia="宋体" w:cs="Times New Roman"/>
                <w:color w:val="0000FF"/>
                <w:sz w:val="21"/>
                <w:szCs w:val="21"/>
                <w:lang w:val="en-US" w:eastAsia="zh-CN" w:bidi="ar"/>
              </w:rPr>
              <w:t>2024.04.12</w:t>
            </w:r>
          </w:p>
        </w:tc>
        <w:tc>
          <w:tcPr>
            <w:tcW w:w="613"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Style w:val="69"/>
                <w:rFonts w:hint="default" w:ascii="Times New Roman" w:hAnsi="Times New Roman" w:eastAsia="宋体" w:cs="Times New Roman"/>
                <w:color w:val="0000FF"/>
                <w:sz w:val="21"/>
                <w:szCs w:val="21"/>
                <w:lang w:val="en-US" w:eastAsia="zh-CN" w:bidi="ar"/>
              </w:rPr>
              <w:t>2024.04.13</w:t>
            </w:r>
          </w:p>
        </w:tc>
        <w:tc>
          <w:tcPr>
            <w:tcW w:w="529"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988"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296"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330" w:type="pct"/>
            <w:vMerge w:val="continue"/>
            <w:tcBorders>
              <w:top w:val="nil"/>
              <w:bottom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tcBorders>
              <w:tl2br w:val="single" w:color="000000" w:sz="2" w:space="0"/>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样品状态</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项目</w:t>
            </w:r>
          </w:p>
        </w:tc>
        <w:tc>
          <w:tcPr>
            <w:tcW w:w="60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无色、无味、无漂浮物、无浮油</w:t>
            </w:r>
          </w:p>
        </w:tc>
        <w:tc>
          <w:tcPr>
            <w:tcW w:w="60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无色、无味、无漂浮物、无浮油</w:t>
            </w:r>
          </w:p>
        </w:tc>
        <w:tc>
          <w:tcPr>
            <w:tcW w:w="613"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无色、无味、无漂浮物、无浮油</w:t>
            </w:r>
          </w:p>
        </w:tc>
        <w:tc>
          <w:tcPr>
            <w:tcW w:w="529"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988" w:type="pct"/>
            <w:vMerge w:val="continue"/>
            <w:tcBorders>
              <w:top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296" w:type="pct"/>
            <w:vMerge w:val="continue"/>
            <w:tcBorders>
              <w:top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330" w:type="pct"/>
            <w:vMerge w:val="continue"/>
            <w:tcBorders>
              <w:top w:val="nil"/>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pH</w:t>
            </w:r>
          </w:p>
        </w:tc>
        <w:tc>
          <w:tcPr>
            <w:tcW w:w="100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8.43</w:t>
            </w:r>
          </w:p>
        </w:tc>
        <w:tc>
          <w:tcPr>
            <w:tcW w:w="100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8.39</w:t>
            </w:r>
          </w:p>
        </w:tc>
        <w:tc>
          <w:tcPr>
            <w:tcW w:w="10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8.32</w:t>
            </w:r>
          </w:p>
        </w:tc>
        <w:tc>
          <w:tcPr>
            <w:tcW w:w="88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cs="Times New Roman"/>
                <w:i w:val="0"/>
                <w:iCs w:val="0"/>
                <w:color w:val="0000FF"/>
                <w:kern w:val="0"/>
                <w:sz w:val="21"/>
                <w:szCs w:val="21"/>
                <w:u w:val="none"/>
                <w:lang w:val="en-US" w:eastAsia="zh-CN" w:bidi="ar"/>
              </w:rPr>
              <w:t>/</w:t>
            </w:r>
          </w:p>
        </w:tc>
        <w:tc>
          <w:tcPr>
            <w:tcW w:w="164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6~9</w:t>
            </w:r>
          </w:p>
        </w:tc>
        <w:tc>
          <w:tcPr>
            <w:tcW w:w="492" w:type="dxa"/>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cs="Times New Roman"/>
                <w:i w:val="0"/>
                <w:iCs w:val="0"/>
                <w:color w:val="0000FF"/>
                <w:kern w:val="2"/>
                <w:sz w:val="21"/>
                <w:szCs w:val="21"/>
                <w:highlight w:val="none"/>
                <w:u w:val="none"/>
                <w:lang w:val="en-US" w:eastAsia="zh-CN" w:bidi="ar-SA"/>
              </w:rPr>
              <w:t>/</w:t>
            </w:r>
          </w:p>
        </w:tc>
        <w:tc>
          <w:tcPr>
            <w:tcW w:w="330" w:type="pct"/>
            <w:shd w:val="clear" w:color="auto" w:fill="auto"/>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水温</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22.9</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19.7</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19.7</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20.77</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eastAsia" w:ascii="宋体" w:hAnsi="宋体" w:eastAsia="宋体" w:cs="宋体"/>
                <w:i w:val="0"/>
                <w:iCs w:val="0"/>
                <w:color w:val="0000FF"/>
                <w:kern w:val="0"/>
                <w:sz w:val="21"/>
                <w:szCs w:val="21"/>
                <w:u w:val="none"/>
                <w:lang w:val="en-US" w:eastAsia="zh-CN" w:bidi="ar"/>
              </w:rPr>
              <w:t>/</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溶解氧</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6.69</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6.65</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6.73</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6.69</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≥5</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0.43</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高锰酸盐指数</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6.6</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6.4</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6.2</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6.40</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6</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1.07</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化学需氧量</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22</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18</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20</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20</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20</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1.00</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五日生化需氧量</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3.6</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3.4</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3.6</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3.53</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4</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0.88</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highlight w:val="none"/>
                <w:u w:val="none"/>
                <w:lang w:val="en-US" w:eastAsia="zh-CN" w:bidi="ar"/>
              </w:rPr>
              <w:t>氨氮</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0.555</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0.527</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0.561</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0.55</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0.55</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总磷</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0.1</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0.11</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0.09</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0.10</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0.50</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总氮</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0.89</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0.98</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0.96</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0.94</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0.94</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铜</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锌</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氟化物</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0.58</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0.51</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0.58</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0.56</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0.56</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硒</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0.0004L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0.0004L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0.0004L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0.0002</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砷</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0.0004</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0.0005</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kern w:val="0"/>
                <w:sz w:val="21"/>
                <w:szCs w:val="21"/>
                <w:highlight w:val="none"/>
                <w:lang w:val="en-US" w:eastAsia="zh-CN" w:bidi="ar-SA"/>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汞</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0.00004L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0.00004L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0.00004L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0.00002</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0.0001</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0.20</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镉</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0.0001L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0.0001L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0.0001L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0.00005</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总铬</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0.009</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0.009</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0.009</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0.19</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铅</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0.001L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0.001L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0.001L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0.0005</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氰化物</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0.004L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0.004L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0.004L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0.002</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挥发酚</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0.0003L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0.0003L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0.0003L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0.00015</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石油类</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0.01L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0.01L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0.01L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0.10</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阴离子表面活性剂</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0.025</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0.13</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硫化物</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0.01L</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0.01L</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0.01L</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0.005</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0.2</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粪大肠菌群</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7.0×10</w:t>
            </w:r>
            <w:r>
              <w:rPr>
                <w:rFonts w:hint="default" w:ascii="Times New Roman" w:hAnsi="Times New Roman" w:eastAsia="宋体" w:cs="Times New Roman"/>
                <w:i w:val="0"/>
                <w:iCs w:val="0"/>
                <w:color w:val="0000FF"/>
                <w:kern w:val="0"/>
                <w:sz w:val="21"/>
                <w:szCs w:val="21"/>
                <w:u w:val="none"/>
                <w:vertAlign w:val="superscript"/>
                <w:lang w:val="en-US" w:eastAsia="zh-CN" w:bidi="ar"/>
              </w:rPr>
              <w:t>2</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7.0×10</w:t>
            </w:r>
            <w:r>
              <w:rPr>
                <w:rFonts w:hint="default" w:ascii="Times New Roman" w:hAnsi="Times New Roman" w:eastAsia="宋体" w:cs="Times New Roman"/>
                <w:i w:val="0"/>
                <w:iCs w:val="0"/>
                <w:color w:val="0000FF"/>
                <w:kern w:val="0"/>
                <w:sz w:val="21"/>
                <w:szCs w:val="21"/>
                <w:u w:val="none"/>
                <w:vertAlign w:val="superscript"/>
                <w:lang w:val="en-US" w:eastAsia="zh-CN" w:bidi="ar"/>
              </w:rPr>
              <w:t>2</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4.9×10</w:t>
            </w:r>
            <w:r>
              <w:rPr>
                <w:rFonts w:hint="default" w:ascii="Times New Roman" w:hAnsi="Times New Roman" w:eastAsia="宋体" w:cs="Times New Roman"/>
                <w:i w:val="0"/>
                <w:iCs w:val="0"/>
                <w:color w:val="0000FF"/>
                <w:kern w:val="0"/>
                <w:sz w:val="21"/>
                <w:szCs w:val="21"/>
                <w:u w:val="none"/>
                <w:vertAlign w:val="superscript"/>
                <w:lang w:val="en-US" w:eastAsia="zh-CN" w:bidi="ar"/>
              </w:rPr>
              <w:t>2</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630</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10000</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0.06</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叶绿素</w:t>
            </w:r>
            <w:r>
              <w:rPr>
                <w:rStyle w:val="80"/>
                <w:rFonts w:hint="default" w:ascii="Times New Roman" w:hAnsi="Times New Roman" w:eastAsia="宋体" w:cs="Times New Roman"/>
                <w:color w:val="0000FF"/>
                <w:sz w:val="21"/>
                <w:szCs w:val="21"/>
                <w:lang w:val="en-US" w:eastAsia="zh-CN" w:bidi="ar"/>
              </w:rPr>
              <w:t>a</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3</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2.3</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3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透明度</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23</w:t>
            </w:r>
          </w:p>
        </w:tc>
        <w:tc>
          <w:tcPr>
            <w:tcW w:w="100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25</w:t>
            </w:r>
          </w:p>
        </w:tc>
        <w:tc>
          <w:tcPr>
            <w:tcW w:w="101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22</w:t>
            </w:r>
          </w:p>
        </w:tc>
        <w:tc>
          <w:tcPr>
            <w:tcW w:w="88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23.3</w:t>
            </w:r>
          </w:p>
        </w:tc>
        <w:tc>
          <w:tcPr>
            <w:tcW w:w="164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 w:cs="Times New Roman"/>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w:t>
            </w:r>
          </w:p>
        </w:tc>
        <w:tc>
          <w:tcPr>
            <w:tcW w:w="49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w:t>
            </w:r>
          </w:p>
        </w:tc>
        <w:tc>
          <w:tcPr>
            <w:tcW w:w="330" w:type="pct"/>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达标</w:t>
            </w:r>
          </w:p>
        </w:tc>
      </w:tr>
    </w:tbl>
    <w:p>
      <w:pPr>
        <w:ind w:firstLine="480" w:firstLineChars="200"/>
        <w:rPr>
          <w:rFonts w:hint="default" w:eastAsia="宋体"/>
          <w:color w:val="0000FF"/>
          <w:highlight w:val="none"/>
          <w:lang w:val="en-US" w:eastAsia="zh-CN"/>
        </w:rPr>
      </w:pPr>
      <w:r>
        <w:rPr>
          <w:rFonts w:hint="eastAsia"/>
          <w:color w:val="0000FF"/>
          <w:lang w:val="en-US" w:eastAsia="zh-CN"/>
        </w:rPr>
        <w:t>根据上表，水平石水库、姜中水库、李官坟水库、界牌箐水库（高锰酸盐指数、化学需氧量、五日生化需氧量、氨氮、总磷</w:t>
      </w:r>
      <w:r>
        <w:rPr>
          <w:rFonts w:hint="eastAsia"/>
          <w:color w:val="0000FF"/>
          <w:highlight w:val="none"/>
          <w:lang w:val="en-US" w:eastAsia="zh-CN"/>
        </w:rPr>
        <w:t>、总氮</w:t>
      </w:r>
      <w:r>
        <w:rPr>
          <w:rFonts w:hint="eastAsia" w:cs="Times New Roman"/>
          <w:color w:val="0000FF"/>
          <w:szCs w:val="23"/>
          <w:highlight w:val="none"/>
          <w:lang w:val="en-US" w:eastAsia="zh-CN"/>
        </w:rPr>
        <w:t>外</w:t>
      </w:r>
      <w:r>
        <w:rPr>
          <w:rFonts w:hint="eastAsia"/>
          <w:color w:val="0000FF"/>
          <w:highlight w:val="none"/>
          <w:lang w:val="en-US" w:eastAsia="zh-CN"/>
        </w:rPr>
        <w:t>）水质均可以满足</w:t>
      </w:r>
      <w:r>
        <w:rPr>
          <w:rFonts w:hint="default" w:ascii="Times New Roman" w:hAnsi="Times New Roman" w:cs="Times New Roman"/>
          <w:color w:val="0000FF"/>
          <w:szCs w:val="23"/>
          <w:highlight w:val="none"/>
        </w:rPr>
        <w:t>《地表水环境质量标准》（GB3838-2002）</w:t>
      </w:r>
      <w:r>
        <w:rPr>
          <w:rFonts w:hint="eastAsia" w:ascii="Times New Roman" w:hAnsi="Times New Roman" w:cs="Times New Roman"/>
          <w:color w:val="0000FF"/>
          <w:szCs w:val="23"/>
          <w:highlight w:val="none"/>
          <w:lang w:val="en-US" w:eastAsia="zh-CN"/>
        </w:rPr>
        <w:t>Ⅲ类水质标准</w:t>
      </w:r>
      <w:r>
        <w:rPr>
          <w:rFonts w:hint="eastAsia" w:cs="Times New Roman"/>
          <w:color w:val="0000FF"/>
          <w:szCs w:val="23"/>
          <w:highlight w:val="none"/>
          <w:lang w:val="en-US" w:eastAsia="zh-CN"/>
        </w:rPr>
        <w:t>；界牌箐水库高锰酸盐指数、化学需氧量、五日生化需氧量、氨氮、总磷、总氮超标指数分别为：0.63、1.02、1.52、1.4、0.2、4.82。超标原因可能是农村、农业面源污染造成的。</w:t>
      </w:r>
    </w:p>
    <w:p>
      <w:pPr>
        <w:pStyle w:val="4"/>
        <w:numPr>
          <w:ilvl w:val="2"/>
          <w:numId w:val="1"/>
        </w:numPr>
        <w:bidi w:val="0"/>
        <w:rPr>
          <w:rFonts w:hint="default"/>
          <w:color w:val="auto"/>
          <w:highlight w:val="none"/>
        </w:rPr>
      </w:pPr>
      <w:bookmarkStart w:id="522" w:name="_Toc10863"/>
      <w:bookmarkStart w:id="523" w:name="_Toc3406"/>
      <w:bookmarkStart w:id="524" w:name="_Toc1803"/>
      <w:bookmarkStart w:id="525" w:name="_Toc1374"/>
      <w:bookmarkStart w:id="526" w:name="_Toc17613"/>
      <w:bookmarkStart w:id="527" w:name="_Toc27828"/>
      <w:bookmarkStart w:id="528" w:name="_Toc4964"/>
      <w:r>
        <w:rPr>
          <w:rFonts w:hint="default"/>
          <w:color w:val="auto"/>
          <w:highlight w:val="none"/>
        </w:rPr>
        <w:t>土壤环境质量现状</w:t>
      </w:r>
      <w:bookmarkEnd w:id="522"/>
      <w:bookmarkEnd w:id="523"/>
      <w:bookmarkEnd w:id="524"/>
      <w:bookmarkEnd w:id="525"/>
      <w:bookmarkEnd w:id="526"/>
      <w:bookmarkEnd w:id="527"/>
      <w:bookmarkEnd w:id="528"/>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为了解项目项目区域土壤环境质量现状，本次评价委托云南中科检测技术有限公司对项目区土壤环境进行了采样监测，具体监测内容及监测结果分析如下：</w:t>
      </w:r>
    </w:p>
    <w:p>
      <w:pPr>
        <w:pStyle w:val="5"/>
        <w:numPr>
          <w:ilvl w:val="3"/>
          <w:numId w:val="2"/>
        </w:numPr>
        <w:tabs>
          <w:tab w:val="clear" w:pos="0"/>
        </w:tabs>
        <w:bidi w:val="0"/>
        <w:ind w:left="480" w:leftChars="0" w:firstLine="0" w:firstLineChars="0"/>
        <w:rPr>
          <w:rFonts w:hint="default" w:ascii="Times New Roman" w:hAnsi="Times New Roman" w:cs="Times New Roman"/>
          <w:color w:val="0000FF"/>
          <w:highlight w:val="none"/>
        </w:rPr>
      </w:pPr>
      <w:r>
        <w:rPr>
          <w:rFonts w:hint="default" w:ascii="Times New Roman" w:hAnsi="Times New Roman" w:cs="Times New Roman"/>
          <w:color w:val="0000FF"/>
          <w:highlight w:val="none"/>
        </w:rPr>
        <w:t>土壤理化特性调查</w:t>
      </w:r>
    </w:p>
    <w:p>
      <w:pPr>
        <w:ind w:firstLine="480"/>
        <w:rPr>
          <w:rFonts w:hint="default" w:ascii="Times New Roman" w:hAnsi="Times New Roman" w:cs="Times New Roman"/>
          <w:color w:val="000000"/>
          <w:highlight w:val="none"/>
        </w:rPr>
      </w:pPr>
      <w:r>
        <w:rPr>
          <w:rFonts w:hint="default" w:ascii="Times New Roman" w:hAnsi="Times New Roman" w:cs="Times New Roman"/>
          <w:color w:val="0000FF"/>
          <w:highlight w:val="none"/>
        </w:rPr>
        <w:t>土壤理化特性调查是指在充分收集资料的基础上，根据土壤环境影响类型、建设项目特征与评价需要，有针对性地选择土壤理化特性调查内容，主要包括土体构型、土壤结构、土壤质地、阳离子交换量、氧化还原电位、饱和导水率、土壤容重等。监测单位记录了采样点土壤样品的理化性质，包括土壤样品状态、质地、沙粒含量和其他异物等。具体见下表</w:t>
      </w:r>
      <w:r>
        <w:rPr>
          <w:rFonts w:hint="default" w:ascii="Times New Roman" w:hAnsi="Times New Roman" w:cs="Times New Roman"/>
          <w:color w:val="000000"/>
          <w:highlight w:val="none"/>
        </w:rPr>
        <w:t>：</w:t>
      </w:r>
    </w:p>
    <w:p>
      <w:pPr>
        <w:spacing w:line="240" w:lineRule="auto"/>
        <w:jc w:val="center"/>
        <w:rPr>
          <w:rFonts w:hint="eastAsia"/>
          <w:b/>
          <w:bCs/>
          <w:color w:val="0000FF"/>
          <w:highlight w:val="none"/>
          <w:lang w:val="en-US" w:eastAsia="zh-CN"/>
        </w:rPr>
      </w:pPr>
      <w:r>
        <w:rPr>
          <w:rFonts w:hint="eastAsia"/>
          <w:b/>
          <w:bCs/>
          <w:color w:val="0000FF"/>
          <w:highlight w:val="none"/>
          <w:lang w:val="en-US" w:eastAsia="zh-CN"/>
        </w:rPr>
        <w:t>表4.2.4-1  土壤理化性质调查表</w:t>
      </w:r>
    </w:p>
    <w:tbl>
      <w:tblPr>
        <w:tblStyle w:val="57"/>
        <w:tblW w:w="500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3"/>
        <w:gridCol w:w="720"/>
        <w:gridCol w:w="1647"/>
        <w:gridCol w:w="2010"/>
        <w:gridCol w:w="1829"/>
        <w:gridCol w:w="20"/>
        <w:gridCol w:w="2043"/>
        <w:gridCol w:w="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4" w:type="pct"/>
          <w:trHeight w:val="23" w:hRule="atLeast"/>
        </w:trPr>
        <w:tc>
          <w:tcPr>
            <w:tcW w:w="1423"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5"/>
                <w:sz w:val="21"/>
                <w:szCs w:val="21"/>
              </w:rPr>
              <w:t>点号</w:t>
            </w:r>
          </w:p>
        </w:tc>
        <w:tc>
          <w:tcPr>
            <w:tcW w:w="120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S1</w:t>
            </w:r>
          </w:p>
        </w:tc>
        <w:tc>
          <w:tcPr>
            <w:tcW w:w="10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S2</w:t>
            </w:r>
          </w:p>
        </w:tc>
        <w:tc>
          <w:tcPr>
            <w:tcW w:w="1253"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S3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4" w:type="pct"/>
          <w:trHeight w:val="23" w:hRule="atLeast"/>
        </w:trPr>
        <w:tc>
          <w:tcPr>
            <w:tcW w:w="1423"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样品编号</w:t>
            </w:r>
          </w:p>
        </w:tc>
        <w:tc>
          <w:tcPr>
            <w:tcW w:w="120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hint="eastAsia" w:ascii="Times New Roman" w:hAnsi="Times New Roman" w:eastAsia="Times New Roman" w:cs="Times New Roman"/>
                <w:color w:val="0000FF"/>
                <w:sz w:val="21"/>
                <w:szCs w:val="21"/>
              </w:rPr>
              <w:t>2404044TR01-1-1</w:t>
            </w:r>
          </w:p>
        </w:tc>
        <w:tc>
          <w:tcPr>
            <w:tcW w:w="10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hint="eastAsia" w:ascii="Times New Roman" w:hAnsi="Times New Roman" w:eastAsia="Times New Roman" w:cs="Times New Roman"/>
                <w:color w:val="0000FF"/>
                <w:sz w:val="21"/>
                <w:szCs w:val="21"/>
              </w:rPr>
              <w:t>2404044TR02-1-1</w:t>
            </w:r>
          </w:p>
        </w:tc>
        <w:tc>
          <w:tcPr>
            <w:tcW w:w="1253"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hint="eastAsia" w:ascii="Times New Roman" w:hAnsi="Times New Roman" w:eastAsia="Times New Roman" w:cs="Times New Roman"/>
                <w:color w:val="0000FF"/>
                <w:sz w:val="21"/>
                <w:szCs w:val="21"/>
              </w:rPr>
              <w:t>2404044TR03-1-1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4" w:type="pct"/>
          <w:trHeight w:val="23" w:hRule="atLeast"/>
        </w:trPr>
        <w:tc>
          <w:tcPr>
            <w:tcW w:w="1423"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采样日期</w:t>
            </w:r>
          </w:p>
        </w:tc>
        <w:tc>
          <w:tcPr>
            <w:tcW w:w="3561" w:type="pct"/>
            <w:gridSpan w:val="5"/>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hint="eastAsia" w:ascii="Times New Roman" w:hAnsi="Times New Roman" w:eastAsia="Times New Roman" w:cs="Times New Roman"/>
                <w:color w:val="0000FF"/>
                <w:sz w:val="21"/>
                <w:szCs w:val="21"/>
              </w:rPr>
              <w:t>2024.04.13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4" w:type="pct"/>
          <w:trHeight w:val="23" w:hRule="atLeast"/>
        </w:trPr>
        <w:tc>
          <w:tcPr>
            <w:tcW w:w="1423"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经纬度</w:t>
            </w:r>
          </w:p>
        </w:tc>
        <w:tc>
          <w:tcPr>
            <w:tcW w:w="120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eastAsia"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东经</w:t>
            </w:r>
            <w:r>
              <w:rPr>
                <w:rFonts w:hint="eastAsia" w:ascii="Times New Roman" w:hAnsi="Times New Roman" w:eastAsia="Times New Roman" w:cs="Times New Roman"/>
                <w:color w:val="0000FF"/>
                <w:sz w:val="21"/>
                <w:szCs w:val="21"/>
              </w:rPr>
              <w:t>101°55′13.927″</w:t>
            </w:r>
          </w:p>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北纬</w:t>
            </w:r>
            <w:r>
              <w:rPr>
                <w:rFonts w:hint="eastAsia" w:ascii="Times New Roman" w:hAnsi="Times New Roman" w:eastAsia="Times New Roman" w:cs="Times New Roman"/>
                <w:color w:val="0000FF"/>
                <w:sz w:val="21"/>
                <w:szCs w:val="21"/>
              </w:rPr>
              <w:t>26°1′15.91</w:t>
            </w:r>
            <w:r>
              <w:rPr>
                <w:rFonts w:hint="eastAsia" w:ascii="Times New Roman" w:hAnsi="Times New Roman" w:eastAsia="宋体" w:cs="Times New Roman"/>
                <w:color w:val="0000FF"/>
                <w:sz w:val="21"/>
                <w:szCs w:val="21"/>
                <w:lang w:val="en-US" w:eastAsia="zh-CN"/>
              </w:rPr>
              <w:t>3</w:t>
            </w:r>
            <w:r>
              <w:rPr>
                <w:rFonts w:hint="eastAsia" w:ascii="Times New Roman" w:hAnsi="Times New Roman" w:eastAsia="Times New Roman" w:cs="Times New Roman"/>
                <w:color w:val="0000FF"/>
                <w:sz w:val="21"/>
                <w:szCs w:val="21"/>
              </w:rPr>
              <w:t>″</w:t>
            </w:r>
          </w:p>
        </w:tc>
        <w:tc>
          <w:tcPr>
            <w:tcW w:w="1111"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eastAsia"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东经</w:t>
            </w:r>
            <w:r>
              <w:rPr>
                <w:rFonts w:hint="eastAsia" w:ascii="Times New Roman" w:hAnsi="Times New Roman" w:eastAsia="Times New Roman" w:cs="Times New Roman"/>
                <w:color w:val="0000FF"/>
                <w:sz w:val="21"/>
                <w:szCs w:val="21"/>
              </w:rPr>
              <w:t>101°54′34.84</w:t>
            </w:r>
            <w:r>
              <w:rPr>
                <w:rFonts w:hint="eastAsia" w:ascii="Times New Roman" w:hAnsi="Times New Roman" w:eastAsia="宋体" w:cs="Times New Roman"/>
                <w:color w:val="0000FF"/>
                <w:sz w:val="21"/>
                <w:szCs w:val="21"/>
                <w:lang w:val="en-US" w:eastAsia="zh-CN"/>
              </w:rPr>
              <w:t>0</w:t>
            </w:r>
            <w:r>
              <w:rPr>
                <w:rFonts w:hint="eastAsia" w:ascii="Times New Roman" w:hAnsi="Times New Roman" w:eastAsia="Times New Roman" w:cs="Times New Roman"/>
                <w:color w:val="0000FF"/>
                <w:sz w:val="21"/>
                <w:szCs w:val="21"/>
              </w:rPr>
              <w:t>″</w:t>
            </w:r>
          </w:p>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北纬</w:t>
            </w:r>
            <w:r>
              <w:rPr>
                <w:rFonts w:hint="eastAsia" w:ascii="Times New Roman" w:hAnsi="Times New Roman" w:eastAsia="Times New Roman" w:cs="Times New Roman"/>
                <w:color w:val="0000FF"/>
                <w:sz w:val="21"/>
                <w:szCs w:val="21"/>
              </w:rPr>
              <w:t>26°3′38.49</w:t>
            </w:r>
            <w:r>
              <w:rPr>
                <w:rFonts w:hint="eastAsia" w:ascii="Times New Roman" w:hAnsi="Times New Roman" w:eastAsia="宋体" w:cs="Times New Roman"/>
                <w:color w:val="0000FF"/>
                <w:sz w:val="21"/>
                <w:szCs w:val="21"/>
                <w:lang w:val="en-US" w:eastAsia="zh-CN"/>
              </w:rPr>
              <w:t>3</w:t>
            </w:r>
            <w:r>
              <w:rPr>
                <w:rFonts w:hint="eastAsia" w:ascii="Times New Roman" w:hAnsi="Times New Roman" w:eastAsia="Times New Roman" w:cs="Times New Roman"/>
                <w:color w:val="0000FF"/>
                <w:sz w:val="21"/>
                <w:szCs w:val="21"/>
              </w:rPr>
              <w:t>″</w:t>
            </w:r>
          </w:p>
        </w:tc>
        <w:tc>
          <w:tcPr>
            <w:tcW w:w="1241"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eastAsia"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东经</w:t>
            </w:r>
            <w:r>
              <w:rPr>
                <w:rFonts w:hint="eastAsia" w:ascii="Times New Roman" w:hAnsi="Times New Roman" w:eastAsia="Times New Roman" w:cs="Times New Roman"/>
                <w:color w:val="0000FF"/>
                <w:sz w:val="21"/>
                <w:szCs w:val="21"/>
              </w:rPr>
              <w:t>101°56′6.533″</w:t>
            </w:r>
          </w:p>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北纬</w:t>
            </w:r>
            <w:r>
              <w:rPr>
                <w:rFonts w:hint="eastAsia" w:ascii="Times New Roman" w:hAnsi="Times New Roman" w:eastAsia="Times New Roman" w:cs="Times New Roman"/>
                <w:color w:val="0000FF"/>
                <w:sz w:val="21"/>
                <w:szCs w:val="21"/>
              </w:rPr>
              <w:t>26°5′25.86</w:t>
            </w:r>
            <w:r>
              <w:rPr>
                <w:rFonts w:hint="eastAsia" w:ascii="Times New Roman" w:hAnsi="Times New Roman" w:eastAsia="宋体" w:cs="Times New Roman"/>
                <w:color w:val="0000FF"/>
                <w:sz w:val="21"/>
                <w:szCs w:val="21"/>
                <w:lang w:val="en-US" w:eastAsia="zh-CN"/>
              </w:rPr>
              <w:t>7</w:t>
            </w:r>
            <w:r>
              <w:rPr>
                <w:rFonts w:hint="eastAsia"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4" w:type="pct"/>
          <w:trHeight w:val="23" w:hRule="atLeast"/>
        </w:trPr>
        <w:tc>
          <w:tcPr>
            <w:tcW w:w="1423"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层次</w:t>
            </w:r>
          </w:p>
        </w:tc>
        <w:tc>
          <w:tcPr>
            <w:tcW w:w="120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0-20cm</w:t>
            </w:r>
          </w:p>
        </w:tc>
        <w:tc>
          <w:tcPr>
            <w:tcW w:w="1111"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0-20cm</w:t>
            </w:r>
          </w:p>
        </w:tc>
        <w:tc>
          <w:tcPr>
            <w:tcW w:w="1241"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0-20cm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4" w:type="pct"/>
          <w:trHeight w:val="23" w:hRule="atLeast"/>
        </w:trPr>
        <w:tc>
          <w:tcPr>
            <w:tcW w:w="433"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现场记</w:t>
            </w:r>
            <w:r>
              <w:rPr>
                <w:rFonts w:ascii="宋体" w:hAnsi="宋体" w:eastAsia="宋体" w:cs="宋体"/>
                <w:color w:val="0000FF"/>
                <w:spacing w:val="1"/>
                <w:sz w:val="21"/>
                <w:szCs w:val="21"/>
              </w:rPr>
              <w:t xml:space="preserve"> </w:t>
            </w:r>
            <w:r>
              <w:rPr>
                <w:rFonts w:ascii="宋体" w:hAnsi="宋体" w:eastAsia="宋体" w:cs="宋体"/>
                <w:color w:val="0000FF"/>
                <w:sz w:val="21"/>
                <w:szCs w:val="21"/>
              </w:rPr>
              <w:t>录</w:t>
            </w:r>
          </w:p>
        </w:tc>
        <w:tc>
          <w:tcPr>
            <w:tcW w:w="99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颜色</w:t>
            </w:r>
          </w:p>
        </w:tc>
        <w:tc>
          <w:tcPr>
            <w:tcW w:w="201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hint="eastAsia" w:ascii="Times New Roman" w:hAnsi="Times New Roman" w:cs="Times New Roman"/>
                <w:color w:val="0000FF"/>
                <w:kern w:val="2"/>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黄棕色</w:t>
            </w:r>
          </w:p>
        </w:tc>
        <w:tc>
          <w:tcPr>
            <w:tcW w:w="1849"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hint="eastAsia" w:ascii="Times New Roman" w:hAnsi="Times New Roman" w:cs="Times New Roman"/>
                <w:color w:val="0000FF"/>
                <w:kern w:val="2"/>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红棕色</w:t>
            </w:r>
          </w:p>
        </w:tc>
        <w:tc>
          <w:tcPr>
            <w:tcW w:w="2068"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hint="eastAsia" w:ascii="Times New Roman" w:hAnsi="Times New Roman" w:cs="Times New Roman"/>
                <w:color w:val="0000FF"/>
                <w:kern w:val="2"/>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红棕色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4" w:type="pct"/>
          <w:trHeight w:val="23" w:hRule="atLeast"/>
        </w:trPr>
        <w:tc>
          <w:tcPr>
            <w:tcW w:w="433"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sz w:val="21"/>
                <w:szCs w:val="21"/>
              </w:rPr>
            </w:pPr>
          </w:p>
        </w:tc>
        <w:tc>
          <w:tcPr>
            <w:tcW w:w="99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结构</w:t>
            </w:r>
          </w:p>
        </w:tc>
        <w:tc>
          <w:tcPr>
            <w:tcW w:w="201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hint="eastAsia" w:ascii="Times New Roman" w:hAnsi="Times New Roman" w:cs="Times New Roman"/>
                <w:color w:val="0000FF"/>
                <w:kern w:val="2"/>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块状</w:t>
            </w:r>
          </w:p>
        </w:tc>
        <w:tc>
          <w:tcPr>
            <w:tcW w:w="1849"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hint="eastAsia" w:ascii="Times New Roman" w:hAnsi="Times New Roman" w:cs="Times New Roman"/>
                <w:color w:val="0000FF"/>
                <w:kern w:val="2"/>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块状</w:t>
            </w:r>
          </w:p>
        </w:tc>
        <w:tc>
          <w:tcPr>
            <w:tcW w:w="2068"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hint="eastAsia" w:ascii="Times New Roman" w:hAnsi="Times New Roman" w:cs="Times New Roman"/>
                <w:color w:val="0000FF"/>
                <w:kern w:val="2"/>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块状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4" w:type="pct"/>
          <w:trHeight w:val="23" w:hRule="atLeast"/>
        </w:trPr>
        <w:tc>
          <w:tcPr>
            <w:tcW w:w="433"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sz w:val="21"/>
                <w:szCs w:val="21"/>
              </w:rPr>
            </w:pPr>
          </w:p>
        </w:tc>
        <w:tc>
          <w:tcPr>
            <w:tcW w:w="99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质地</w:t>
            </w:r>
          </w:p>
        </w:tc>
        <w:tc>
          <w:tcPr>
            <w:tcW w:w="201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hint="eastAsia" w:ascii="Times New Roman" w:hAnsi="Times New Roman" w:cs="Times New Roman"/>
                <w:color w:val="0000FF"/>
                <w:kern w:val="2"/>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砂壤</w:t>
            </w:r>
          </w:p>
        </w:tc>
        <w:tc>
          <w:tcPr>
            <w:tcW w:w="1849"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hint="eastAsia" w:ascii="Times New Roman" w:hAnsi="Times New Roman" w:cs="Times New Roman"/>
                <w:color w:val="0000FF"/>
                <w:kern w:val="2"/>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砂壤</w:t>
            </w:r>
          </w:p>
        </w:tc>
        <w:tc>
          <w:tcPr>
            <w:tcW w:w="2068"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hint="eastAsia" w:ascii="Times New Roman" w:hAnsi="Times New Roman" w:cs="Times New Roman"/>
                <w:color w:val="0000FF"/>
                <w:kern w:val="2"/>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砂壤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4" w:type="pct"/>
          <w:trHeight w:val="23" w:hRule="atLeast"/>
        </w:trPr>
        <w:tc>
          <w:tcPr>
            <w:tcW w:w="433"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sz w:val="21"/>
                <w:szCs w:val="21"/>
              </w:rPr>
            </w:pPr>
          </w:p>
        </w:tc>
        <w:tc>
          <w:tcPr>
            <w:tcW w:w="99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砂砾含量</w:t>
            </w:r>
          </w:p>
        </w:tc>
        <w:tc>
          <w:tcPr>
            <w:tcW w:w="201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hint="eastAsia" w:ascii="Times New Roman" w:hAnsi="Times New Roman" w:cs="Times New Roman"/>
                <w:color w:val="0000FF"/>
                <w:kern w:val="2"/>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65%</w:t>
            </w:r>
          </w:p>
        </w:tc>
        <w:tc>
          <w:tcPr>
            <w:tcW w:w="1849"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hint="eastAsia" w:ascii="Times New Roman" w:hAnsi="Times New Roman" w:cs="Times New Roman"/>
                <w:color w:val="0000FF"/>
                <w:kern w:val="2"/>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72%</w:t>
            </w:r>
          </w:p>
        </w:tc>
        <w:tc>
          <w:tcPr>
            <w:tcW w:w="2068"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hint="eastAsia" w:ascii="Times New Roman" w:hAnsi="Times New Roman" w:cs="Times New Roman"/>
                <w:color w:val="0000FF"/>
                <w:kern w:val="2"/>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4" w:type="pct"/>
          <w:trHeight w:val="23" w:hRule="atLeast"/>
        </w:trPr>
        <w:tc>
          <w:tcPr>
            <w:tcW w:w="433"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sz w:val="21"/>
                <w:szCs w:val="21"/>
              </w:rPr>
            </w:pPr>
          </w:p>
        </w:tc>
        <w:tc>
          <w:tcPr>
            <w:tcW w:w="99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其他异物</w:t>
            </w:r>
          </w:p>
        </w:tc>
        <w:tc>
          <w:tcPr>
            <w:tcW w:w="2010"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hint="eastAsia" w:ascii="Times New Roman" w:hAnsi="Times New Roman" w:cs="Times New Roman"/>
                <w:color w:val="0000FF"/>
                <w:kern w:val="2"/>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无</w:t>
            </w:r>
          </w:p>
        </w:tc>
        <w:tc>
          <w:tcPr>
            <w:tcW w:w="1849"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hint="eastAsia" w:ascii="Times New Roman" w:hAnsi="Times New Roman" w:cs="Times New Roman"/>
                <w:color w:val="0000FF"/>
                <w:kern w:val="2"/>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无</w:t>
            </w:r>
          </w:p>
        </w:tc>
        <w:tc>
          <w:tcPr>
            <w:tcW w:w="2068"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hint="eastAsia" w:ascii="Times New Roman" w:hAnsi="Times New Roman" w:cs="Times New Roman"/>
                <w:color w:val="0000FF"/>
                <w:kern w:val="2"/>
                <w:sz w:val="21"/>
                <w:szCs w:val="21"/>
                <w:highlight w:val="none"/>
                <w:lang w:val="en-US" w:eastAsia="zh-CN"/>
              </w:rPr>
            </w:pPr>
            <w:r>
              <w:rPr>
                <w:rFonts w:hint="eastAsia" w:ascii="Times New Roman" w:hAnsi="Times New Roman" w:cs="Times New Roman"/>
                <w:color w:val="0000FF"/>
                <w:kern w:val="2"/>
                <w:sz w:val="21"/>
                <w:szCs w:val="21"/>
                <w:highlight w:val="no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4" w:type="pct"/>
          <w:trHeight w:val="23" w:hRule="atLeast"/>
        </w:trPr>
        <w:tc>
          <w:tcPr>
            <w:tcW w:w="433"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4"/>
                <w:sz w:val="21"/>
                <w:szCs w:val="21"/>
              </w:rPr>
              <w:t>实验室</w:t>
            </w:r>
            <w:r>
              <w:rPr>
                <w:rFonts w:ascii="宋体" w:hAnsi="宋体" w:eastAsia="宋体" w:cs="宋体"/>
                <w:color w:val="0000FF"/>
                <w:spacing w:val="1"/>
                <w:sz w:val="21"/>
                <w:szCs w:val="21"/>
              </w:rPr>
              <w:t xml:space="preserve"> </w:t>
            </w:r>
            <w:r>
              <w:rPr>
                <w:rFonts w:ascii="宋体" w:hAnsi="宋体" w:eastAsia="宋体" w:cs="宋体"/>
                <w:color w:val="0000FF"/>
                <w:spacing w:val="-2"/>
                <w:sz w:val="21"/>
                <w:szCs w:val="21"/>
              </w:rPr>
              <w:t>测定</w:t>
            </w:r>
          </w:p>
        </w:tc>
        <w:tc>
          <w:tcPr>
            <w:tcW w:w="99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 xml:space="preserve">pH </w:t>
            </w:r>
            <w:r>
              <w:rPr>
                <w:rFonts w:ascii="宋体" w:hAnsi="宋体" w:eastAsia="宋体" w:cs="宋体"/>
                <w:color w:val="0000FF"/>
                <w:sz w:val="21"/>
                <w:szCs w:val="21"/>
              </w:rPr>
              <w:t>值（无量纲</w:t>
            </w:r>
            <w:r>
              <w:rPr>
                <w:rFonts w:ascii="Times New Roman" w:hAnsi="Times New Roman" w:eastAsia="Times New Roman" w:cs="Times New Roman"/>
                <w:color w:val="0000FF"/>
                <w:sz w:val="21"/>
                <w:szCs w:val="21"/>
              </w:rPr>
              <w:t>)</w:t>
            </w:r>
          </w:p>
        </w:tc>
        <w:tc>
          <w:tcPr>
            <w:tcW w:w="120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6.73</w:t>
            </w:r>
          </w:p>
        </w:tc>
        <w:tc>
          <w:tcPr>
            <w:tcW w:w="1111"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6.97</w:t>
            </w:r>
          </w:p>
        </w:tc>
        <w:tc>
          <w:tcPr>
            <w:tcW w:w="1241"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5.08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4" w:type="pct"/>
          <w:trHeight w:val="23" w:hRule="atLeast"/>
        </w:trPr>
        <w:tc>
          <w:tcPr>
            <w:tcW w:w="433"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sz w:val="21"/>
                <w:szCs w:val="21"/>
              </w:rPr>
            </w:pPr>
          </w:p>
        </w:tc>
        <w:tc>
          <w:tcPr>
            <w:tcW w:w="99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2"/>
                <w:sz w:val="21"/>
                <w:szCs w:val="21"/>
              </w:rPr>
              <w:t>阳离子交换量</w:t>
            </w:r>
            <w:r>
              <w:rPr>
                <w:rFonts w:ascii="Times New Roman" w:hAnsi="Times New Roman" w:eastAsia="Times New Roman" w:cs="Times New Roman"/>
                <w:color w:val="0000FF"/>
                <w:spacing w:val="-2"/>
                <w:sz w:val="21"/>
                <w:szCs w:val="21"/>
              </w:rPr>
              <w:t>(cmolkg)</w:t>
            </w:r>
          </w:p>
        </w:tc>
        <w:tc>
          <w:tcPr>
            <w:tcW w:w="120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ascii="Times New Roman" w:hAnsi="Times New Roman" w:eastAsia="Times New Roman" w:cs="Times New Roman"/>
                <w:color w:val="0000FF"/>
                <w:sz w:val="21"/>
                <w:szCs w:val="21"/>
              </w:rPr>
            </w:pPr>
            <w:r>
              <w:rPr>
                <w:rFonts w:hint="eastAsia" w:ascii="Times New Roman" w:hAnsi="Times New Roman" w:cs="Times New Roman"/>
                <w:color w:val="0000FF"/>
                <w:kern w:val="2"/>
                <w:sz w:val="21"/>
                <w:szCs w:val="21"/>
                <w:highlight w:val="none"/>
                <w:lang w:val="en-US" w:eastAsia="zh-CN"/>
              </w:rPr>
              <w:t>13.2</w:t>
            </w:r>
          </w:p>
        </w:tc>
        <w:tc>
          <w:tcPr>
            <w:tcW w:w="1111"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ascii="Times New Roman" w:hAnsi="Times New Roman" w:eastAsia="Times New Roman" w:cs="Times New Roman"/>
                <w:color w:val="0000FF"/>
                <w:sz w:val="21"/>
                <w:szCs w:val="21"/>
              </w:rPr>
            </w:pPr>
            <w:r>
              <w:rPr>
                <w:rFonts w:hint="eastAsia" w:ascii="Times New Roman" w:hAnsi="Times New Roman" w:cs="Times New Roman"/>
                <w:color w:val="0000FF"/>
                <w:kern w:val="2"/>
                <w:sz w:val="21"/>
                <w:szCs w:val="21"/>
                <w:highlight w:val="none"/>
                <w:lang w:val="en-US" w:eastAsia="zh-CN"/>
              </w:rPr>
              <w:t>5.5</w:t>
            </w:r>
          </w:p>
        </w:tc>
        <w:tc>
          <w:tcPr>
            <w:tcW w:w="1241"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ascii="Times New Roman" w:hAnsi="Times New Roman" w:eastAsia="Times New Roman" w:cs="Times New Roman"/>
                <w:color w:val="0000FF"/>
                <w:sz w:val="21"/>
                <w:szCs w:val="21"/>
              </w:rPr>
            </w:pPr>
            <w:r>
              <w:rPr>
                <w:rFonts w:hint="eastAsia" w:ascii="Times New Roman" w:hAnsi="Times New Roman" w:cs="Times New Roman"/>
                <w:color w:val="0000FF"/>
                <w:kern w:val="2"/>
                <w:sz w:val="21"/>
                <w:szCs w:val="21"/>
                <w:highlight w:val="none"/>
                <w:lang w:val="en-US" w:eastAsia="zh-CN"/>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4" w:type="pct"/>
          <w:trHeight w:val="23" w:hRule="atLeast"/>
        </w:trPr>
        <w:tc>
          <w:tcPr>
            <w:tcW w:w="433"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sz w:val="21"/>
                <w:szCs w:val="21"/>
              </w:rPr>
            </w:pPr>
          </w:p>
        </w:tc>
        <w:tc>
          <w:tcPr>
            <w:tcW w:w="99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1"/>
                <w:sz w:val="21"/>
                <w:szCs w:val="21"/>
              </w:rPr>
              <w:t>氧化还原电位（</w:t>
            </w:r>
            <w:r>
              <w:rPr>
                <w:rFonts w:ascii="Times New Roman" w:hAnsi="Times New Roman" w:eastAsia="Times New Roman" w:cs="Times New Roman"/>
                <w:color w:val="0000FF"/>
                <w:spacing w:val="-1"/>
                <w:sz w:val="21"/>
                <w:szCs w:val="21"/>
              </w:rPr>
              <w:t>mV)</w:t>
            </w:r>
          </w:p>
        </w:tc>
        <w:tc>
          <w:tcPr>
            <w:tcW w:w="120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ascii="Times New Roman" w:hAnsi="Times New Roman" w:eastAsia="Times New Roman" w:cs="Times New Roman"/>
                <w:color w:val="0000FF"/>
                <w:sz w:val="21"/>
                <w:szCs w:val="21"/>
              </w:rPr>
            </w:pPr>
            <w:r>
              <w:rPr>
                <w:rFonts w:hint="eastAsia" w:ascii="Times New Roman" w:hAnsi="Times New Roman" w:cs="Times New Roman"/>
                <w:color w:val="0000FF"/>
                <w:kern w:val="2"/>
                <w:sz w:val="21"/>
                <w:szCs w:val="21"/>
                <w:highlight w:val="none"/>
                <w:lang w:val="en-US" w:eastAsia="zh-CN"/>
              </w:rPr>
              <w:t>496</w:t>
            </w:r>
          </w:p>
        </w:tc>
        <w:tc>
          <w:tcPr>
            <w:tcW w:w="1111"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ascii="Times New Roman" w:hAnsi="Times New Roman" w:eastAsia="Times New Roman" w:cs="Times New Roman"/>
                <w:color w:val="0000FF"/>
                <w:sz w:val="21"/>
                <w:szCs w:val="21"/>
              </w:rPr>
            </w:pPr>
            <w:r>
              <w:rPr>
                <w:rFonts w:hint="eastAsia" w:ascii="Times New Roman" w:hAnsi="Times New Roman" w:cs="Times New Roman"/>
                <w:color w:val="0000FF"/>
                <w:kern w:val="2"/>
                <w:sz w:val="21"/>
                <w:szCs w:val="21"/>
                <w:highlight w:val="none"/>
                <w:lang w:val="en-US" w:eastAsia="zh-CN"/>
              </w:rPr>
              <w:t>515</w:t>
            </w:r>
          </w:p>
        </w:tc>
        <w:tc>
          <w:tcPr>
            <w:tcW w:w="1241"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ascii="Times New Roman" w:hAnsi="Times New Roman" w:eastAsia="Times New Roman" w:cs="Times New Roman"/>
                <w:color w:val="0000FF"/>
                <w:sz w:val="21"/>
                <w:szCs w:val="21"/>
              </w:rPr>
            </w:pPr>
            <w:r>
              <w:rPr>
                <w:rFonts w:hint="eastAsia" w:ascii="Times New Roman" w:hAnsi="Times New Roman" w:cs="Times New Roman"/>
                <w:color w:val="0000FF"/>
                <w:kern w:val="2"/>
                <w:sz w:val="21"/>
                <w:szCs w:val="21"/>
                <w:highlight w:val="none"/>
                <w:lang w:val="en-US" w:eastAsia="zh-CN"/>
              </w:rPr>
              <w:t>447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4" w:type="pct"/>
          <w:trHeight w:val="23" w:hRule="atLeast"/>
        </w:trPr>
        <w:tc>
          <w:tcPr>
            <w:tcW w:w="433"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sz w:val="21"/>
                <w:szCs w:val="21"/>
              </w:rPr>
            </w:pPr>
          </w:p>
        </w:tc>
        <w:tc>
          <w:tcPr>
            <w:tcW w:w="99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饱和导水率（</w:t>
            </w:r>
            <w:r>
              <w:rPr>
                <w:rFonts w:ascii="Times New Roman" w:hAnsi="Times New Roman" w:eastAsia="Times New Roman" w:cs="Times New Roman"/>
                <w:color w:val="0000FF"/>
                <w:spacing w:val="-1"/>
                <w:sz w:val="21"/>
                <w:szCs w:val="21"/>
              </w:rPr>
              <w:t>mm/min</w:t>
            </w:r>
            <w:r>
              <w:rPr>
                <w:rFonts w:ascii="宋体" w:hAnsi="宋体" w:eastAsia="宋体" w:cs="宋体"/>
                <w:color w:val="0000FF"/>
                <w:spacing w:val="-1"/>
                <w:sz w:val="21"/>
                <w:szCs w:val="21"/>
              </w:rPr>
              <w:t>）</w:t>
            </w:r>
          </w:p>
        </w:tc>
        <w:tc>
          <w:tcPr>
            <w:tcW w:w="120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ascii="Times New Roman" w:hAnsi="Times New Roman" w:eastAsia="Times New Roman" w:cs="Times New Roman"/>
                <w:color w:val="0000FF"/>
                <w:sz w:val="21"/>
                <w:szCs w:val="21"/>
              </w:rPr>
            </w:pPr>
            <w:r>
              <w:rPr>
                <w:rFonts w:hint="eastAsia" w:ascii="Times New Roman" w:hAnsi="Times New Roman" w:cs="Times New Roman"/>
                <w:color w:val="0000FF"/>
                <w:kern w:val="2"/>
                <w:sz w:val="21"/>
                <w:szCs w:val="21"/>
                <w:highlight w:val="none"/>
                <w:lang w:val="en-US" w:eastAsia="zh-CN"/>
              </w:rPr>
              <w:t>2.76</w:t>
            </w:r>
          </w:p>
        </w:tc>
        <w:tc>
          <w:tcPr>
            <w:tcW w:w="1111"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ascii="Times New Roman" w:hAnsi="Times New Roman" w:eastAsia="Times New Roman" w:cs="Times New Roman"/>
                <w:color w:val="0000FF"/>
                <w:sz w:val="21"/>
                <w:szCs w:val="21"/>
              </w:rPr>
            </w:pPr>
            <w:r>
              <w:rPr>
                <w:rFonts w:hint="eastAsia" w:ascii="Times New Roman" w:hAnsi="Times New Roman" w:cs="Times New Roman"/>
                <w:color w:val="0000FF"/>
                <w:kern w:val="2"/>
                <w:sz w:val="21"/>
                <w:szCs w:val="21"/>
                <w:highlight w:val="none"/>
                <w:lang w:val="en-US" w:eastAsia="zh-CN"/>
              </w:rPr>
              <w:t>2.07</w:t>
            </w:r>
          </w:p>
        </w:tc>
        <w:tc>
          <w:tcPr>
            <w:tcW w:w="1241"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ascii="Times New Roman" w:hAnsi="Times New Roman" w:eastAsia="Times New Roman" w:cs="Times New Roman"/>
                <w:color w:val="0000FF"/>
                <w:sz w:val="21"/>
                <w:szCs w:val="21"/>
              </w:rPr>
            </w:pPr>
            <w:r>
              <w:rPr>
                <w:rFonts w:hint="eastAsia" w:ascii="Times New Roman" w:hAnsi="Times New Roman" w:cs="Times New Roman"/>
                <w:color w:val="0000FF"/>
                <w:kern w:val="2"/>
                <w:sz w:val="21"/>
                <w:szCs w:val="21"/>
                <w:highlight w:val="none"/>
                <w:lang w:val="en-US" w:eastAsia="zh-CN"/>
              </w:rPr>
              <w:t>2.99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4" w:type="pct"/>
          <w:trHeight w:val="23" w:hRule="atLeast"/>
        </w:trPr>
        <w:tc>
          <w:tcPr>
            <w:tcW w:w="433"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sz w:val="21"/>
                <w:szCs w:val="21"/>
              </w:rPr>
            </w:pPr>
          </w:p>
        </w:tc>
        <w:tc>
          <w:tcPr>
            <w:tcW w:w="99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1"/>
                <w:sz w:val="21"/>
                <w:szCs w:val="21"/>
              </w:rPr>
              <w:t>土壤容重（</w:t>
            </w:r>
            <w:r>
              <w:rPr>
                <w:rFonts w:ascii="Times New Roman" w:hAnsi="Times New Roman" w:eastAsia="Times New Roman" w:cs="Times New Roman"/>
                <w:color w:val="0000FF"/>
                <w:spacing w:val="-1"/>
                <w:sz w:val="21"/>
                <w:szCs w:val="21"/>
              </w:rPr>
              <w:t>g/cm')</w:t>
            </w:r>
          </w:p>
        </w:tc>
        <w:tc>
          <w:tcPr>
            <w:tcW w:w="120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ascii="Times New Roman" w:hAnsi="Times New Roman" w:eastAsia="Times New Roman" w:cs="Times New Roman"/>
                <w:color w:val="0000FF"/>
                <w:sz w:val="21"/>
                <w:szCs w:val="21"/>
              </w:rPr>
            </w:pPr>
            <w:r>
              <w:rPr>
                <w:rFonts w:hint="eastAsia" w:ascii="Times New Roman" w:hAnsi="Times New Roman" w:cs="Times New Roman"/>
                <w:color w:val="0000FF"/>
                <w:kern w:val="2"/>
                <w:sz w:val="21"/>
                <w:szCs w:val="21"/>
                <w:highlight w:val="none"/>
                <w:lang w:val="en-US" w:eastAsia="zh-CN"/>
              </w:rPr>
              <w:t>1.28</w:t>
            </w:r>
          </w:p>
        </w:tc>
        <w:tc>
          <w:tcPr>
            <w:tcW w:w="1111"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ascii="Times New Roman" w:hAnsi="Times New Roman" w:eastAsia="Times New Roman" w:cs="Times New Roman"/>
                <w:color w:val="0000FF"/>
                <w:sz w:val="21"/>
                <w:szCs w:val="21"/>
              </w:rPr>
            </w:pPr>
            <w:r>
              <w:rPr>
                <w:rFonts w:hint="eastAsia" w:ascii="Times New Roman" w:hAnsi="Times New Roman" w:cs="Times New Roman"/>
                <w:color w:val="0000FF"/>
                <w:kern w:val="2"/>
                <w:sz w:val="21"/>
                <w:szCs w:val="21"/>
                <w:highlight w:val="none"/>
                <w:lang w:val="en-US" w:eastAsia="zh-CN"/>
              </w:rPr>
              <w:t>1.36</w:t>
            </w:r>
          </w:p>
        </w:tc>
        <w:tc>
          <w:tcPr>
            <w:tcW w:w="1241"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ascii="Times New Roman" w:hAnsi="Times New Roman" w:eastAsia="Times New Roman" w:cs="Times New Roman"/>
                <w:color w:val="0000FF"/>
                <w:sz w:val="21"/>
                <w:szCs w:val="21"/>
              </w:rPr>
            </w:pPr>
            <w:r>
              <w:rPr>
                <w:rFonts w:hint="eastAsia" w:ascii="Times New Roman" w:hAnsi="Times New Roman" w:cs="Times New Roman"/>
                <w:color w:val="0000FF"/>
                <w:kern w:val="2"/>
                <w:sz w:val="21"/>
                <w:szCs w:val="21"/>
                <w:highlight w:val="none"/>
                <w:lang w:val="en-US" w:eastAsia="zh-CN"/>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Before w:val="1"/>
          <w:wBefore w:w="14" w:type="pct"/>
          <w:trHeight w:val="23" w:hRule="atLeast"/>
        </w:trPr>
        <w:tc>
          <w:tcPr>
            <w:tcW w:w="433"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sz w:val="21"/>
                <w:szCs w:val="21"/>
              </w:rPr>
            </w:pPr>
          </w:p>
        </w:tc>
        <w:tc>
          <w:tcPr>
            <w:tcW w:w="99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孔隙度（</w:t>
            </w:r>
            <w:r>
              <w:rPr>
                <w:rFonts w:ascii="Times New Roman" w:hAnsi="Times New Roman" w:eastAsia="Times New Roman" w:cs="Times New Roman"/>
                <w:color w:val="0000FF"/>
                <w:spacing w:val="-1"/>
                <w:sz w:val="21"/>
                <w:szCs w:val="21"/>
              </w:rPr>
              <w:t>%</w:t>
            </w:r>
            <w:r>
              <w:rPr>
                <w:rFonts w:ascii="宋体" w:hAnsi="宋体" w:eastAsia="宋体" w:cs="宋体"/>
                <w:color w:val="0000FF"/>
                <w:spacing w:val="-1"/>
                <w:sz w:val="21"/>
                <w:szCs w:val="21"/>
              </w:rPr>
              <w:t>）</w:t>
            </w:r>
          </w:p>
        </w:tc>
        <w:tc>
          <w:tcPr>
            <w:tcW w:w="120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ascii="Times New Roman" w:hAnsi="Times New Roman" w:eastAsia="Times New Roman" w:cs="Times New Roman"/>
                <w:color w:val="0000FF"/>
                <w:sz w:val="21"/>
                <w:szCs w:val="21"/>
              </w:rPr>
            </w:pPr>
            <w:r>
              <w:rPr>
                <w:rFonts w:hint="eastAsia" w:ascii="Times New Roman" w:hAnsi="Times New Roman" w:cs="Times New Roman"/>
                <w:color w:val="0000FF"/>
                <w:kern w:val="2"/>
                <w:sz w:val="21"/>
                <w:szCs w:val="21"/>
                <w:highlight w:val="none"/>
                <w:lang w:val="en-US" w:eastAsia="zh-CN"/>
              </w:rPr>
              <w:t>50.8</w:t>
            </w:r>
          </w:p>
        </w:tc>
        <w:tc>
          <w:tcPr>
            <w:tcW w:w="1111"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ascii="Times New Roman" w:hAnsi="Times New Roman" w:eastAsia="Times New Roman" w:cs="Times New Roman"/>
                <w:color w:val="0000FF"/>
                <w:sz w:val="21"/>
                <w:szCs w:val="21"/>
              </w:rPr>
            </w:pPr>
            <w:r>
              <w:rPr>
                <w:rFonts w:hint="eastAsia" w:ascii="Times New Roman" w:hAnsi="Times New Roman" w:cs="Times New Roman"/>
                <w:color w:val="0000FF"/>
                <w:kern w:val="2"/>
                <w:sz w:val="21"/>
                <w:szCs w:val="21"/>
                <w:highlight w:val="none"/>
                <w:lang w:val="en-US" w:eastAsia="zh-CN"/>
              </w:rPr>
              <w:t>50.1</w:t>
            </w:r>
          </w:p>
        </w:tc>
        <w:tc>
          <w:tcPr>
            <w:tcW w:w="1241"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contextualSpacing/>
              <w:jc w:val="center"/>
              <w:textAlignment w:val="auto"/>
              <w:rPr>
                <w:rFonts w:ascii="Times New Roman" w:hAnsi="Times New Roman" w:eastAsia="Times New Roman" w:cs="Times New Roman"/>
                <w:color w:val="0000FF"/>
                <w:sz w:val="21"/>
                <w:szCs w:val="21"/>
              </w:rPr>
            </w:pPr>
            <w:r>
              <w:rPr>
                <w:rFonts w:hint="eastAsia" w:ascii="Times New Roman" w:hAnsi="Times New Roman" w:cs="Times New Roman"/>
                <w:color w:val="0000FF"/>
                <w:kern w:val="2"/>
                <w:sz w:val="21"/>
                <w:szCs w:val="21"/>
                <w:highlight w:val="none"/>
                <w:lang w:val="en-US" w:eastAsia="zh-CN"/>
              </w:rPr>
              <w:t>52.6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5" w:type="pct"/>
          <w:trHeight w:val="23" w:hRule="atLeast"/>
        </w:trPr>
        <w:tc>
          <w:tcPr>
            <w:tcW w:w="4984" w:type="pct"/>
            <w:gridSpan w:val="7"/>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备注：</w:t>
            </w:r>
            <w:r>
              <w:rPr>
                <w:rFonts w:ascii="宋体" w:hAnsi="宋体" w:eastAsia="宋体" w:cs="宋体"/>
                <w:color w:val="0000FF"/>
                <w:spacing w:val="27"/>
                <w:sz w:val="21"/>
                <w:szCs w:val="21"/>
              </w:rPr>
              <w:t xml:space="preserve"> </w:t>
            </w:r>
            <w:r>
              <w:rPr>
                <w:rFonts w:ascii="宋体" w:hAnsi="宋体" w:eastAsia="宋体" w:cs="宋体"/>
                <w:color w:val="0000FF"/>
                <w:spacing w:val="-3"/>
                <w:sz w:val="21"/>
                <w:szCs w:val="21"/>
              </w:rPr>
              <w:t>由于土质过于松散，无法采集环刀样品，故未检测出砂砾含量、孔隙度、</w:t>
            </w:r>
            <w:r>
              <w:rPr>
                <w:rFonts w:ascii="宋体" w:hAnsi="宋体" w:eastAsia="宋体" w:cs="宋体"/>
                <w:color w:val="0000FF"/>
                <w:spacing w:val="-4"/>
                <w:sz w:val="21"/>
                <w:szCs w:val="21"/>
              </w:rPr>
              <w:t>容重、渗滤率（饱</w:t>
            </w:r>
            <w:r>
              <w:rPr>
                <w:rFonts w:ascii="宋体" w:hAnsi="宋体" w:eastAsia="宋体" w:cs="宋体"/>
                <w:color w:val="0000FF"/>
                <w:spacing w:val="-11"/>
                <w:sz w:val="21"/>
                <w:szCs w:val="21"/>
              </w:rPr>
              <w:t>和导水率）</w:t>
            </w:r>
            <w:r>
              <w:rPr>
                <w:rFonts w:ascii="宋体" w:hAnsi="宋体" w:eastAsia="宋体" w:cs="宋体"/>
                <w:color w:val="0000FF"/>
                <w:spacing w:val="-48"/>
                <w:sz w:val="21"/>
                <w:szCs w:val="21"/>
              </w:rPr>
              <w:t xml:space="preserve"> </w:t>
            </w:r>
            <w:r>
              <w:rPr>
                <w:rFonts w:ascii="宋体" w:hAnsi="宋体" w:eastAsia="宋体" w:cs="宋体"/>
                <w:color w:val="0000FF"/>
                <w:spacing w:val="-11"/>
                <w:sz w:val="21"/>
                <w:szCs w:val="21"/>
              </w:rPr>
              <w:t>。</w:t>
            </w:r>
          </w:p>
        </w:tc>
      </w:tr>
    </w:tbl>
    <w:p>
      <w:pPr>
        <w:pStyle w:val="5"/>
        <w:numPr>
          <w:ilvl w:val="3"/>
          <w:numId w:val="18"/>
        </w:numPr>
        <w:tabs>
          <w:tab w:val="clear" w:pos="0"/>
        </w:tabs>
        <w:bidi w:val="0"/>
        <w:ind w:left="480" w:leftChars="0" w:firstLine="0" w:firstLineChars="0"/>
        <w:rPr>
          <w:rFonts w:hint="default" w:ascii="Times New Roman" w:hAnsi="Times New Roman" w:cs="Times New Roman"/>
          <w:color w:val="0000FF"/>
          <w:highlight w:val="none"/>
        </w:rPr>
      </w:pPr>
      <w:r>
        <w:rPr>
          <w:rFonts w:hint="default" w:ascii="Times New Roman" w:hAnsi="Times New Roman" w:cs="Times New Roman"/>
          <w:color w:val="0000FF"/>
          <w:highlight w:val="none"/>
        </w:rPr>
        <w:t>土壤环境现状监测与评价</w:t>
      </w:r>
    </w:p>
    <w:p>
      <w:pPr>
        <w:rPr>
          <w:rFonts w:hint="default"/>
          <w:b/>
          <w:bCs/>
          <w:color w:val="0000FF"/>
          <w:highlight w:val="none"/>
          <w:lang w:val="en-US" w:eastAsia="zh-CN"/>
        </w:rPr>
      </w:pPr>
      <w:r>
        <w:rPr>
          <w:rFonts w:hint="eastAsia"/>
          <w:b/>
          <w:bCs/>
          <w:color w:val="0000FF"/>
          <w:highlight w:val="none"/>
          <w:lang w:val="en-US" w:eastAsia="zh-CN"/>
        </w:rPr>
        <w:t>1、检测方案</w:t>
      </w:r>
    </w:p>
    <w:p>
      <w:pPr>
        <w:rPr>
          <w:rFonts w:hint="eastAsia"/>
          <w:color w:val="0000FF"/>
          <w:highlight w:val="none"/>
          <w:lang w:val="en-US" w:eastAsia="zh-CN"/>
        </w:rPr>
      </w:pPr>
      <w:r>
        <w:rPr>
          <w:rFonts w:hint="eastAsia"/>
          <w:color w:val="0000FF"/>
          <w:highlight w:val="none"/>
          <w:lang w:val="en-US" w:eastAsia="zh-CN"/>
        </w:rPr>
        <w:t>为了解区域土壤环境现状，委托云南浩辰环保科技有限公司于2024年4月13日进行一次采样，检测方案如下：</w:t>
      </w:r>
    </w:p>
    <w:p>
      <w:pPr>
        <w:spacing w:line="240" w:lineRule="auto"/>
        <w:jc w:val="center"/>
        <w:rPr>
          <w:rFonts w:hint="default"/>
          <w:b/>
          <w:bCs/>
          <w:color w:val="0000FF"/>
          <w:highlight w:val="none"/>
          <w:lang w:val="en-US" w:eastAsia="zh-CN"/>
        </w:rPr>
      </w:pPr>
      <w:r>
        <w:rPr>
          <w:rFonts w:hint="eastAsia"/>
          <w:b/>
          <w:bCs/>
          <w:color w:val="0000FF"/>
          <w:highlight w:val="none"/>
          <w:lang w:val="en-US" w:eastAsia="zh-CN"/>
        </w:rPr>
        <w:t>表4.2.4-2  土壤现状检测方案一览表</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6"/>
        <w:gridCol w:w="438"/>
        <w:gridCol w:w="468"/>
        <w:gridCol w:w="1209"/>
        <w:gridCol w:w="2966"/>
        <w:gridCol w:w="862"/>
        <w:gridCol w:w="19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71" w:type="pct"/>
            <w:gridSpan w:val="3"/>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点位</w:t>
            </w:r>
          </w:p>
        </w:tc>
        <w:tc>
          <w:tcPr>
            <w:tcW w:w="800"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lang w:val="en-US" w:eastAsia="zh-CN"/>
              </w:rPr>
            </w:pPr>
            <w:r>
              <w:rPr>
                <w:rFonts w:hint="default" w:ascii="Times New Roman" w:hAnsi="Times New Roman" w:cs="Times New Roman"/>
                <w:color w:val="0000FF"/>
                <w:sz w:val="21"/>
                <w:szCs w:val="21"/>
                <w:lang w:val="en-US" w:eastAsia="zh-CN"/>
              </w:rPr>
              <w:t>位置</w:t>
            </w:r>
          </w:p>
        </w:tc>
        <w:tc>
          <w:tcPr>
            <w:tcW w:w="183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监测因子</w:t>
            </w:r>
          </w:p>
        </w:tc>
        <w:tc>
          <w:tcPr>
            <w:tcW w:w="440"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采样深度</w:t>
            </w:r>
          </w:p>
        </w:tc>
        <w:tc>
          <w:tcPr>
            <w:tcW w:w="755"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lang w:eastAsia="zh-CN"/>
              </w:rPr>
            </w:pPr>
            <w:r>
              <w:rPr>
                <w:rFonts w:hint="default" w:ascii="Times New Roman" w:hAnsi="Times New Roman" w:cs="Times New Roman"/>
                <w:color w:val="0000FF"/>
                <w:sz w:val="21"/>
                <w:szCs w:val="21"/>
                <w:lang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1" w:hRule="atLeast"/>
          <w:jc w:val="center"/>
        </w:trPr>
        <w:tc>
          <w:tcPr>
            <w:tcW w:w="45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lang w:eastAsia="zh-CN"/>
              </w:rPr>
            </w:pPr>
            <w:r>
              <w:rPr>
                <w:rFonts w:hint="default" w:ascii="Times New Roman" w:hAnsi="Times New Roman" w:cs="Times New Roman"/>
                <w:color w:val="0000FF"/>
                <w:sz w:val="21"/>
                <w:szCs w:val="21"/>
                <w:lang w:eastAsia="zh-CN"/>
              </w:rPr>
              <w:t>占地范围内</w:t>
            </w:r>
          </w:p>
        </w:tc>
        <w:tc>
          <w:tcPr>
            <w:tcW w:w="279"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lang w:eastAsia="zh-CN"/>
              </w:rPr>
            </w:pPr>
            <w:r>
              <w:rPr>
                <w:rFonts w:hint="default" w:ascii="Times New Roman" w:hAnsi="Times New Roman" w:cs="Times New Roman"/>
                <w:color w:val="0000FF"/>
                <w:sz w:val="21"/>
                <w:szCs w:val="21"/>
              </w:rPr>
              <w:t>S</w:t>
            </w:r>
            <w:r>
              <w:rPr>
                <w:rFonts w:hint="default" w:ascii="Times New Roman" w:hAnsi="Times New Roman" w:cs="Times New Roman"/>
                <w:color w:val="0000FF"/>
                <w:sz w:val="21"/>
                <w:szCs w:val="21"/>
                <w:lang w:val="en-US" w:eastAsia="zh-CN"/>
              </w:rPr>
              <w:t>1</w:t>
            </w:r>
          </w:p>
        </w:tc>
        <w:tc>
          <w:tcPr>
            <w:tcW w:w="43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eastAsia="zh-CN"/>
              </w:rPr>
              <w:t>表层样</w:t>
            </w:r>
          </w:p>
        </w:tc>
        <w:tc>
          <w:tcPr>
            <w:tcW w:w="800"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高位水池</w:t>
            </w:r>
          </w:p>
        </w:tc>
        <w:tc>
          <w:tcPr>
            <w:tcW w:w="183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lang w:val="en-US" w:eastAsia="zh-CN"/>
              </w:rPr>
            </w:pPr>
            <w:r>
              <w:rPr>
                <w:rFonts w:hint="default" w:ascii="Times New Roman" w:hAnsi="Times New Roman" w:cs="Times New Roman"/>
                <w:color w:val="0000FF"/>
                <w:sz w:val="21"/>
                <w:szCs w:val="21"/>
                <w:highlight w:val="none"/>
              </w:rPr>
              <w:t>铜、镉、铬（六价）、砷、汞、铅、镍、挥发性有机物（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半挥发性有机物（硝基苯、苯胺、2-氯酚、苯并[a]蒽、苯并[a]芘、苯并[b]荧蒽、苯并[k]荧蒽、䓛、二苯并[a,h]蒽、茚并[1,2,3-cd]芘、萘）</w:t>
            </w:r>
            <w:r>
              <w:rPr>
                <w:rFonts w:hint="default" w:ascii="Times New Roman" w:hAnsi="Times New Roman" w:cs="Times New Roman"/>
                <w:color w:val="0000FF"/>
                <w:sz w:val="21"/>
                <w:szCs w:val="21"/>
                <w:highlight w:val="none"/>
                <w:lang w:eastAsia="zh-CN"/>
              </w:rPr>
              <w:t>、</w:t>
            </w:r>
            <w:r>
              <w:rPr>
                <w:rFonts w:hint="default" w:ascii="Times New Roman" w:hAnsi="Times New Roman" w:cs="Times New Roman"/>
                <w:color w:val="0000FF"/>
                <w:sz w:val="21"/>
                <w:szCs w:val="21"/>
              </w:rPr>
              <w:t>pH</w:t>
            </w:r>
            <w:r>
              <w:rPr>
                <w:rFonts w:hint="default" w:ascii="Times New Roman" w:hAnsi="Times New Roman" w:cs="Times New Roman"/>
                <w:color w:val="0000FF"/>
                <w:sz w:val="21"/>
                <w:szCs w:val="21"/>
                <w:lang w:val="en-US" w:eastAsia="zh-CN"/>
              </w:rPr>
              <w:t>和共46项。</w:t>
            </w:r>
          </w:p>
        </w:tc>
        <w:tc>
          <w:tcPr>
            <w:tcW w:w="440"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在0~0.2m取样</w:t>
            </w:r>
          </w:p>
        </w:tc>
        <w:tc>
          <w:tcPr>
            <w:tcW w:w="755"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《土壤环境质量标准-建设用地</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土壤污染风险管控标准》（GB36600-2018）第二类项目筛选值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8" w:type="pct"/>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lang w:eastAsia="zh-CN"/>
              </w:rPr>
            </w:pPr>
            <w:r>
              <w:rPr>
                <w:rFonts w:hint="default" w:ascii="Times New Roman" w:hAnsi="Times New Roman" w:cs="Times New Roman"/>
                <w:color w:val="0000FF"/>
                <w:sz w:val="21"/>
                <w:szCs w:val="21"/>
                <w:lang w:eastAsia="zh-CN"/>
              </w:rPr>
              <w:t>占地范围外</w:t>
            </w:r>
          </w:p>
        </w:tc>
        <w:tc>
          <w:tcPr>
            <w:tcW w:w="279"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S</w:t>
            </w:r>
            <w:r>
              <w:rPr>
                <w:rFonts w:hint="default" w:ascii="Times New Roman" w:hAnsi="Times New Roman" w:cs="Times New Roman"/>
                <w:color w:val="0000FF"/>
                <w:sz w:val="21"/>
                <w:szCs w:val="21"/>
                <w:lang w:val="en-US" w:eastAsia="zh-CN"/>
              </w:rPr>
              <w:t>2</w:t>
            </w:r>
          </w:p>
        </w:tc>
        <w:tc>
          <w:tcPr>
            <w:tcW w:w="43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eastAsia="zh-CN"/>
              </w:rPr>
              <w:t>表层样</w:t>
            </w:r>
          </w:p>
        </w:tc>
        <w:tc>
          <w:tcPr>
            <w:tcW w:w="800"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平坦提水泵站旁农田</w:t>
            </w:r>
          </w:p>
        </w:tc>
        <w:tc>
          <w:tcPr>
            <w:tcW w:w="1832" w:type="pct"/>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eastAsiaTheme="minorEastAsia"/>
                <w:color w:val="0000FF"/>
                <w:sz w:val="21"/>
                <w:szCs w:val="21"/>
                <w:lang w:eastAsia="zh-CN"/>
              </w:rPr>
            </w:pPr>
            <w:r>
              <w:rPr>
                <w:rFonts w:hint="default" w:ascii="Times New Roman" w:hAnsi="Times New Roman" w:cs="Times New Roman"/>
                <w:color w:val="0000FF"/>
                <w:sz w:val="21"/>
                <w:szCs w:val="21"/>
                <w:lang w:val="en-US" w:eastAsia="zh-CN"/>
              </w:rPr>
              <w:t>pH、</w:t>
            </w:r>
            <w:r>
              <w:rPr>
                <w:rFonts w:hint="default" w:ascii="Times New Roman" w:hAnsi="Times New Roman" w:cs="Times New Roman"/>
                <w:color w:val="0000FF"/>
                <w:sz w:val="21"/>
                <w:szCs w:val="21"/>
              </w:rPr>
              <w:t>铜、镉、</w:t>
            </w:r>
            <w:r>
              <w:rPr>
                <w:rFonts w:hint="default" w:ascii="Times New Roman" w:hAnsi="Times New Roman" w:cs="Times New Roman"/>
                <w:color w:val="0000FF"/>
                <w:sz w:val="21"/>
                <w:szCs w:val="21"/>
                <w:lang w:eastAsia="zh-CN"/>
              </w:rPr>
              <w:t>总</w:t>
            </w:r>
            <w:r>
              <w:rPr>
                <w:rFonts w:hint="default" w:ascii="Times New Roman" w:hAnsi="Times New Roman" w:cs="Times New Roman"/>
                <w:color w:val="0000FF"/>
                <w:sz w:val="21"/>
                <w:szCs w:val="21"/>
              </w:rPr>
              <w:t>铬、砷、汞、铅、镍</w:t>
            </w:r>
            <w:r>
              <w:rPr>
                <w:rFonts w:hint="default" w:ascii="Times New Roman" w:hAnsi="Times New Roman" w:cs="Times New Roman"/>
                <w:color w:val="0000FF"/>
                <w:sz w:val="21"/>
                <w:szCs w:val="21"/>
                <w:lang w:eastAsia="zh-CN"/>
              </w:rPr>
              <w:t>、锌</w:t>
            </w:r>
          </w:p>
        </w:tc>
        <w:tc>
          <w:tcPr>
            <w:tcW w:w="440" w:type="pct"/>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在0~0.2m取样</w:t>
            </w:r>
          </w:p>
        </w:tc>
        <w:tc>
          <w:tcPr>
            <w:tcW w:w="755" w:type="pct"/>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《土壤环境质量-农用地土壤污染风险管控标准》（GB15618-218）其他筛选值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8"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rPr>
            </w:pPr>
          </w:p>
        </w:tc>
        <w:tc>
          <w:tcPr>
            <w:tcW w:w="279"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S</w:t>
            </w:r>
            <w:r>
              <w:rPr>
                <w:rFonts w:hint="eastAsia" w:ascii="Times New Roman" w:hAnsi="Times New Roman" w:cs="Times New Roman"/>
                <w:color w:val="0000FF"/>
                <w:sz w:val="21"/>
                <w:szCs w:val="21"/>
                <w:lang w:val="en-US" w:eastAsia="zh-CN"/>
              </w:rPr>
              <w:t>3</w:t>
            </w:r>
          </w:p>
        </w:tc>
        <w:tc>
          <w:tcPr>
            <w:tcW w:w="43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eastAsia="zh-CN"/>
              </w:rPr>
              <w:t>表层样</w:t>
            </w:r>
          </w:p>
        </w:tc>
        <w:tc>
          <w:tcPr>
            <w:tcW w:w="800"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白秧树提水泵站旁农田</w:t>
            </w:r>
          </w:p>
        </w:tc>
        <w:tc>
          <w:tcPr>
            <w:tcW w:w="1832"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rPr>
            </w:pPr>
          </w:p>
        </w:tc>
        <w:tc>
          <w:tcPr>
            <w:tcW w:w="440"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rPr>
            </w:pPr>
          </w:p>
        </w:tc>
        <w:tc>
          <w:tcPr>
            <w:tcW w:w="755" w:type="pct"/>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rPr>
            </w:pPr>
          </w:p>
        </w:tc>
      </w:tr>
    </w:tbl>
    <w:p>
      <w:pPr>
        <w:ind w:firstLine="482"/>
        <w:rPr>
          <w:rFonts w:hint="default" w:ascii="Times New Roman" w:hAnsi="Times New Roman" w:cs="Times New Roman"/>
          <w:b/>
          <w:bCs/>
          <w:color w:val="0000FF"/>
          <w:highlight w:val="none"/>
        </w:rPr>
      </w:pPr>
      <w:r>
        <w:rPr>
          <w:rFonts w:hint="eastAsia"/>
          <w:b/>
          <w:bCs/>
          <w:color w:val="0000FF"/>
          <w:highlight w:val="none"/>
          <w:lang w:val="en-US" w:eastAsia="zh-CN"/>
        </w:rPr>
        <w:t>2、</w:t>
      </w:r>
      <w:r>
        <w:rPr>
          <w:rFonts w:hint="default" w:ascii="Times New Roman" w:hAnsi="Times New Roman" w:cs="Times New Roman"/>
          <w:b/>
          <w:bCs/>
          <w:color w:val="0000FF"/>
          <w:highlight w:val="none"/>
        </w:rPr>
        <w:t>评价方法</w:t>
      </w:r>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采用单因子污染指数法，即将监测结果与评价标准相比较。</w:t>
      </w:r>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污染指数由下式计算：</w:t>
      </w:r>
    </w:p>
    <w:p>
      <w:pPr>
        <w:ind w:firstLine="480"/>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drawing>
          <wp:inline distT="0" distB="0" distL="114300" distR="114300">
            <wp:extent cx="4297680" cy="1203325"/>
            <wp:effectExtent l="0" t="0" r="0" b="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61"/>
                    <a:srcRect t="4726"/>
                    <a:stretch>
                      <a:fillRect/>
                    </a:stretch>
                  </pic:blipFill>
                  <pic:spPr>
                    <a:xfrm>
                      <a:off x="0" y="0"/>
                      <a:ext cx="4297680" cy="1203325"/>
                    </a:xfrm>
                    <a:prstGeom prst="rect">
                      <a:avLst/>
                    </a:prstGeom>
                    <a:noFill/>
                    <a:ln>
                      <a:noFill/>
                    </a:ln>
                  </pic:spPr>
                </pic:pic>
              </a:graphicData>
            </a:graphic>
          </wp:inline>
        </w:drawing>
      </w:r>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土壤的污染等级划分如表</w:t>
      </w:r>
      <w:r>
        <w:rPr>
          <w:rFonts w:hint="eastAsia" w:ascii="Times New Roman" w:hAnsi="Times New Roman" w:cs="Times New Roman"/>
          <w:color w:val="0000FF"/>
          <w:highlight w:val="none"/>
          <w:lang w:val="en-US" w:eastAsia="zh-CN"/>
        </w:rPr>
        <w:t>4.2.4</w:t>
      </w:r>
      <w:r>
        <w:rPr>
          <w:rFonts w:hint="default" w:ascii="Times New Roman" w:hAnsi="Times New Roman" w:cs="Times New Roman"/>
          <w:color w:val="0000FF"/>
          <w:highlight w:val="none"/>
        </w:rPr>
        <w:t>-3。</w:t>
      </w:r>
    </w:p>
    <w:p>
      <w:pPr>
        <w:spacing w:line="240" w:lineRule="auto"/>
        <w:ind w:firstLine="482"/>
        <w:jc w:val="center"/>
        <w:rPr>
          <w:rFonts w:hint="default" w:ascii="Times New Roman" w:hAnsi="Times New Roman" w:cs="Times New Roman"/>
          <w:b/>
          <w:color w:val="0000FF"/>
          <w:highlight w:val="none"/>
        </w:rPr>
      </w:pPr>
    </w:p>
    <w:p>
      <w:pPr>
        <w:spacing w:line="240" w:lineRule="auto"/>
        <w:ind w:firstLine="482"/>
        <w:jc w:val="center"/>
        <w:rPr>
          <w:rFonts w:hint="default" w:ascii="Times New Roman" w:hAnsi="Times New Roman" w:cs="Times New Roman"/>
          <w:b/>
          <w:color w:val="0000FF"/>
          <w:highlight w:val="none"/>
        </w:rPr>
      </w:pPr>
      <w:r>
        <w:rPr>
          <w:rFonts w:hint="default" w:ascii="Times New Roman" w:hAnsi="Times New Roman" w:cs="Times New Roman"/>
          <w:b/>
          <w:color w:val="0000FF"/>
          <w:highlight w:val="none"/>
        </w:rPr>
        <w:t>表</w:t>
      </w:r>
      <w:r>
        <w:rPr>
          <w:rFonts w:hint="eastAsia" w:ascii="Times New Roman" w:hAnsi="Times New Roman" w:cs="Times New Roman"/>
          <w:b/>
          <w:color w:val="0000FF"/>
          <w:highlight w:val="none"/>
          <w:lang w:val="en-US" w:eastAsia="zh-CN"/>
        </w:rPr>
        <w:t>4.2.4</w:t>
      </w:r>
      <w:r>
        <w:rPr>
          <w:rFonts w:hint="default" w:ascii="Times New Roman" w:hAnsi="Times New Roman" w:cs="Times New Roman"/>
          <w:b/>
          <w:color w:val="0000FF"/>
          <w:highlight w:val="none"/>
        </w:rPr>
        <w:t>-3  土壤污染等级划分表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3"/>
        <w:gridCol w:w="1703"/>
        <w:gridCol w:w="1704"/>
        <w:gridCol w:w="1704"/>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703" w:type="dxa"/>
            <w:noWrap w:val="0"/>
            <w:vAlign w:val="center"/>
          </w:tcPr>
          <w:p>
            <w:pPr>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污染级别</w:t>
            </w:r>
          </w:p>
        </w:tc>
        <w:tc>
          <w:tcPr>
            <w:tcW w:w="1703" w:type="dxa"/>
            <w:tcBorders>
              <w:bottom w:val="single" w:color="auto" w:sz="4" w:space="0"/>
            </w:tcBorders>
            <w:noWrap w:val="0"/>
            <w:vAlign w:val="center"/>
          </w:tcPr>
          <w:p>
            <w:pPr>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清洁级</w:t>
            </w:r>
          </w:p>
        </w:tc>
        <w:tc>
          <w:tcPr>
            <w:tcW w:w="1704" w:type="dxa"/>
            <w:noWrap w:val="0"/>
            <w:vAlign w:val="center"/>
          </w:tcPr>
          <w:p>
            <w:pPr>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轻污染级</w:t>
            </w:r>
          </w:p>
        </w:tc>
        <w:tc>
          <w:tcPr>
            <w:tcW w:w="1704" w:type="dxa"/>
            <w:noWrap w:val="0"/>
            <w:vAlign w:val="center"/>
          </w:tcPr>
          <w:p>
            <w:pPr>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中污染级</w:t>
            </w:r>
          </w:p>
        </w:tc>
        <w:tc>
          <w:tcPr>
            <w:tcW w:w="1705" w:type="dxa"/>
            <w:noWrap w:val="0"/>
            <w:vAlign w:val="center"/>
          </w:tcPr>
          <w:p>
            <w:pPr>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重污染级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703" w:type="dxa"/>
            <w:shd w:val="clear" w:color="auto" w:fill="auto"/>
            <w:noWrap w:val="0"/>
            <w:vAlign w:val="center"/>
          </w:tcPr>
          <w:p>
            <w:pPr>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污染指数</w:t>
            </w:r>
          </w:p>
        </w:tc>
        <w:tc>
          <w:tcPr>
            <w:tcW w:w="1703" w:type="dxa"/>
            <w:shd w:val="clear" w:color="auto" w:fill="DDDDDD"/>
            <w:noWrap w:val="0"/>
            <w:vAlign w:val="center"/>
          </w:tcPr>
          <w:p>
            <w:pPr>
              <w:spacing w:line="240" w:lineRule="auto"/>
              <w:ind w:firstLine="0" w:firstLineChars="0"/>
              <w:jc w:val="center"/>
              <w:rPr>
                <w:rFonts w:hint="default" w:ascii="Times New Roman" w:hAnsi="Times New Roman" w:cs="Times New Roman"/>
                <w:i/>
                <w:color w:val="0000FF"/>
                <w:sz w:val="21"/>
                <w:szCs w:val="21"/>
                <w:highlight w:val="none"/>
              </w:rPr>
            </w:pPr>
            <w:r>
              <w:rPr>
                <w:rFonts w:hint="default" w:ascii="Times New Roman" w:hAnsi="Times New Roman" w:cs="Times New Roman"/>
                <w:i/>
                <w:color w:val="0000FF"/>
                <w:sz w:val="21"/>
                <w:szCs w:val="21"/>
                <w:highlight w:val="none"/>
              </w:rPr>
              <w:t>P</w:t>
            </w:r>
            <w:r>
              <w:rPr>
                <w:rFonts w:hint="default" w:ascii="Times New Roman" w:hAnsi="Times New Roman" w:cs="Times New Roman"/>
                <w:i/>
                <w:color w:val="0000FF"/>
                <w:sz w:val="21"/>
                <w:szCs w:val="21"/>
                <w:highlight w:val="none"/>
                <w:vertAlign w:val="subscript"/>
              </w:rPr>
              <w:t>i</w:t>
            </w:r>
            <w:r>
              <w:rPr>
                <w:rFonts w:hint="default" w:ascii="Times New Roman" w:hAnsi="Times New Roman" w:cs="Times New Roman"/>
                <w:color w:val="0000FF"/>
                <w:sz w:val="21"/>
                <w:szCs w:val="21"/>
                <w:highlight w:val="none"/>
              </w:rPr>
              <w:t>＜1</w:t>
            </w:r>
          </w:p>
        </w:tc>
        <w:tc>
          <w:tcPr>
            <w:tcW w:w="1704" w:type="dxa"/>
            <w:noWrap w:val="0"/>
            <w:vAlign w:val="center"/>
          </w:tcPr>
          <w:p>
            <w:pPr>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i/>
                <w:color w:val="0000FF"/>
                <w:sz w:val="21"/>
                <w:szCs w:val="21"/>
                <w:highlight w:val="none"/>
              </w:rPr>
              <w:t>1≤P</w:t>
            </w:r>
            <w:r>
              <w:rPr>
                <w:rFonts w:hint="default" w:ascii="Times New Roman" w:hAnsi="Times New Roman" w:cs="Times New Roman"/>
                <w:i/>
                <w:color w:val="0000FF"/>
                <w:sz w:val="21"/>
                <w:szCs w:val="21"/>
                <w:highlight w:val="none"/>
                <w:vertAlign w:val="subscript"/>
              </w:rPr>
              <w:t>i</w:t>
            </w:r>
            <w:r>
              <w:rPr>
                <w:rFonts w:hint="default" w:ascii="Times New Roman" w:hAnsi="Times New Roman" w:cs="Times New Roman"/>
                <w:color w:val="0000FF"/>
                <w:sz w:val="21"/>
                <w:szCs w:val="21"/>
                <w:highlight w:val="none"/>
              </w:rPr>
              <w:t>＜2</w:t>
            </w:r>
          </w:p>
        </w:tc>
        <w:tc>
          <w:tcPr>
            <w:tcW w:w="1704" w:type="dxa"/>
            <w:noWrap w:val="0"/>
            <w:vAlign w:val="center"/>
          </w:tcPr>
          <w:p>
            <w:pPr>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i/>
                <w:color w:val="0000FF"/>
                <w:sz w:val="21"/>
                <w:szCs w:val="21"/>
                <w:highlight w:val="none"/>
              </w:rPr>
              <w:t>2≤P</w:t>
            </w:r>
            <w:r>
              <w:rPr>
                <w:rFonts w:hint="default" w:ascii="Times New Roman" w:hAnsi="Times New Roman" w:cs="Times New Roman"/>
                <w:i/>
                <w:color w:val="0000FF"/>
                <w:sz w:val="21"/>
                <w:szCs w:val="21"/>
                <w:highlight w:val="none"/>
                <w:vertAlign w:val="subscript"/>
              </w:rPr>
              <w:t>i</w:t>
            </w:r>
            <w:r>
              <w:rPr>
                <w:rFonts w:hint="default" w:ascii="Times New Roman" w:hAnsi="Times New Roman" w:cs="Times New Roman"/>
                <w:color w:val="0000FF"/>
                <w:sz w:val="21"/>
                <w:szCs w:val="21"/>
                <w:highlight w:val="none"/>
              </w:rPr>
              <w:t>＜3</w:t>
            </w:r>
          </w:p>
        </w:tc>
        <w:tc>
          <w:tcPr>
            <w:tcW w:w="1705" w:type="dxa"/>
            <w:noWrap w:val="0"/>
            <w:vAlign w:val="center"/>
          </w:tcPr>
          <w:p>
            <w:pPr>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i/>
                <w:color w:val="0000FF"/>
                <w:sz w:val="21"/>
                <w:szCs w:val="21"/>
                <w:highlight w:val="none"/>
              </w:rPr>
              <w:t>P</w:t>
            </w:r>
            <w:r>
              <w:rPr>
                <w:rFonts w:hint="default" w:ascii="Times New Roman" w:hAnsi="Times New Roman" w:cs="Times New Roman"/>
                <w:i/>
                <w:color w:val="0000FF"/>
                <w:sz w:val="21"/>
                <w:szCs w:val="21"/>
                <w:highlight w:val="none"/>
                <w:vertAlign w:val="subscript"/>
              </w:rPr>
              <w:t>i</w:t>
            </w:r>
            <w:r>
              <w:rPr>
                <w:rFonts w:hint="default" w:ascii="Times New Roman" w:hAnsi="Times New Roman" w:cs="Times New Roman"/>
                <w:color w:val="0000FF"/>
                <w:sz w:val="21"/>
                <w:szCs w:val="21"/>
                <w:highlight w:val="none"/>
              </w:rPr>
              <w:t>≥3</w:t>
            </w:r>
          </w:p>
        </w:tc>
      </w:tr>
    </w:tbl>
    <w:p>
      <w:pPr>
        <w:ind w:firstLine="482"/>
        <w:rPr>
          <w:rFonts w:hint="default" w:ascii="Times New Roman" w:hAnsi="Times New Roman" w:cs="Times New Roman"/>
          <w:b/>
          <w:bCs/>
          <w:color w:val="0000FF"/>
          <w:highlight w:val="none"/>
        </w:rPr>
      </w:pPr>
      <w:r>
        <w:rPr>
          <w:rFonts w:hint="eastAsia"/>
          <w:b/>
          <w:bCs/>
          <w:color w:val="0000FF"/>
          <w:highlight w:val="none"/>
          <w:lang w:val="en-US" w:eastAsia="zh-CN"/>
        </w:rPr>
        <w:t>3、</w:t>
      </w:r>
      <w:r>
        <w:rPr>
          <w:rFonts w:hint="default" w:ascii="Times New Roman" w:hAnsi="Times New Roman" w:cs="Times New Roman"/>
          <w:b/>
          <w:bCs/>
          <w:color w:val="0000FF"/>
          <w:highlight w:val="none"/>
        </w:rPr>
        <w:t>监测结果分析与评价</w:t>
      </w:r>
    </w:p>
    <w:p>
      <w:pPr>
        <w:rPr>
          <w:rFonts w:hint="default" w:ascii="Times New Roman" w:hAnsi="Times New Roman" w:cs="Times New Roman"/>
          <w:color w:val="0000FF"/>
          <w:highlight w:val="none"/>
        </w:rPr>
      </w:pPr>
      <w:r>
        <w:rPr>
          <w:rFonts w:hint="default" w:ascii="Times New Roman" w:hAnsi="Times New Roman" w:cs="Times New Roman"/>
          <w:color w:val="0000FF"/>
          <w:highlight w:val="none"/>
        </w:rPr>
        <w:t>工程</w:t>
      </w:r>
      <w:r>
        <w:rPr>
          <w:rFonts w:hint="eastAsia" w:ascii="Times New Roman" w:hAnsi="Times New Roman" w:cs="Times New Roman"/>
          <w:color w:val="0000FF"/>
          <w:highlight w:val="none"/>
          <w:lang w:val="en-US" w:eastAsia="zh-CN"/>
        </w:rPr>
        <w:t>占地范围内</w:t>
      </w:r>
      <w:r>
        <w:rPr>
          <w:rFonts w:hint="default" w:ascii="Times New Roman" w:hAnsi="Times New Roman" w:cs="Times New Roman"/>
          <w:color w:val="0000FF"/>
          <w:highlight w:val="none"/>
        </w:rPr>
        <w:t>土壤监测结果如</w:t>
      </w:r>
      <w:r>
        <w:rPr>
          <w:rFonts w:hint="eastAsia" w:ascii="Times New Roman" w:hAnsi="Times New Roman" w:cs="Times New Roman"/>
          <w:color w:val="0000FF"/>
          <w:highlight w:val="none"/>
          <w:lang w:val="en-US" w:eastAsia="zh-CN"/>
        </w:rPr>
        <w:t>表4.2.4-4</w:t>
      </w:r>
      <w:r>
        <w:rPr>
          <w:rFonts w:hint="default" w:ascii="Times New Roman" w:hAnsi="Times New Roman" w:cs="Times New Roman"/>
          <w:color w:val="0000FF"/>
          <w:highlight w:val="none"/>
        </w:rPr>
        <w:t>所示。</w:t>
      </w:r>
    </w:p>
    <w:p>
      <w:pPr>
        <w:spacing w:line="240" w:lineRule="auto"/>
        <w:jc w:val="center"/>
        <w:rPr>
          <w:rFonts w:hint="default" w:eastAsia="宋体"/>
          <w:b/>
          <w:bCs/>
          <w:color w:val="0000FF"/>
          <w:highlight w:val="none"/>
          <w:lang w:val="en-US" w:eastAsia="zh-CN"/>
        </w:rPr>
      </w:pPr>
      <w:r>
        <w:rPr>
          <w:rFonts w:hint="eastAsia" w:ascii="Times New Roman" w:hAnsi="Times New Roman" w:cs="Times New Roman"/>
          <w:b/>
          <w:bCs/>
          <w:color w:val="0000FF"/>
          <w:highlight w:val="none"/>
          <w:lang w:val="en-US" w:eastAsia="zh-CN"/>
        </w:rPr>
        <w:t>4.2.4-4   占地范围内土壤表层样点检测结果一览表</w:t>
      </w:r>
    </w:p>
    <w:tbl>
      <w:tblPr>
        <w:tblStyle w:val="29"/>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736"/>
        <w:gridCol w:w="1381"/>
        <w:gridCol w:w="1359"/>
        <w:gridCol w:w="1359"/>
        <w:gridCol w:w="16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项目</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监测结果</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标准</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标准指数</w:t>
            </w:r>
          </w:p>
        </w:tc>
        <w:tc>
          <w:tcPr>
            <w:tcW w:w="9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pH</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6.73</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0000FF"/>
                <w:sz w:val="21"/>
                <w:szCs w:val="21"/>
                <w:u w:val="none"/>
                <w:lang w:val="en-US" w:eastAsia="zh-CN"/>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砷</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12.6</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60</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eastAsia" w:cs="Times New Roman"/>
                <w:i w:val="0"/>
                <w:iCs w:val="0"/>
                <w:color w:val="0000FF"/>
                <w:sz w:val="21"/>
                <w:szCs w:val="21"/>
                <w:u w:val="none"/>
                <w:lang w:val="en-US" w:eastAsia="zh-CN"/>
              </w:rPr>
              <w:t>0.21</w:t>
            </w:r>
          </w:p>
        </w:tc>
        <w:tc>
          <w:tcPr>
            <w:tcW w:w="9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镉</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65</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2"/>
                <w:sz w:val="21"/>
                <w:szCs w:val="21"/>
                <w:u w:val="none"/>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 xml:space="preserve">0.0046 </w:t>
            </w:r>
          </w:p>
        </w:tc>
        <w:tc>
          <w:tcPr>
            <w:tcW w:w="9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六价铬</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Style w:val="116"/>
                <w:rFonts w:hint="default" w:ascii="Times New Roman" w:hAnsi="Times New Roman" w:eastAsia="宋体" w:cs="Times New Roman"/>
                <w:color w:val="0000FF"/>
                <w:sz w:val="21"/>
                <w:szCs w:val="21"/>
                <w:lang w:val="en-US" w:eastAsia="zh-CN" w:bidi="ar"/>
              </w:rPr>
              <w:t>0.5L</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5.7</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eastAsia" w:cs="Times New Roman"/>
                <w:i w:val="0"/>
                <w:iCs w:val="0"/>
                <w:color w:val="0000FF"/>
                <w:sz w:val="21"/>
                <w:szCs w:val="21"/>
                <w:u w:val="none"/>
                <w:lang w:val="en-US" w:eastAsia="zh-CN"/>
              </w:rPr>
              <w:t>0.04</w:t>
            </w:r>
          </w:p>
        </w:tc>
        <w:tc>
          <w:tcPr>
            <w:tcW w:w="9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铜</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17</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18000</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 xml:space="preserve">0.0009 </w:t>
            </w:r>
          </w:p>
        </w:tc>
        <w:tc>
          <w:tcPr>
            <w:tcW w:w="9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铅</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21.8</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800</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 xml:space="preserve">0.03 </w:t>
            </w:r>
          </w:p>
        </w:tc>
        <w:tc>
          <w:tcPr>
            <w:tcW w:w="9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汞</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0.046</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38</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 xml:space="preserve">0.00 </w:t>
            </w:r>
          </w:p>
        </w:tc>
        <w:tc>
          <w:tcPr>
            <w:tcW w:w="9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镍</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900</w:t>
            </w:r>
          </w:p>
        </w:tc>
        <w:tc>
          <w:tcPr>
            <w:tcW w:w="79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 xml:space="preserve">0.02 </w:t>
            </w:r>
          </w:p>
        </w:tc>
        <w:tc>
          <w:tcPr>
            <w:tcW w:w="98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四氯化碳</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2.8</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0000FF"/>
                <w:sz w:val="21"/>
                <w:szCs w:val="21"/>
                <w:u w:val="none"/>
                <w:lang w:val="en-US" w:eastAsia="zh-CN"/>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氯仿</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0.9</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氯甲烷</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37</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1,1-二氯乙烷</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9</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1,2-二氯乙烷</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5</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1,1-二氯乙烯</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66</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顺-1,2-二氯乙烯</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596</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反-1,2-二氯乙烯</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54</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二氯甲烷</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616</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1,2-二氯丙烷</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5</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1,1,1,2-四氯乙烷</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10</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1,1,2,2-四氯乙烷</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6.8</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四氯乙烯</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53</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1,1,1-三氯乙烷</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840</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1,1,2-三氯乙烷</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2.8</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三氯乙烯</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2.8</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1,2,3-三氯丙烷</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0.5</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氯乙烯</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0.43</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苯</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4</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氯苯</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270</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1,2-二氯苯</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560</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1,4-二氯苯</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20</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乙苯</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eastAsia" w:cs="Times New Roman"/>
                <w:i w:val="0"/>
                <w:iCs w:val="0"/>
                <w:color w:val="0000FF"/>
                <w:sz w:val="21"/>
                <w:szCs w:val="21"/>
                <w:u w:val="none"/>
                <w:lang w:val="en-US" w:eastAsia="zh-CN"/>
              </w:rPr>
              <w:t>12.6</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28</w:t>
            </w:r>
          </w:p>
        </w:tc>
        <w:tc>
          <w:tcPr>
            <w:tcW w:w="1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 xml:space="preserve">0.45 </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苯乙烯</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eastAsia" w:cs="Times New Roman"/>
                <w:i w:val="0"/>
                <w:iCs w:val="0"/>
                <w:color w:val="0000FF"/>
                <w:sz w:val="21"/>
                <w:szCs w:val="21"/>
                <w:u w:val="none"/>
                <w:lang w:val="en-US" w:eastAsia="zh-CN"/>
              </w:rPr>
              <w:t>16.8</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1290</w:t>
            </w:r>
          </w:p>
        </w:tc>
        <w:tc>
          <w:tcPr>
            <w:tcW w:w="1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 xml:space="preserve">0.01 </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甲苯</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eastAsia" w:cs="Times New Roman"/>
                <w:i w:val="0"/>
                <w:iCs w:val="0"/>
                <w:color w:val="0000FF"/>
                <w:sz w:val="21"/>
                <w:szCs w:val="21"/>
                <w:u w:val="none"/>
                <w:lang w:val="en-US" w:eastAsia="zh-CN"/>
              </w:rPr>
              <w:t>68.9</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1200</w:t>
            </w:r>
          </w:p>
        </w:tc>
        <w:tc>
          <w:tcPr>
            <w:tcW w:w="1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w:t>
            </w:r>
            <w:r>
              <w:rPr>
                <w:rFonts w:hint="eastAsia" w:cs="Times New Roman"/>
                <w:i w:val="0"/>
                <w:iCs w:val="0"/>
                <w:color w:val="0000FF"/>
                <w:kern w:val="0"/>
                <w:sz w:val="21"/>
                <w:szCs w:val="21"/>
                <w:u w:val="none"/>
                <w:lang w:val="en-US" w:eastAsia="zh-CN" w:bidi="ar"/>
              </w:rPr>
              <w:t>6</w:t>
            </w:r>
            <w:r>
              <w:rPr>
                <w:rFonts w:hint="default" w:ascii="Times New Roman" w:hAnsi="Times New Roman" w:eastAsia="宋体" w:cs="Times New Roman"/>
                <w:i w:val="0"/>
                <w:iCs w:val="0"/>
                <w:color w:val="0000FF"/>
                <w:kern w:val="0"/>
                <w:sz w:val="21"/>
                <w:szCs w:val="21"/>
                <w:u w:val="none"/>
                <w:lang w:val="en-US" w:eastAsia="zh-CN" w:bidi="ar"/>
              </w:rPr>
              <w:t xml:space="preserve"> </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间二甲苯+对二甲苯</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eastAsia" w:cs="Times New Roman"/>
                <w:i w:val="0"/>
                <w:iCs w:val="0"/>
                <w:color w:val="0000FF"/>
                <w:sz w:val="21"/>
                <w:szCs w:val="21"/>
                <w:u w:val="none"/>
                <w:lang w:val="en-US" w:eastAsia="zh-CN"/>
              </w:rPr>
              <w:t>52.8</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570</w:t>
            </w:r>
          </w:p>
        </w:tc>
        <w:tc>
          <w:tcPr>
            <w:tcW w:w="1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 xml:space="preserve">0.09 </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cs="Times New Roman"/>
                <w:color w:val="0000FF"/>
                <w:sz w:val="21"/>
                <w:szCs w:val="21"/>
                <w:highlight w:val="none"/>
              </w:rPr>
              <w:t>邻二甲苯</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eastAsia" w:cs="Times New Roman"/>
                <w:i w:val="0"/>
                <w:iCs w:val="0"/>
                <w:color w:val="0000FF"/>
                <w:sz w:val="21"/>
                <w:szCs w:val="21"/>
                <w:u w:val="none"/>
                <w:lang w:val="en-US" w:eastAsia="zh-CN"/>
              </w:rPr>
              <w:t>10.7</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640</w:t>
            </w:r>
          </w:p>
        </w:tc>
        <w:tc>
          <w:tcPr>
            <w:tcW w:w="1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 xml:space="preserve">0.02 </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硝基苯</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76</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苯胺</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260</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2-氯酚</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2256</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苯并[a]蒽</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15</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苯并[a]芘</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1.5</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苯并[b]荧蒽</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15</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苯并[k]荧蒽</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151</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䓛</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1293</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二苯并[a,h]蒽</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1.5</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茚并[1,2,3-cd]芘</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15</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6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萘</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ND</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lang w:val="en-US" w:eastAsia="zh-CN"/>
              </w:rPr>
            </w:pPr>
            <w:r>
              <w:rPr>
                <w:rFonts w:hint="default" w:ascii="Times New Roman" w:hAnsi="Times New Roman" w:eastAsia="宋体" w:cs="Times New Roman"/>
                <w:i w:val="0"/>
                <w:iCs w:val="0"/>
                <w:color w:val="0000FF"/>
                <w:sz w:val="21"/>
                <w:szCs w:val="21"/>
                <w:u w:val="none"/>
                <w:lang w:val="en-US" w:eastAsia="zh-CN"/>
              </w:rPr>
              <w:t>70</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i w:val="0"/>
                <w:iCs w:val="0"/>
                <w:color w:val="0000FF"/>
                <w:sz w:val="21"/>
                <w:szCs w:val="21"/>
                <w:u w:val="none"/>
              </w:rPr>
            </w:pPr>
            <w:r>
              <w:rPr>
                <w:rFonts w:hint="eastAsia" w:cs="Times New Roman"/>
                <w:i w:val="0"/>
                <w:iCs w:val="0"/>
                <w:color w:val="0000FF"/>
                <w:sz w:val="21"/>
                <w:szCs w:val="21"/>
                <w:u w:val="none"/>
                <w:lang w:val="en-US" w:eastAsia="zh-CN"/>
              </w:rPr>
              <w:t>/</w:t>
            </w:r>
          </w:p>
        </w:tc>
        <w:tc>
          <w:tcPr>
            <w:tcW w:w="9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r>
    </w:tbl>
    <w:p>
      <w:pPr>
        <w:spacing w:line="360" w:lineRule="auto"/>
        <w:jc w:val="both"/>
        <w:rPr>
          <w:rFonts w:hint="default" w:ascii="Times New Roman" w:hAnsi="Times New Roman" w:cs="Times New Roman"/>
          <w:b w:val="0"/>
          <w:bCs w:val="0"/>
          <w:color w:val="0000FF"/>
          <w:highlight w:val="none"/>
          <w:lang w:val="en-US" w:eastAsia="zh-CN"/>
        </w:rPr>
      </w:pPr>
      <w:r>
        <w:rPr>
          <w:rFonts w:hint="eastAsia" w:ascii="Times New Roman" w:hAnsi="Times New Roman" w:cs="Times New Roman"/>
          <w:b w:val="0"/>
          <w:bCs w:val="0"/>
          <w:color w:val="0000FF"/>
          <w:highlight w:val="none"/>
          <w:lang w:val="en-US" w:eastAsia="zh-CN"/>
        </w:rPr>
        <w:t>根据上表可知：工程占地范围内土壤可满足《土壤环境质量标准-建设用地土壤污染风险管控标准》（GB36600-2018）第二类项目筛选值。</w:t>
      </w:r>
    </w:p>
    <w:p>
      <w:pPr>
        <w:rPr>
          <w:rFonts w:hint="default" w:ascii="Times New Roman" w:hAnsi="Times New Roman" w:cs="Times New Roman"/>
          <w:color w:val="0000FF"/>
          <w:highlight w:val="none"/>
        </w:rPr>
      </w:pPr>
      <w:r>
        <w:rPr>
          <w:rFonts w:hint="default" w:ascii="Times New Roman" w:hAnsi="Times New Roman" w:cs="Times New Roman"/>
          <w:color w:val="0000FF"/>
          <w:highlight w:val="none"/>
        </w:rPr>
        <w:t>工程</w:t>
      </w:r>
      <w:r>
        <w:rPr>
          <w:rFonts w:hint="eastAsia" w:ascii="Times New Roman" w:hAnsi="Times New Roman" w:cs="Times New Roman"/>
          <w:color w:val="0000FF"/>
          <w:highlight w:val="none"/>
          <w:lang w:val="en-US" w:eastAsia="zh-CN"/>
        </w:rPr>
        <w:t>占地范围外</w:t>
      </w:r>
      <w:r>
        <w:rPr>
          <w:rFonts w:hint="default" w:ascii="Times New Roman" w:hAnsi="Times New Roman" w:cs="Times New Roman"/>
          <w:color w:val="0000FF"/>
          <w:highlight w:val="none"/>
        </w:rPr>
        <w:t>土壤监测结果如</w:t>
      </w:r>
      <w:r>
        <w:rPr>
          <w:rFonts w:hint="eastAsia" w:ascii="Times New Roman" w:hAnsi="Times New Roman" w:cs="Times New Roman"/>
          <w:color w:val="0000FF"/>
          <w:highlight w:val="none"/>
          <w:lang w:val="en-US" w:eastAsia="zh-CN"/>
        </w:rPr>
        <w:t>表4.2.4-5</w:t>
      </w:r>
      <w:r>
        <w:rPr>
          <w:rFonts w:hint="default" w:ascii="Times New Roman" w:hAnsi="Times New Roman" w:cs="Times New Roman"/>
          <w:color w:val="0000FF"/>
          <w:highlight w:val="none"/>
        </w:rPr>
        <w:t>所示。</w:t>
      </w:r>
    </w:p>
    <w:p>
      <w:pPr>
        <w:spacing w:line="240" w:lineRule="auto"/>
        <w:jc w:val="center"/>
        <w:rPr>
          <w:rFonts w:hint="default" w:eastAsia="宋体"/>
          <w:b/>
          <w:bCs/>
          <w:color w:val="0000FF"/>
          <w:highlight w:val="none"/>
          <w:lang w:val="en-US" w:eastAsia="zh-CN"/>
        </w:rPr>
      </w:pPr>
      <w:r>
        <w:rPr>
          <w:rFonts w:hint="eastAsia" w:ascii="Times New Roman" w:hAnsi="Times New Roman" w:cs="Times New Roman"/>
          <w:b/>
          <w:bCs/>
          <w:color w:val="0000FF"/>
          <w:highlight w:val="none"/>
          <w:lang w:val="en-US" w:eastAsia="zh-CN"/>
        </w:rPr>
        <w:t>4.2.4-5   占地范围外土壤表层样点检测结果一览表</w:t>
      </w:r>
    </w:p>
    <w:tbl>
      <w:tblPr>
        <w:tblStyle w:val="29"/>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1073"/>
        <w:gridCol w:w="1034"/>
        <w:gridCol w:w="705"/>
        <w:gridCol w:w="705"/>
        <w:gridCol w:w="705"/>
        <w:gridCol w:w="705"/>
        <w:gridCol w:w="705"/>
        <w:gridCol w:w="706"/>
        <w:gridCol w:w="706"/>
        <w:gridCol w:w="7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2"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监测点位</w:t>
            </w:r>
          </w:p>
        </w:tc>
        <w:tc>
          <w:tcPr>
            <w:tcW w:w="630"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项目</w:t>
            </w:r>
          </w:p>
        </w:tc>
        <w:tc>
          <w:tcPr>
            <w:tcW w:w="60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pH</w:t>
            </w:r>
          </w:p>
        </w:tc>
        <w:tc>
          <w:tcPr>
            <w:tcW w:w="41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eastAsia" w:ascii="宋体" w:hAnsi="宋体" w:eastAsia="宋体" w:cs="宋体"/>
                <w:i w:val="0"/>
                <w:iCs w:val="0"/>
                <w:color w:val="0000FF"/>
                <w:kern w:val="0"/>
                <w:sz w:val="21"/>
                <w:szCs w:val="21"/>
                <w:u w:val="none"/>
                <w:lang w:val="en-US" w:eastAsia="zh-CN" w:bidi="ar"/>
              </w:rPr>
              <w:t>铜</w:t>
            </w:r>
          </w:p>
        </w:tc>
        <w:tc>
          <w:tcPr>
            <w:tcW w:w="41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eastAsia" w:ascii="宋体" w:hAnsi="宋体" w:eastAsia="宋体" w:cs="宋体"/>
                <w:i w:val="0"/>
                <w:iCs w:val="0"/>
                <w:color w:val="0000FF"/>
                <w:kern w:val="0"/>
                <w:sz w:val="21"/>
                <w:szCs w:val="21"/>
                <w:u w:val="none"/>
                <w:lang w:val="en-US" w:eastAsia="zh-CN" w:bidi="ar"/>
              </w:rPr>
              <w:t>镉</w:t>
            </w:r>
          </w:p>
        </w:tc>
        <w:tc>
          <w:tcPr>
            <w:tcW w:w="41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eastAsia" w:ascii="宋体" w:hAnsi="宋体" w:eastAsia="宋体" w:cs="宋体"/>
                <w:i w:val="0"/>
                <w:iCs w:val="0"/>
                <w:color w:val="0000FF"/>
                <w:kern w:val="0"/>
                <w:sz w:val="21"/>
                <w:szCs w:val="21"/>
                <w:u w:val="none"/>
                <w:lang w:val="en-US" w:eastAsia="zh-CN" w:bidi="ar"/>
              </w:rPr>
              <w:t>总铬</w:t>
            </w:r>
          </w:p>
        </w:tc>
        <w:tc>
          <w:tcPr>
            <w:tcW w:w="41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eastAsia" w:ascii="宋体" w:hAnsi="宋体" w:eastAsia="宋体" w:cs="宋体"/>
                <w:i w:val="0"/>
                <w:iCs w:val="0"/>
                <w:color w:val="0000FF"/>
                <w:kern w:val="0"/>
                <w:sz w:val="21"/>
                <w:szCs w:val="21"/>
                <w:u w:val="none"/>
                <w:lang w:val="en-US" w:eastAsia="zh-CN" w:bidi="ar"/>
              </w:rPr>
              <w:t>砷</w:t>
            </w:r>
          </w:p>
        </w:tc>
        <w:tc>
          <w:tcPr>
            <w:tcW w:w="41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eastAsia" w:ascii="宋体" w:hAnsi="宋体" w:eastAsia="宋体" w:cs="宋体"/>
                <w:i w:val="0"/>
                <w:iCs w:val="0"/>
                <w:color w:val="0000FF"/>
                <w:kern w:val="0"/>
                <w:sz w:val="21"/>
                <w:szCs w:val="21"/>
                <w:u w:val="none"/>
                <w:lang w:val="en-US" w:eastAsia="zh-CN" w:bidi="ar"/>
              </w:rPr>
              <w:t>汞</w:t>
            </w:r>
          </w:p>
        </w:tc>
        <w:tc>
          <w:tcPr>
            <w:tcW w:w="41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eastAsia" w:ascii="宋体" w:hAnsi="宋体" w:eastAsia="宋体" w:cs="宋体"/>
                <w:i w:val="0"/>
                <w:iCs w:val="0"/>
                <w:color w:val="0000FF"/>
                <w:kern w:val="0"/>
                <w:sz w:val="21"/>
                <w:szCs w:val="21"/>
                <w:u w:val="none"/>
                <w:lang w:val="en-US" w:eastAsia="zh-CN" w:bidi="ar"/>
              </w:rPr>
              <w:t>铅</w:t>
            </w:r>
          </w:p>
        </w:tc>
        <w:tc>
          <w:tcPr>
            <w:tcW w:w="41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eastAsia" w:ascii="宋体" w:hAnsi="宋体" w:eastAsia="宋体" w:cs="宋体"/>
                <w:i w:val="0"/>
                <w:iCs w:val="0"/>
                <w:color w:val="0000FF"/>
                <w:kern w:val="0"/>
                <w:sz w:val="21"/>
                <w:szCs w:val="21"/>
                <w:u w:val="none"/>
                <w:lang w:val="en-US" w:eastAsia="zh-CN" w:bidi="ar"/>
              </w:rPr>
              <w:t>镍</w:t>
            </w:r>
          </w:p>
        </w:tc>
        <w:tc>
          <w:tcPr>
            <w:tcW w:w="41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eastAsia" w:ascii="宋体" w:hAnsi="宋体" w:eastAsia="宋体" w:cs="宋体"/>
                <w:i w:val="0"/>
                <w:iCs w:val="0"/>
                <w:color w:val="0000FF"/>
                <w:kern w:val="0"/>
                <w:sz w:val="21"/>
                <w:szCs w:val="21"/>
                <w:u w:val="none"/>
                <w:lang w:val="en-US" w:eastAsia="zh-CN" w:bidi="ar"/>
              </w:rPr>
              <w:t>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2" w:type="pct"/>
            <w:vMerge w:val="restar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占地范围外S2</w:t>
            </w:r>
          </w:p>
        </w:tc>
        <w:tc>
          <w:tcPr>
            <w:tcW w:w="630"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监测结果</w:t>
            </w:r>
          </w:p>
        </w:tc>
        <w:tc>
          <w:tcPr>
            <w:tcW w:w="1035"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6.97</w:t>
            </w:r>
          </w:p>
        </w:tc>
        <w:tc>
          <w:tcPr>
            <w:tcW w:w="706"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rPr>
            </w:pPr>
            <w:r>
              <w:rPr>
                <w:rFonts w:hint="eastAsia" w:cs="Times New Roman"/>
                <w:i w:val="0"/>
                <w:iCs w:val="0"/>
                <w:color w:val="0000FF"/>
                <w:kern w:val="0"/>
                <w:sz w:val="21"/>
                <w:szCs w:val="21"/>
                <w:highlight w:val="none"/>
                <w:u w:val="none"/>
                <w:lang w:val="en-US" w:eastAsia="zh-CN" w:bidi="ar"/>
              </w:rPr>
              <w:t>67</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0.28</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48</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9.26</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0.068</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16</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13</w:t>
            </w:r>
          </w:p>
        </w:tc>
        <w:tc>
          <w:tcPr>
            <w:tcW w:w="709"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2" w:type="pct"/>
            <w:vMerge w:val="continue"/>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630"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标准</w:t>
            </w:r>
          </w:p>
        </w:tc>
        <w:tc>
          <w:tcPr>
            <w:tcW w:w="607"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6.5~7.5</w:t>
            </w:r>
          </w:p>
        </w:tc>
        <w:tc>
          <w:tcPr>
            <w:tcW w:w="414" w:type="pct"/>
            <w:shd w:val="clear" w:color="auto" w:fill="auto"/>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100</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0.3</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200</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30</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2.4</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120</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100</w:t>
            </w:r>
          </w:p>
        </w:tc>
        <w:tc>
          <w:tcPr>
            <w:tcW w:w="416"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2" w:type="pct"/>
            <w:vMerge w:val="continue"/>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630"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标准指数</w:t>
            </w:r>
          </w:p>
        </w:tc>
        <w:tc>
          <w:tcPr>
            <w:tcW w:w="60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w:t>
            </w:r>
          </w:p>
        </w:tc>
        <w:tc>
          <w:tcPr>
            <w:tcW w:w="706"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eastAsia" w:cs="Times New Roman"/>
                <w:i w:val="0"/>
                <w:iCs w:val="0"/>
                <w:color w:val="0000FF"/>
                <w:kern w:val="0"/>
                <w:sz w:val="21"/>
                <w:szCs w:val="21"/>
                <w:highlight w:val="none"/>
                <w:u w:val="none"/>
                <w:lang w:val="en-US" w:eastAsia="zh-CN" w:bidi="ar"/>
              </w:rPr>
              <w:t>0.67</w:t>
            </w:r>
            <w:r>
              <w:rPr>
                <w:rFonts w:hint="default" w:ascii="Times New Roman" w:hAnsi="Times New Roman" w:eastAsia="宋体" w:cs="Times New Roman"/>
                <w:i w:val="0"/>
                <w:iCs w:val="0"/>
                <w:color w:val="0000FF"/>
                <w:kern w:val="0"/>
                <w:sz w:val="21"/>
                <w:szCs w:val="21"/>
                <w:highlight w:val="none"/>
                <w:u w:val="none"/>
                <w:lang w:val="en-US" w:eastAsia="zh-CN" w:bidi="ar"/>
              </w:rPr>
              <w:t xml:space="preserve"> </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0.93 </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0.24 </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0.31 </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0.03 </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0.13 </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0.13 </w:t>
            </w:r>
          </w:p>
        </w:tc>
        <w:tc>
          <w:tcPr>
            <w:tcW w:w="709"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0.26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2" w:type="pct"/>
            <w:vMerge w:val="continue"/>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630"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达标情况</w:t>
            </w:r>
          </w:p>
        </w:tc>
        <w:tc>
          <w:tcPr>
            <w:tcW w:w="607"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w:t>
            </w:r>
          </w:p>
        </w:tc>
        <w:tc>
          <w:tcPr>
            <w:tcW w:w="414" w:type="pct"/>
            <w:shd w:val="clear" w:color="auto" w:fill="auto"/>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tc>
        <w:tc>
          <w:tcPr>
            <w:tcW w:w="416"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2" w:type="pct"/>
            <w:vMerge w:val="restar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占地范围外S3</w:t>
            </w:r>
          </w:p>
        </w:tc>
        <w:tc>
          <w:tcPr>
            <w:tcW w:w="630"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监测结果</w:t>
            </w:r>
          </w:p>
        </w:tc>
        <w:tc>
          <w:tcPr>
            <w:tcW w:w="607"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5.08</w:t>
            </w:r>
          </w:p>
        </w:tc>
        <w:tc>
          <w:tcPr>
            <w:tcW w:w="414" w:type="pct"/>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rPr>
            </w:pPr>
            <w:r>
              <w:rPr>
                <w:rFonts w:hint="eastAsia" w:cs="Times New Roman"/>
                <w:i w:val="0"/>
                <w:iCs w:val="0"/>
                <w:color w:val="0000FF"/>
                <w:kern w:val="0"/>
                <w:sz w:val="21"/>
                <w:szCs w:val="21"/>
                <w:highlight w:val="none"/>
                <w:u w:val="none"/>
                <w:lang w:val="en-US" w:eastAsia="zh-CN" w:bidi="ar"/>
              </w:rPr>
              <w:t>40</w:t>
            </w:r>
          </w:p>
        </w:tc>
        <w:tc>
          <w:tcPr>
            <w:tcW w:w="41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0.24</w:t>
            </w:r>
          </w:p>
        </w:tc>
        <w:tc>
          <w:tcPr>
            <w:tcW w:w="41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66</w:t>
            </w:r>
          </w:p>
        </w:tc>
        <w:tc>
          <w:tcPr>
            <w:tcW w:w="41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8.23</w:t>
            </w:r>
          </w:p>
        </w:tc>
        <w:tc>
          <w:tcPr>
            <w:tcW w:w="41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0.038</w:t>
            </w:r>
          </w:p>
        </w:tc>
        <w:tc>
          <w:tcPr>
            <w:tcW w:w="41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11.2</w:t>
            </w:r>
          </w:p>
        </w:tc>
        <w:tc>
          <w:tcPr>
            <w:tcW w:w="414"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16</w:t>
            </w:r>
          </w:p>
        </w:tc>
        <w:tc>
          <w:tcPr>
            <w:tcW w:w="416"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2" w:type="pct"/>
            <w:vMerge w:val="continue"/>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630"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标准</w:t>
            </w:r>
          </w:p>
        </w:tc>
        <w:tc>
          <w:tcPr>
            <w:tcW w:w="607"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≤5.5</w:t>
            </w:r>
          </w:p>
        </w:tc>
        <w:tc>
          <w:tcPr>
            <w:tcW w:w="414" w:type="pct"/>
            <w:shd w:val="clear" w:color="auto" w:fill="auto"/>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50</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0.3</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150</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40</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1.3</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70</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60</w:t>
            </w:r>
          </w:p>
        </w:tc>
        <w:tc>
          <w:tcPr>
            <w:tcW w:w="416"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2" w:type="pct"/>
            <w:vMerge w:val="continue"/>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630"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标准指数</w:t>
            </w:r>
          </w:p>
        </w:tc>
        <w:tc>
          <w:tcPr>
            <w:tcW w:w="1035"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w:t>
            </w:r>
          </w:p>
        </w:tc>
        <w:tc>
          <w:tcPr>
            <w:tcW w:w="706" w:type="dxa"/>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rPr>
            </w:pPr>
            <w:r>
              <w:rPr>
                <w:rFonts w:hint="eastAsia" w:cs="Times New Roman"/>
                <w:i w:val="0"/>
                <w:iCs w:val="0"/>
                <w:color w:val="0000FF"/>
                <w:kern w:val="0"/>
                <w:sz w:val="21"/>
                <w:szCs w:val="21"/>
                <w:highlight w:val="none"/>
                <w:u w:val="none"/>
                <w:lang w:val="en-US" w:eastAsia="zh-CN" w:bidi="ar"/>
              </w:rPr>
              <w:t>0.8</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0.8</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0.44 </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0.21 </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0.03 </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0.16 </w:t>
            </w:r>
          </w:p>
        </w:tc>
        <w:tc>
          <w:tcPr>
            <w:tcW w:w="706"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0.27 </w:t>
            </w:r>
          </w:p>
        </w:tc>
        <w:tc>
          <w:tcPr>
            <w:tcW w:w="709" w:type="dxa"/>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0.19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2" w:type="pct"/>
            <w:vMerge w:val="continue"/>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630"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达标情况</w:t>
            </w:r>
          </w:p>
        </w:tc>
        <w:tc>
          <w:tcPr>
            <w:tcW w:w="607"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tc>
        <w:tc>
          <w:tcPr>
            <w:tcW w:w="414"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tc>
        <w:tc>
          <w:tcPr>
            <w:tcW w:w="416"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达标</w:t>
            </w:r>
          </w:p>
        </w:tc>
      </w:tr>
    </w:tbl>
    <w:p>
      <w:pPr>
        <w:rPr>
          <w:rFonts w:hint="eastAsia"/>
          <w:color w:val="0000FF"/>
          <w:highlight w:val="none"/>
          <w:lang w:val="en-US" w:eastAsia="zh-CN"/>
        </w:rPr>
      </w:pPr>
      <w:r>
        <w:rPr>
          <w:rFonts w:hint="eastAsia"/>
          <w:color w:val="0000FF"/>
          <w:highlight w:val="none"/>
          <w:lang w:val="en-US" w:eastAsia="zh-CN"/>
        </w:rPr>
        <w:t>根据上表，工程占地范围外两个土壤检测点均可达到《土壤环境质量-农用地土壤污染风险管控标准》（GB15618-218）其他筛选值。</w:t>
      </w:r>
    </w:p>
    <w:p>
      <w:pPr>
        <w:pStyle w:val="4"/>
        <w:tabs>
          <w:tab w:val="left" w:pos="420"/>
          <w:tab w:val="clear" w:pos="0"/>
        </w:tabs>
        <w:bidi w:val="0"/>
        <w:ind w:left="0" w:leftChars="0" w:firstLine="0" w:firstLineChars="0"/>
        <w:rPr>
          <w:rFonts w:hint="default" w:ascii="Times New Roman" w:hAnsi="Times New Roman" w:cs="Times New Roman"/>
          <w:color w:val="0000FF"/>
          <w:highlight w:val="none"/>
        </w:rPr>
      </w:pPr>
      <w:bookmarkStart w:id="529" w:name="_Toc16816"/>
      <w:bookmarkStart w:id="530" w:name="_Toc14862"/>
      <w:r>
        <w:rPr>
          <w:rFonts w:hint="default" w:ascii="Times New Roman" w:hAnsi="Times New Roman" w:cs="Times New Roman"/>
          <w:color w:val="0000FF"/>
          <w:highlight w:val="none"/>
        </w:rPr>
        <w:t>地下水环境质量现状</w:t>
      </w:r>
      <w:bookmarkEnd w:id="529"/>
      <w:bookmarkEnd w:id="530"/>
    </w:p>
    <w:p>
      <w:pPr>
        <w:ind w:firstLine="480"/>
        <w:rPr>
          <w:rFonts w:hint="default" w:ascii="Times New Roman" w:hAnsi="Times New Roman" w:cs="Times New Roman"/>
          <w:color w:val="0000FF"/>
          <w:kern w:val="24"/>
          <w:highlight w:val="none"/>
        </w:rPr>
      </w:pPr>
      <w:r>
        <w:rPr>
          <w:rFonts w:hint="default" w:ascii="Times New Roman" w:hAnsi="Times New Roman" w:cs="Times New Roman"/>
          <w:color w:val="0000FF"/>
          <w:highlight w:val="none"/>
        </w:rPr>
        <w:t>根据</w:t>
      </w:r>
      <w:r>
        <w:rPr>
          <w:rFonts w:hint="default" w:ascii="Times New Roman" w:hAnsi="Times New Roman" w:cs="Times New Roman"/>
          <w:color w:val="0000FF"/>
          <w:kern w:val="24"/>
          <w:highlight w:val="none"/>
        </w:rPr>
        <w:t>《地下水质量标准》（GB/T14848-2017）的地下水质质量分类，本评价区内地下水以人群健康基准值为依据，执行地下水Ⅲ类质量标准。</w:t>
      </w:r>
      <w:r>
        <w:rPr>
          <w:rFonts w:hint="default" w:ascii="Times New Roman" w:hAnsi="Times New Roman" w:cs="Times New Roman"/>
          <w:color w:val="0000FF"/>
          <w:kern w:val="24"/>
          <w:highlight w:val="none"/>
          <w:shd w:val="clear" w:color="auto" w:fill="FFFFFF"/>
        </w:rPr>
        <w:t>为了解项目所在区域地下水环境质量，</w:t>
      </w:r>
      <w:r>
        <w:rPr>
          <w:rFonts w:hint="eastAsia" w:ascii="Times New Roman" w:hAnsi="Times New Roman" w:cs="Times New Roman"/>
          <w:color w:val="0000FF"/>
          <w:kern w:val="24"/>
          <w:highlight w:val="none"/>
          <w:shd w:val="clear" w:color="auto" w:fill="FFFFFF"/>
          <w:lang w:val="en-US" w:eastAsia="zh-CN"/>
        </w:rPr>
        <w:t>引用《金沙江乌东德水电站水资源综合利用—元谋县姜驿乡提水工程环境影响报告书》中1#旧村水井、2#阿拉益水井地表水质检测；</w:t>
      </w:r>
      <w:r>
        <w:rPr>
          <w:rFonts w:hint="default" w:ascii="Times New Roman" w:hAnsi="Times New Roman" w:cs="Times New Roman"/>
          <w:color w:val="0000FF"/>
          <w:kern w:val="24"/>
          <w:highlight w:val="none"/>
          <w:shd w:val="clear" w:color="auto" w:fill="FFFFFF"/>
        </w:rPr>
        <w:t>委托云南浩辰环保科技有限公司于202</w:t>
      </w:r>
      <w:r>
        <w:rPr>
          <w:rFonts w:hint="eastAsia" w:ascii="Times New Roman" w:hAnsi="Times New Roman" w:cs="Times New Roman"/>
          <w:color w:val="0000FF"/>
          <w:kern w:val="24"/>
          <w:highlight w:val="none"/>
          <w:shd w:val="clear" w:color="auto" w:fill="FFFFFF"/>
          <w:lang w:val="en-US" w:eastAsia="zh-CN"/>
        </w:rPr>
        <w:t>4</w:t>
      </w:r>
      <w:r>
        <w:rPr>
          <w:rFonts w:hint="default" w:ascii="Times New Roman" w:hAnsi="Times New Roman" w:cs="Times New Roman"/>
          <w:color w:val="0000FF"/>
          <w:kern w:val="24"/>
          <w:highlight w:val="none"/>
          <w:shd w:val="clear" w:color="auto" w:fill="FFFFFF"/>
        </w:rPr>
        <w:t>年</w:t>
      </w:r>
      <w:r>
        <w:rPr>
          <w:rFonts w:hint="eastAsia" w:ascii="Times New Roman" w:hAnsi="Times New Roman" w:cs="Times New Roman"/>
          <w:color w:val="0000FF"/>
          <w:kern w:val="24"/>
          <w:highlight w:val="none"/>
          <w:shd w:val="clear" w:color="auto" w:fill="FFFFFF"/>
          <w:lang w:val="en-US" w:eastAsia="zh-CN"/>
        </w:rPr>
        <w:t>4</w:t>
      </w:r>
      <w:r>
        <w:rPr>
          <w:rFonts w:hint="default" w:ascii="Times New Roman" w:hAnsi="Times New Roman" w:cs="Times New Roman"/>
          <w:color w:val="0000FF"/>
          <w:kern w:val="24"/>
          <w:highlight w:val="none"/>
          <w:shd w:val="clear" w:color="auto" w:fill="FFFFFF"/>
        </w:rPr>
        <w:t>月</w:t>
      </w:r>
      <w:r>
        <w:rPr>
          <w:rFonts w:hint="eastAsia" w:ascii="Times New Roman" w:hAnsi="Times New Roman" w:cs="Times New Roman"/>
          <w:color w:val="0000FF"/>
          <w:kern w:val="24"/>
          <w:highlight w:val="none"/>
          <w:shd w:val="clear" w:color="auto" w:fill="FFFFFF"/>
          <w:lang w:val="en-US" w:eastAsia="zh-CN"/>
        </w:rPr>
        <w:t>11</w:t>
      </w:r>
      <w:r>
        <w:rPr>
          <w:rFonts w:hint="default" w:ascii="Times New Roman" w:hAnsi="Times New Roman" w:cs="Times New Roman"/>
          <w:color w:val="0000FF"/>
          <w:kern w:val="24"/>
          <w:highlight w:val="none"/>
          <w:shd w:val="clear" w:color="auto" w:fill="FFFFFF"/>
        </w:rPr>
        <w:t>日~</w:t>
      </w:r>
      <w:r>
        <w:rPr>
          <w:rFonts w:hint="eastAsia" w:ascii="Times New Roman" w:hAnsi="Times New Roman" w:cs="Times New Roman"/>
          <w:color w:val="0000FF"/>
          <w:kern w:val="24"/>
          <w:highlight w:val="none"/>
          <w:shd w:val="clear" w:color="auto" w:fill="FFFFFF"/>
          <w:lang w:val="en-US" w:eastAsia="zh-CN"/>
        </w:rPr>
        <w:t>13</w:t>
      </w:r>
      <w:r>
        <w:rPr>
          <w:rFonts w:hint="default" w:ascii="Times New Roman" w:hAnsi="Times New Roman" w:cs="Times New Roman"/>
          <w:color w:val="0000FF"/>
          <w:kern w:val="24"/>
          <w:highlight w:val="none"/>
          <w:shd w:val="clear" w:color="auto" w:fill="FFFFFF"/>
        </w:rPr>
        <w:t>日对</w:t>
      </w:r>
      <w:r>
        <w:rPr>
          <w:rFonts w:hint="eastAsia" w:ascii="Times New Roman" w:hAnsi="Times New Roman" w:cs="Times New Roman"/>
          <w:color w:val="0000FF"/>
          <w:kern w:val="24"/>
          <w:highlight w:val="none"/>
          <w:shd w:val="clear" w:color="auto" w:fill="FFFFFF"/>
          <w:lang w:val="en-US" w:eastAsia="zh-CN"/>
        </w:rPr>
        <w:t>沙沟箐村机井地下水水质现</w:t>
      </w:r>
      <w:r>
        <w:rPr>
          <w:rFonts w:hint="default" w:ascii="Times New Roman" w:hAnsi="Times New Roman" w:cs="Times New Roman"/>
          <w:color w:val="0000FF"/>
          <w:kern w:val="24"/>
          <w:highlight w:val="none"/>
          <w:shd w:val="clear" w:color="auto" w:fill="FFFFFF"/>
        </w:rPr>
        <w:t>状进行了</w:t>
      </w:r>
      <w:r>
        <w:rPr>
          <w:rFonts w:hint="eastAsia" w:ascii="Times New Roman" w:hAnsi="Times New Roman" w:cs="Times New Roman"/>
          <w:color w:val="0000FF"/>
          <w:kern w:val="24"/>
          <w:highlight w:val="none"/>
          <w:shd w:val="clear" w:color="auto" w:fill="FFFFFF"/>
          <w:lang w:val="en-US" w:eastAsia="zh-CN"/>
        </w:rPr>
        <w:t>检测</w:t>
      </w:r>
      <w:r>
        <w:rPr>
          <w:rFonts w:hint="default" w:ascii="Times New Roman" w:hAnsi="Times New Roman" w:cs="Times New Roman"/>
          <w:color w:val="0000FF"/>
          <w:kern w:val="24"/>
          <w:highlight w:val="none"/>
        </w:rPr>
        <w:t>。</w:t>
      </w:r>
    </w:p>
    <w:p>
      <w:pPr>
        <w:pStyle w:val="5"/>
        <w:numPr>
          <w:ilvl w:val="3"/>
          <w:numId w:val="18"/>
        </w:numPr>
        <w:tabs>
          <w:tab w:val="clear" w:pos="0"/>
        </w:tabs>
        <w:bidi w:val="0"/>
        <w:ind w:left="480" w:leftChars="0" w:firstLineChars="0"/>
        <w:rPr>
          <w:rFonts w:hint="default"/>
          <w:color w:val="0000FF"/>
        </w:rPr>
      </w:pPr>
      <w:r>
        <w:rPr>
          <w:rFonts w:hint="eastAsia"/>
          <w:color w:val="0000FF"/>
          <w:lang w:val="en-US" w:eastAsia="zh-CN"/>
        </w:rPr>
        <w:t>地下水水位调查</w:t>
      </w:r>
    </w:p>
    <w:p>
      <w:pPr>
        <w:bidi w:val="0"/>
        <w:rPr>
          <w:rFonts w:hint="default" w:eastAsia="宋体"/>
          <w:color w:val="0000FF"/>
          <w:lang w:val="en-US" w:eastAsia="zh-CN"/>
        </w:rPr>
      </w:pPr>
      <w:r>
        <w:rPr>
          <w:rFonts w:hint="default"/>
          <w:color w:val="0000FF"/>
        </w:rPr>
        <w:t>本次评价水位监测主要对</w:t>
      </w:r>
      <w:r>
        <w:rPr>
          <w:rFonts w:hint="eastAsia"/>
          <w:color w:val="0000FF"/>
          <w:lang w:val="en-US" w:eastAsia="zh-CN"/>
        </w:rPr>
        <w:t>评价区</w:t>
      </w:r>
      <w:r>
        <w:rPr>
          <w:rFonts w:hint="default"/>
          <w:color w:val="0000FF"/>
        </w:rPr>
        <w:t>泉点进行监测，项目区地下水水位调查结果详见表</w:t>
      </w:r>
      <w:r>
        <w:rPr>
          <w:rFonts w:hint="eastAsia"/>
          <w:color w:val="0000FF"/>
          <w:lang w:val="en-US" w:eastAsia="zh-CN"/>
        </w:rPr>
        <w:t>4.2.5-1。</w:t>
      </w:r>
    </w:p>
    <w:p>
      <w:pPr>
        <w:spacing w:line="240" w:lineRule="auto"/>
        <w:jc w:val="center"/>
        <w:rPr>
          <w:rFonts w:hint="default" w:ascii="Times New Roman" w:hAnsi="Times New Roman" w:cs="Times New Roman"/>
          <w:b/>
          <w:bCs/>
          <w:color w:val="0000FF"/>
        </w:rPr>
      </w:pPr>
      <w:r>
        <w:rPr>
          <w:rFonts w:hint="default" w:ascii="Times New Roman" w:hAnsi="Times New Roman" w:cs="Times New Roman"/>
          <w:b/>
          <w:bCs/>
          <w:color w:val="0000FF"/>
        </w:rPr>
        <w:t>表</w:t>
      </w:r>
      <w:r>
        <w:rPr>
          <w:rFonts w:hint="eastAsia" w:ascii="Times New Roman" w:hAnsi="Times New Roman" w:cs="Times New Roman"/>
          <w:b/>
          <w:bCs/>
          <w:color w:val="0000FF"/>
          <w:lang w:val="en-US" w:eastAsia="zh-CN"/>
        </w:rPr>
        <w:t>4.2.5-1</w:t>
      </w:r>
      <w:r>
        <w:rPr>
          <w:rFonts w:hint="default" w:ascii="Times New Roman" w:hAnsi="Times New Roman" w:cs="Times New Roman"/>
          <w:b/>
          <w:bCs/>
          <w:color w:val="0000FF"/>
        </w:rPr>
        <w:t xml:space="preserve">  评价区水位</w:t>
      </w:r>
      <w:r>
        <w:rPr>
          <w:rFonts w:hint="eastAsia" w:ascii="Times New Roman" w:hAnsi="Times New Roman" w:cs="Times New Roman"/>
          <w:b/>
          <w:bCs/>
          <w:color w:val="0000FF"/>
          <w:lang w:val="en-US" w:eastAsia="zh-CN"/>
        </w:rPr>
        <w:t>调查情况一览</w:t>
      </w:r>
      <w:r>
        <w:rPr>
          <w:rFonts w:hint="default" w:ascii="Times New Roman" w:hAnsi="Times New Roman" w:cs="Times New Roman"/>
          <w:b/>
          <w:bCs/>
          <w:color w:val="0000FF"/>
        </w:rPr>
        <w:t>表</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170"/>
        <w:gridCol w:w="1243"/>
        <w:gridCol w:w="1906"/>
        <w:gridCol w:w="2371"/>
        <w:gridCol w:w="18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87" w:type="pct"/>
            <w:vMerge w:val="restart"/>
            <w:shd w:val="clear" w:color="auto" w:fill="auto"/>
            <w:noWrap w:val="0"/>
            <w:vAlign w:val="center"/>
          </w:tcPr>
          <w:p>
            <w:pPr>
              <w:pStyle w:val="42"/>
              <w:rPr>
                <w:rFonts w:hint="default" w:ascii="Times New Roman" w:hAnsi="Times New Roman" w:cs="Times New Roman"/>
                <w:color w:val="0000FF"/>
                <w:highlight w:val="none"/>
                <w:lang w:eastAsia="zh-CN"/>
              </w:rPr>
            </w:pPr>
            <w:r>
              <w:rPr>
                <w:rFonts w:hint="default" w:ascii="Times New Roman" w:hAnsi="Times New Roman" w:cs="Times New Roman"/>
                <w:color w:val="0000FF"/>
                <w:highlight w:val="none"/>
                <w:lang w:val="en-US" w:eastAsia="zh-CN"/>
              </w:rPr>
              <w:t>类型</w:t>
            </w:r>
          </w:p>
        </w:tc>
        <w:tc>
          <w:tcPr>
            <w:tcW w:w="730" w:type="pct"/>
            <w:vMerge w:val="restart"/>
            <w:shd w:val="clear" w:color="auto" w:fill="auto"/>
            <w:noWrap w:val="0"/>
            <w:vAlign w:val="center"/>
          </w:tcPr>
          <w:p>
            <w:pPr>
              <w:pStyle w:val="42"/>
              <w:rPr>
                <w:rFonts w:hint="eastAsia" w:ascii="Times New Roman" w:hAnsi="Times New Roman" w:eastAsia="宋体" w:cs="Times New Roman"/>
                <w:color w:val="0000FF"/>
                <w:highlight w:val="none"/>
                <w:lang w:val="en-US" w:eastAsia="zh-CN"/>
              </w:rPr>
            </w:pPr>
            <w:r>
              <w:rPr>
                <w:rFonts w:hint="default" w:ascii="Times New Roman" w:hAnsi="Times New Roman" w:cs="Times New Roman"/>
                <w:color w:val="0000FF"/>
                <w:highlight w:val="none"/>
              </w:rPr>
              <w:t>编号</w:t>
            </w:r>
          </w:p>
        </w:tc>
        <w:tc>
          <w:tcPr>
            <w:tcW w:w="2511" w:type="pct"/>
            <w:gridSpan w:val="2"/>
            <w:shd w:val="clear" w:color="auto" w:fill="auto"/>
            <w:noWrap w:val="0"/>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坐标</w:t>
            </w:r>
          </w:p>
        </w:tc>
        <w:tc>
          <w:tcPr>
            <w:tcW w:w="1070" w:type="pct"/>
            <w:vMerge w:val="restart"/>
            <w:shd w:val="clear" w:color="auto" w:fill="auto"/>
            <w:noWrap w:val="0"/>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水位标高（m）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7" w:type="pct"/>
            <w:vMerge w:val="continue"/>
            <w:shd w:val="clear" w:color="auto" w:fill="auto"/>
            <w:noWrap w:val="0"/>
            <w:vAlign w:val="center"/>
          </w:tcPr>
          <w:p>
            <w:pPr>
              <w:pStyle w:val="42"/>
              <w:rPr>
                <w:rFonts w:hint="default" w:ascii="Times New Roman" w:hAnsi="Times New Roman" w:cs="Times New Roman"/>
                <w:color w:val="0000FF"/>
                <w:highlight w:val="none"/>
              </w:rPr>
            </w:pPr>
          </w:p>
        </w:tc>
        <w:tc>
          <w:tcPr>
            <w:tcW w:w="730" w:type="pct"/>
            <w:vMerge w:val="continue"/>
            <w:shd w:val="clear" w:color="auto" w:fill="auto"/>
            <w:noWrap w:val="0"/>
            <w:vAlign w:val="center"/>
          </w:tcPr>
          <w:p>
            <w:pPr>
              <w:pStyle w:val="42"/>
              <w:rPr>
                <w:rFonts w:hint="default" w:ascii="Times New Roman" w:hAnsi="Times New Roman" w:cs="Times New Roman"/>
                <w:color w:val="0000FF"/>
                <w:highlight w:val="none"/>
              </w:rPr>
            </w:pPr>
          </w:p>
        </w:tc>
        <w:tc>
          <w:tcPr>
            <w:tcW w:w="1119" w:type="pct"/>
            <w:shd w:val="clear" w:color="auto" w:fill="auto"/>
            <w:noWrap w:val="0"/>
            <w:vAlign w:val="center"/>
          </w:tcPr>
          <w:p>
            <w:pPr>
              <w:pStyle w:val="42"/>
              <w:rPr>
                <w:rFonts w:hint="eastAsia" w:ascii="Times New Roman" w:hAnsi="Times New Roman" w:eastAsia="宋" w:cs="Times New Roman"/>
                <w:color w:val="0000FF"/>
                <w:highlight w:val="none"/>
                <w:lang w:eastAsia="zh-CN"/>
              </w:rPr>
            </w:pPr>
            <w:r>
              <w:rPr>
                <w:rFonts w:hint="default" w:ascii="Times New Roman" w:hAnsi="Times New Roman" w:cs="Times New Roman"/>
                <w:color w:val="0000FF"/>
                <w:highlight w:val="none"/>
              </w:rPr>
              <w:t>经度</w:t>
            </w:r>
            <w:r>
              <w:rPr>
                <w:rFonts w:hint="eastAsia" w:ascii="Times New Roman" w:hAnsi="Times New Roman" w:cs="Times New Roman"/>
                <w:color w:val="0000FF"/>
                <w:highlight w:val="none"/>
                <w:lang w:eastAsia="zh-CN"/>
              </w:rPr>
              <w:t>（</w:t>
            </w:r>
            <w:r>
              <w:rPr>
                <w:rFonts w:hint="eastAsia" w:ascii="Times New Roman" w:hAnsi="Times New Roman" w:cs="Times New Roman"/>
                <w:color w:val="0000FF"/>
                <w:highlight w:val="none"/>
                <w:lang w:val="en-US" w:eastAsia="zh-CN"/>
              </w:rPr>
              <w:t>°</w:t>
            </w:r>
            <w:r>
              <w:rPr>
                <w:rFonts w:hint="eastAsia" w:ascii="Times New Roman" w:hAnsi="Times New Roman" w:cs="Times New Roman"/>
                <w:color w:val="0000FF"/>
                <w:highlight w:val="none"/>
                <w:lang w:eastAsia="zh-CN"/>
              </w:rPr>
              <w:t>）</w:t>
            </w:r>
          </w:p>
        </w:tc>
        <w:tc>
          <w:tcPr>
            <w:tcW w:w="1392" w:type="pct"/>
            <w:shd w:val="clear" w:color="auto" w:fill="auto"/>
            <w:noWrap w:val="0"/>
            <w:vAlign w:val="center"/>
          </w:tcPr>
          <w:p>
            <w:pPr>
              <w:pStyle w:val="42"/>
              <w:rPr>
                <w:rFonts w:hint="eastAsia" w:ascii="Times New Roman" w:hAnsi="Times New Roman" w:eastAsia="宋" w:cs="Times New Roman"/>
                <w:color w:val="0000FF"/>
                <w:highlight w:val="none"/>
                <w:lang w:eastAsia="zh-CN"/>
              </w:rPr>
            </w:pPr>
            <w:r>
              <w:rPr>
                <w:rFonts w:hint="default" w:ascii="Times New Roman" w:hAnsi="Times New Roman" w:cs="Times New Roman"/>
                <w:color w:val="0000FF"/>
                <w:highlight w:val="none"/>
              </w:rPr>
              <w:t>纬度</w:t>
            </w:r>
            <w:r>
              <w:rPr>
                <w:rFonts w:hint="eastAsia" w:ascii="Times New Roman" w:hAnsi="Times New Roman" w:cs="Times New Roman"/>
                <w:color w:val="0000FF"/>
                <w:highlight w:val="none"/>
                <w:lang w:eastAsia="zh-CN"/>
              </w:rPr>
              <w:t>（</w:t>
            </w:r>
            <w:r>
              <w:rPr>
                <w:rFonts w:hint="eastAsia" w:ascii="Times New Roman" w:hAnsi="Times New Roman" w:cs="Times New Roman"/>
                <w:color w:val="0000FF"/>
                <w:highlight w:val="none"/>
                <w:lang w:val="en-US" w:eastAsia="zh-CN"/>
              </w:rPr>
              <w:t>°</w:t>
            </w:r>
            <w:r>
              <w:rPr>
                <w:rFonts w:hint="eastAsia" w:ascii="Times New Roman" w:hAnsi="Times New Roman" w:cs="Times New Roman"/>
                <w:color w:val="0000FF"/>
                <w:highlight w:val="none"/>
                <w:lang w:eastAsia="zh-CN"/>
              </w:rPr>
              <w:t>）</w:t>
            </w:r>
          </w:p>
        </w:tc>
        <w:tc>
          <w:tcPr>
            <w:tcW w:w="1070" w:type="pct"/>
            <w:vMerge w:val="continue"/>
            <w:shd w:val="clear" w:color="auto" w:fill="auto"/>
            <w:noWrap w:val="0"/>
            <w:vAlign w:val="center"/>
          </w:tcPr>
          <w:p>
            <w:pPr>
              <w:pStyle w:val="42"/>
              <w:rPr>
                <w:rFonts w:hint="default" w:ascii="Times New Roman" w:hAnsi="Times New Roman" w:cs="Times New Roman"/>
                <w:color w:val="0000FF"/>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7" w:type="pct"/>
            <w:gridSpan w:val="2"/>
            <w:shd w:val="clear" w:color="auto" w:fill="auto"/>
            <w:noWrap w:val="0"/>
            <w:vAlign w:val="center"/>
          </w:tcPr>
          <w:p>
            <w:pPr>
              <w:pStyle w:val="42"/>
              <w:rPr>
                <w:rFonts w:hint="default" w:ascii="Times New Roman" w:hAnsi="Times New Roman" w:cs="Times New Roman"/>
                <w:color w:val="0000FF"/>
                <w:highlight w:val="none"/>
                <w:lang w:val="en-US" w:eastAsia="zh-CN"/>
              </w:rPr>
            </w:pPr>
            <w:r>
              <w:rPr>
                <w:rFonts w:hint="eastAsia" w:ascii="Times New Roman" w:hAnsi="Times New Roman" w:cs="Times New Roman"/>
                <w:color w:val="0000FF"/>
                <w:highlight w:val="none"/>
                <w:lang w:val="en-US" w:eastAsia="zh-CN"/>
              </w:rPr>
              <w:t>引用</w:t>
            </w:r>
            <w:r>
              <w:rPr>
                <w:rFonts w:hint="default" w:ascii="Times New Roman" w:hAnsi="Times New Roman" w:cs="Times New Roman"/>
                <w:color w:val="0000FF"/>
                <w:highlight w:val="none"/>
                <w:lang w:val="en-US" w:eastAsia="zh-CN"/>
              </w:rPr>
              <w:t>1#旧村水井</w:t>
            </w:r>
          </w:p>
        </w:tc>
        <w:tc>
          <w:tcPr>
            <w:tcW w:w="1119" w:type="pct"/>
            <w:shd w:val="clear" w:color="auto" w:fill="auto"/>
            <w:noWrap w:val="0"/>
            <w:vAlign w:val="center"/>
          </w:tcPr>
          <w:p>
            <w:pPr>
              <w:pStyle w:val="42"/>
              <w:rPr>
                <w:rFonts w:hint="default" w:ascii="Times New Roman" w:hAnsi="Times New Roman" w:cs="Times New Roman"/>
                <w:color w:val="0000FF"/>
                <w:highlight w:val="none"/>
              </w:rPr>
            </w:pPr>
            <w:r>
              <w:rPr>
                <w:rFonts w:hint="default" w:ascii="Times New Roman" w:hAnsi="Times New Roman" w:eastAsia="Times New Roman" w:cs="Times New Roman"/>
                <w:color w:val="0000FF"/>
                <w:spacing w:val="-13"/>
                <w:sz w:val="24"/>
                <w:szCs w:val="24"/>
              </w:rPr>
              <w:t>101.93999</w:t>
            </w:r>
          </w:p>
        </w:tc>
        <w:tc>
          <w:tcPr>
            <w:tcW w:w="1392" w:type="pct"/>
            <w:shd w:val="clear" w:color="auto" w:fill="auto"/>
            <w:noWrap w:val="0"/>
            <w:vAlign w:val="center"/>
          </w:tcPr>
          <w:p>
            <w:pPr>
              <w:pStyle w:val="42"/>
              <w:rPr>
                <w:rFonts w:hint="default" w:ascii="Times New Roman" w:hAnsi="Times New Roman" w:cs="Times New Roman"/>
                <w:color w:val="0000FF"/>
                <w:highlight w:val="none"/>
              </w:rPr>
            </w:pPr>
            <w:r>
              <w:rPr>
                <w:rFonts w:hint="default" w:ascii="Times New Roman" w:hAnsi="Times New Roman" w:eastAsia="Times New Roman" w:cs="Times New Roman"/>
                <w:color w:val="0000FF"/>
                <w:spacing w:val="-13"/>
                <w:sz w:val="24"/>
                <w:szCs w:val="24"/>
              </w:rPr>
              <w:t>26.03097</w:t>
            </w:r>
          </w:p>
        </w:tc>
        <w:tc>
          <w:tcPr>
            <w:tcW w:w="1070" w:type="pct"/>
            <w:shd w:val="clear" w:color="auto" w:fill="auto"/>
            <w:noWrap w:val="0"/>
            <w:vAlign w:val="center"/>
          </w:tcPr>
          <w:p>
            <w:pPr>
              <w:pStyle w:val="42"/>
              <w:rPr>
                <w:rFonts w:hint="default" w:ascii="Times New Roman" w:hAnsi="Times New Roman" w:eastAsia="宋体" w:cs="Times New Roman"/>
                <w:color w:val="0000FF"/>
                <w:highlight w:val="none"/>
                <w:lang w:val="en-US" w:eastAsia="zh-CN"/>
              </w:rPr>
            </w:pPr>
            <w:r>
              <w:rPr>
                <w:rFonts w:hint="eastAsia" w:ascii="Times New Roman" w:hAnsi="Times New Roman" w:cs="Times New Roman"/>
                <w:color w:val="0000FF"/>
                <w:highlight w:val="none"/>
                <w:lang w:val="en-US" w:eastAsia="zh-CN"/>
              </w:rPr>
              <w:t>1851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417" w:type="pct"/>
            <w:gridSpan w:val="2"/>
            <w:shd w:val="clear" w:color="auto" w:fill="auto"/>
            <w:noWrap w:val="0"/>
            <w:vAlign w:val="center"/>
          </w:tcPr>
          <w:p>
            <w:pPr>
              <w:pStyle w:val="42"/>
              <w:rPr>
                <w:rFonts w:hint="default" w:ascii="Times New Roman" w:hAnsi="Times New Roman" w:cs="Times New Roman"/>
                <w:color w:val="0000FF"/>
                <w:highlight w:val="none"/>
                <w:lang w:val="en-US" w:eastAsia="zh-CN"/>
              </w:rPr>
            </w:pPr>
            <w:r>
              <w:rPr>
                <w:rFonts w:hint="eastAsia" w:ascii="Times New Roman" w:hAnsi="Times New Roman" w:cs="Times New Roman"/>
                <w:color w:val="0000FF"/>
                <w:highlight w:val="none"/>
                <w:lang w:val="en-US" w:eastAsia="zh-CN"/>
              </w:rPr>
              <w:t>引用</w:t>
            </w:r>
            <w:r>
              <w:rPr>
                <w:rFonts w:hint="default" w:ascii="Times New Roman" w:hAnsi="Times New Roman" w:cs="Times New Roman"/>
                <w:color w:val="0000FF"/>
                <w:highlight w:val="none"/>
                <w:lang w:val="en-US" w:eastAsia="zh-CN"/>
              </w:rPr>
              <w:t>2#阿拉益村水井</w:t>
            </w:r>
          </w:p>
        </w:tc>
        <w:tc>
          <w:tcPr>
            <w:tcW w:w="1119" w:type="pct"/>
            <w:shd w:val="clear" w:color="auto" w:fill="auto"/>
            <w:noWrap w:val="0"/>
            <w:vAlign w:val="center"/>
          </w:tcPr>
          <w:p>
            <w:pPr>
              <w:pStyle w:val="42"/>
              <w:rPr>
                <w:rFonts w:hint="default" w:ascii="Times New Roman" w:hAnsi="Times New Roman" w:eastAsia="Times New Roman" w:cs="Times New Roman"/>
                <w:color w:val="0000FF"/>
                <w:spacing w:val="-14"/>
                <w:sz w:val="24"/>
                <w:szCs w:val="24"/>
              </w:rPr>
            </w:pPr>
            <w:r>
              <w:rPr>
                <w:rFonts w:hint="default" w:ascii="Times New Roman" w:hAnsi="Times New Roman" w:eastAsia="Times New Roman" w:cs="Times New Roman"/>
                <w:color w:val="0000FF"/>
                <w:spacing w:val="-14"/>
                <w:sz w:val="24"/>
                <w:szCs w:val="24"/>
              </w:rPr>
              <w:t>101.95758</w:t>
            </w:r>
          </w:p>
        </w:tc>
        <w:tc>
          <w:tcPr>
            <w:tcW w:w="1392" w:type="pct"/>
            <w:shd w:val="clear" w:color="auto" w:fill="auto"/>
            <w:noWrap w:val="0"/>
            <w:vAlign w:val="center"/>
          </w:tcPr>
          <w:p>
            <w:pPr>
              <w:pStyle w:val="42"/>
              <w:rPr>
                <w:rFonts w:hint="default" w:ascii="Times New Roman" w:hAnsi="Times New Roman" w:eastAsia="Times New Roman" w:cs="Times New Roman"/>
                <w:color w:val="0000FF"/>
                <w:spacing w:val="-14"/>
                <w:sz w:val="24"/>
                <w:szCs w:val="24"/>
              </w:rPr>
            </w:pPr>
            <w:r>
              <w:rPr>
                <w:rFonts w:hint="default" w:ascii="Times New Roman" w:hAnsi="Times New Roman" w:eastAsia="Times New Roman" w:cs="Times New Roman"/>
                <w:color w:val="0000FF"/>
                <w:spacing w:val="-14"/>
                <w:sz w:val="24"/>
                <w:szCs w:val="24"/>
              </w:rPr>
              <w:t>26.05335</w:t>
            </w:r>
          </w:p>
        </w:tc>
        <w:tc>
          <w:tcPr>
            <w:tcW w:w="1070" w:type="pct"/>
            <w:shd w:val="clear" w:color="auto" w:fill="auto"/>
            <w:noWrap w:val="0"/>
            <w:vAlign w:val="center"/>
          </w:tcPr>
          <w:p>
            <w:pPr>
              <w:pStyle w:val="42"/>
              <w:rPr>
                <w:rFonts w:hint="default" w:ascii="Times New Roman" w:hAnsi="Times New Roman" w:eastAsia="宋体" w:cs="Times New Roman"/>
                <w:color w:val="0000FF"/>
                <w:highlight w:val="none"/>
                <w:lang w:val="en-US" w:eastAsia="zh-CN"/>
              </w:rPr>
            </w:pPr>
            <w:r>
              <w:rPr>
                <w:rFonts w:hint="eastAsia" w:ascii="Times New Roman" w:hAnsi="Times New Roman" w:cs="Times New Roman"/>
                <w:color w:val="0000FF"/>
                <w:highlight w:val="none"/>
                <w:lang w:val="en-US" w:eastAsia="zh-CN"/>
              </w:rPr>
              <w:t>1832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7" w:type="pct"/>
            <w:gridSpan w:val="2"/>
            <w:shd w:val="clear" w:color="auto" w:fill="auto"/>
            <w:noWrap w:val="0"/>
            <w:vAlign w:val="center"/>
          </w:tcPr>
          <w:p>
            <w:pPr>
              <w:pStyle w:val="42"/>
              <w:rPr>
                <w:rFonts w:hint="default" w:ascii="Times New Roman" w:hAnsi="Times New Roman" w:cs="Times New Roman"/>
                <w:color w:val="0000FF"/>
                <w:highlight w:val="none"/>
                <w:lang w:val="en-US" w:eastAsia="zh-CN"/>
              </w:rPr>
            </w:pPr>
            <w:r>
              <w:rPr>
                <w:rFonts w:hint="eastAsia" w:ascii="Times New Roman" w:hAnsi="Times New Roman" w:cs="Times New Roman"/>
                <w:color w:val="0000FF"/>
                <w:highlight w:val="none"/>
                <w:lang w:val="en-US" w:eastAsia="zh-CN"/>
              </w:rPr>
              <w:t>现状沙沟箐村水井</w:t>
            </w:r>
          </w:p>
        </w:tc>
        <w:tc>
          <w:tcPr>
            <w:tcW w:w="1119" w:type="pct"/>
            <w:shd w:val="clear" w:color="auto" w:fill="auto"/>
            <w:noWrap w:val="0"/>
            <w:vAlign w:val="center"/>
          </w:tcPr>
          <w:p>
            <w:pPr>
              <w:pStyle w:val="42"/>
              <w:rPr>
                <w:rFonts w:hint="default" w:ascii="Times New Roman" w:hAnsi="Times New Roman" w:eastAsia="Times New Roman" w:cs="Times New Roman"/>
                <w:color w:val="0000FF"/>
                <w:spacing w:val="-14"/>
                <w:sz w:val="24"/>
                <w:szCs w:val="24"/>
                <w:lang w:val="en-US" w:eastAsia="zh-CN"/>
              </w:rPr>
            </w:pPr>
            <w:r>
              <w:rPr>
                <w:rFonts w:hint="default" w:ascii="Times New Roman" w:hAnsi="Times New Roman" w:eastAsia="Times New Roman" w:cs="Times New Roman"/>
                <w:color w:val="0000FF"/>
                <w:spacing w:val="-14"/>
                <w:sz w:val="24"/>
                <w:szCs w:val="24"/>
              </w:rPr>
              <w:t>101.882</w:t>
            </w:r>
            <w:r>
              <w:rPr>
                <w:rFonts w:hint="default" w:ascii="Times New Roman" w:hAnsi="Times New Roman" w:eastAsia="Times New Roman" w:cs="Times New Roman"/>
                <w:color w:val="0000FF"/>
                <w:spacing w:val="-14"/>
                <w:sz w:val="24"/>
                <w:szCs w:val="24"/>
                <w:lang w:val="en-US" w:eastAsia="zh-CN"/>
              </w:rPr>
              <w:t>7</w:t>
            </w:r>
          </w:p>
        </w:tc>
        <w:tc>
          <w:tcPr>
            <w:tcW w:w="1392" w:type="pct"/>
            <w:shd w:val="clear" w:color="auto" w:fill="auto"/>
            <w:noWrap w:val="0"/>
            <w:vAlign w:val="center"/>
          </w:tcPr>
          <w:p>
            <w:pPr>
              <w:pStyle w:val="42"/>
              <w:rPr>
                <w:rFonts w:hint="default" w:ascii="Times New Roman" w:hAnsi="Times New Roman" w:eastAsia="Times New Roman" w:cs="Times New Roman"/>
                <w:color w:val="0000FF"/>
                <w:spacing w:val="-14"/>
                <w:sz w:val="24"/>
                <w:szCs w:val="24"/>
                <w:lang w:eastAsia="zh-CN"/>
              </w:rPr>
            </w:pPr>
            <w:r>
              <w:rPr>
                <w:rFonts w:hint="default" w:ascii="Times New Roman" w:hAnsi="Times New Roman" w:eastAsia="Times New Roman" w:cs="Times New Roman"/>
                <w:color w:val="0000FF"/>
                <w:spacing w:val="-14"/>
                <w:sz w:val="24"/>
                <w:szCs w:val="24"/>
              </w:rPr>
              <w:t>26.010</w:t>
            </w:r>
            <w:r>
              <w:rPr>
                <w:rFonts w:hint="default" w:ascii="Times New Roman" w:hAnsi="Times New Roman" w:eastAsia="Times New Roman" w:cs="Times New Roman"/>
                <w:color w:val="0000FF"/>
                <w:spacing w:val="-14"/>
                <w:sz w:val="24"/>
                <w:szCs w:val="24"/>
                <w:lang w:val="en-US" w:eastAsia="zh-CN"/>
              </w:rPr>
              <w:t>5</w:t>
            </w:r>
          </w:p>
        </w:tc>
        <w:tc>
          <w:tcPr>
            <w:tcW w:w="1070" w:type="pct"/>
            <w:shd w:val="clear" w:color="auto" w:fill="auto"/>
            <w:noWrap w:val="0"/>
            <w:vAlign w:val="center"/>
          </w:tcPr>
          <w:p>
            <w:pPr>
              <w:pStyle w:val="42"/>
              <w:rPr>
                <w:rFonts w:hint="default" w:ascii="Times New Roman" w:hAnsi="Times New Roman" w:eastAsia="宋" w:cs="Times New Roman"/>
                <w:color w:val="0000FF"/>
                <w:highlight w:val="none"/>
                <w:lang w:val="en-US" w:eastAsia="zh-CN"/>
              </w:rPr>
            </w:pPr>
            <w:r>
              <w:rPr>
                <w:rFonts w:hint="eastAsia" w:eastAsia="宋" w:cs="Times New Roman"/>
                <w:color w:val="0000FF"/>
                <w:highlight w:val="none"/>
                <w:lang w:val="en-US" w:eastAsia="zh-CN"/>
              </w:rPr>
              <w:t>1120</w:t>
            </w:r>
          </w:p>
        </w:tc>
      </w:tr>
    </w:tbl>
    <w:p>
      <w:pPr>
        <w:pStyle w:val="5"/>
        <w:numPr>
          <w:ilvl w:val="3"/>
          <w:numId w:val="18"/>
        </w:numPr>
        <w:tabs>
          <w:tab w:val="clear" w:pos="0"/>
        </w:tabs>
        <w:bidi w:val="0"/>
        <w:ind w:left="480" w:leftChars="0" w:firstLineChars="0"/>
        <w:rPr>
          <w:rFonts w:hint="default"/>
          <w:color w:val="0000FF"/>
        </w:rPr>
      </w:pPr>
      <w:r>
        <w:rPr>
          <w:rFonts w:hint="eastAsia"/>
          <w:color w:val="0000FF"/>
          <w:lang w:val="en-US" w:eastAsia="zh-CN"/>
        </w:rPr>
        <w:t>地下水质量监测</w:t>
      </w:r>
    </w:p>
    <w:p>
      <w:pPr>
        <w:bidi w:val="0"/>
        <w:rPr>
          <w:rFonts w:hint="default" w:eastAsia="宋体"/>
          <w:b/>
          <w:bCs/>
          <w:color w:val="0000FF"/>
          <w:lang w:val="en-US" w:eastAsia="zh-CN"/>
        </w:rPr>
      </w:pPr>
      <w:r>
        <w:rPr>
          <w:rFonts w:hint="eastAsia"/>
          <w:b/>
          <w:bCs/>
          <w:color w:val="0000FF"/>
          <w:lang w:val="en-US" w:eastAsia="zh-CN"/>
        </w:rPr>
        <w:t>1、检测方案</w:t>
      </w:r>
    </w:p>
    <w:p>
      <w:pPr>
        <w:ind w:firstLine="480"/>
        <w:rPr>
          <w:rFonts w:hint="default" w:ascii="Times New Roman" w:hAnsi="Times New Roman" w:cs="Times New Roman"/>
          <w:bCs/>
          <w:color w:val="0000FF"/>
          <w:kern w:val="24"/>
          <w:highlight w:val="none"/>
        </w:rPr>
      </w:pPr>
      <w:r>
        <w:rPr>
          <w:rFonts w:hint="default" w:ascii="Times New Roman" w:hAnsi="Times New Roman" w:cs="Times New Roman"/>
          <w:bCs/>
          <w:color w:val="0000FF"/>
          <w:kern w:val="24"/>
          <w:highlight w:val="none"/>
        </w:rPr>
        <w:t>根据现场调查及工程特点，本次地下水</w:t>
      </w:r>
      <w:r>
        <w:rPr>
          <w:rFonts w:hint="eastAsia" w:ascii="Times New Roman" w:hAnsi="Times New Roman" w:cs="Times New Roman"/>
          <w:bCs/>
          <w:color w:val="0000FF"/>
          <w:kern w:val="24"/>
          <w:highlight w:val="none"/>
          <w:lang w:val="en-US" w:eastAsia="zh-CN"/>
        </w:rPr>
        <w:t>引用检测2个点，</w:t>
      </w:r>
      <w:r>
        <w:rPr>
          <w:rFonts w:hint="default" w:ascii="Times New Roman" w:hAnsi="Times New Roman" w:cs="Times New Roman"/>
          <w:bCs/>
          <w:color w:val="0000FF"/>
          <w:kern w:val="24"/>
          <w:highlight w:val="none"/>
        </w:rPr>
        <w:t>现状监测</w:t>
      </w:r>
      <w:r>
        <w:rPr>
          <w:rFonts w:hint="eastAsia" w:ascii="Times New Roman" w:hAnsi="Times New Roman" w:cs="Times New Roman"/>
          <w:bCs/>
          <w:color w:val="0000FF"/>
          <w:kern w:val="24"/>
          <w:highlight w:val="none"/>
          <w:lang w:val="en-US" w:eastAsia="zh-CN"/>
        </w:rPr>
        <w:t>1</w:t>
      </w:r>
      <w:r>
        <w:rPr>
          <w:rFonts w:hint="default" w:ascii="Times New Roman" w:hAnsi="Times New Roman" w:cs="Times New Roman"/>
          <w:bCs/>
          <w:color w:val="0000FF"/>
          <w:kern w:val="24"/>
          <w:highlight w:val="none"/>
        </w:rPr>
        <w:t>个点，具体见下表：</w:t>
      </w:r>
    </w:p>
    <w:p>
      <w:pPr>
        <w:pStyle w:val="40"/>
        <w:ind w:firstLine="482"/>
        <w:rPr>
          <w:rFonts w:hint="default" w:ascii="Times New Roman" w:hAnsi="Times New Roman" w:cs="Times New Roman"/>
          <w:color w:val="0000FF"/>
          <w:highlight w:val="none"/>
        </w:rPr>
      </w:pPr>
      <w:r>
        <w:rPr>
          <w:rFonts w:hint="default" w:ascii="Times New Roman" w:hAnsi="Times New Roman" w:cs="Times New Roman"/>
          <w:color w:val="0000FF"/>
          <w:highlight w:val="none"/>
        </w:rPr>
        <w:t>表</w:t>
      </w:r>
      <w:r>
        <w:rPr>
          <w:rFonts w:hint="eastAsia" w:ascii="Times New Roman" w:hAnsi="Times New Roman" w:cs="Times New Roman"/>
          <w:color w:val="0000FF"/>
          <w:highlight w:val="none"/>
          <w:lang w:val="en-US" w:eastAsia="zh-CN"/>
        </w:rPr>
        <w:t>4.2.5</w:t>
      </w:r>
      <w:r>
        <w:rPr>
          <w:rFonts w:hint="default" w:ascii="Times New Roman" w:hAnsi="Times New Roman" w:cs="Times New Roman"/>
          <w:color w:val="0000FF"/>
          <w:highlight w:val="none"/>
        </w:rPr>
        <w:t>-</w:t>
      </w:r>
      <w:r>
        <w:rPr>
          <w:rFonts w:hint="eastAsia" w:cs="Times New Roman"/>
          <w:color w:val="0000FF"/>
          <w:highlight w:val="none"/>
          <w:lang w:val="en-US" w:eastAsia="zh-CN"/>
        </w:rPr>
        <w:t>2</w:t>
      </w:r>
      <w:r>
        <w:rPr>
          <w:rFonts w:hint="default" w:ascii="Times New Roman" w:hAnsi="Times New Roman" w:cs="Times New Roman"/>
          <w:color w:val="0000FF"/>
          <w:highlight w:val="none"/>
        </w:rPr>
        <w:t xml:space="preserve">   地下水环境现状监测点位</w:t>
      </w:r>
    </w:p>
    <w:tbl>
      <w:tblPr>
        <w:tblStyle w:val="2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5"/>
        <w:gridCol w:w="1325"/>
        <w:gridCol w:w="2718"/>
        <w:gridCol w:w="1301"/>
        <w:gridCol w:w="13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5" w:type="pct"/>
            <w:noWrap w:val="0"/>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监测点</w:t>
            </w:r>
          </w:p>
        </w:tc>
        <w:tc>
          <w:tcPr>
            <w:tcW w:w="778" w:type="pct"/>
            <w:noWrap w:val="0"/>
            <w:vAlign w:val="center"/>
          </w:tcPr>
          <w:p>
            <w:pPr>
              <w:pStyle w:val="42"/>
              <w:rPr>
                <w:rFonts w:hint="default" w:ascii="Times New Roman" w:hAnsi="Times New Roman" w:cs="Times New Roman"/>
                <w:color w:val="0000FF"/>
                <w:highlight w:val="none"/>
                <w:lang w:val="en-US" w:eastAsia="zh-CN"/>
              </w:rPr>
            </w:pPr>
            <w:r>
              <w:rPr>
                <w:rFonts w:hint="eastAsia" w:ascii="Times New Roman" w:hAnsi="Times New Roman" w:cs="Times New Roman"/>
                <w:color w:val="0000FF"/>
                <w:highlight w:val="none"/>
                <w:lang w:val="en-US" w:eastAsia="zh-CN"/>
              </w:rPr>
              <w:t>检测时间/频次</w:t>
            </w:r>
          </w:p>
        </w:tc>
        <w:tc>
          <w:tcPr>
            <w:tcW w:w="1596" w:type="pct"/>
            <w:noWrap w:val="0"/>
            <w:vAlign w:val="center"/>
          </w:tcPr>
          <w:p>
            <w:pPr>
              <w:pStyle w:val="42"/>
              <w:rPr>
                <w:rFonts w:hint="default" w:ascii="Times New Roman" w:hAnsi="Times New Roman" w:cs="Times New Roman"/>
                <w:color w:val="0000FF"/>
                <w:highlight w:val="none"/>
                <w:lang w:val="en-US" w:eastAsia="zh-CN"/>
              </w:rPr>
            </w:pPr>
            <w:r>
              <w:rPr>
                <w:rFonts w:hint="eastAsia" w:ascii="Times New Roman" w:hAnsi="Times New Roman" w:cs="Times New Roman"/>
                <w:color w:val="0000FF"/>
                <w:highlight w:val="none"/>
                <w:lang w:val="en-US" w:eastAsia="zh-CN"/>
              </w:rPr>
              <w:t>检测指标</w:t>
            </w:r>
          </w:p>
        </w:tc>
        <w:tc>
          <w:tcPr>
            <w:tcW w:w="764" w:type="pct"/>
            <w:noWrap w:val="0"/>
            <w:vAlign w:val="center"/>
          </w:tcPr>
          <w:p>
            <w:pPr>
              <w:pStyle w:val="42"/>
              <w:rPr>
                <w:rFonts w:hint="default" w:ascii="Times New Roman" w:hAnsi="Times New Roman" w:cs="Times New Roman"/>
                <w:color w:val="0000FF"/>
                <w:highlight w:val="none"/>
                <w:lang w:val="en-US" w:eastAsia="zh-CN"/>
              </w:rPr>
            </w:pPr>
            <w:r>
              <w:rPr>
                <w:rFonts w:hint="eastAsia" w:ascii="Times New Roman" w:hAnsi="Times New Roman" w:cs="Times New Roman"/>
                <w:color w:val="0000FF"/>
                <w:highlight w:val="none"/>
                <w:lang w:val="en-US" w:eastAsia="zh-CN"/>
              </w:rPr>
              <w:t>功能</w:t>
            </w:r>
          </w:p>
        </w:tc>
        <w:tc>
          <w:tcPr>
            <w:tcW w:w="764" w:type="pct"/>
            <w:noWrap w:val="0"/>
            <w:vAlign w:val="center"/>
          </w:tcPr>
          <w:p>
            <w:pPr>
              <w:pStyle w:val="42"/>
              <w:rPr>
                <w:rFonts w:hint="default" w:ascii="Times New Roman" w:hAnsi="Times New Roman" w:eastAsia="宋" w:cs="Times New Roman"/>
                <w:color w:val="0000FF"/>
                <w:highlight w:val="none"/>
                <w:lang w:val="en-US" w:eastAsia="zh-CN"/>
              </w:rPr>
            </w:pPr>
            <w:r>
              <w:rPr>
                <w:rFonts w:hint="default" w:ascii="Times New Roman" w:hAnsi="Times New Roman" w:cs="Times New Roman"/>
                <w:color w:val="0000FF"/>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5" w:type="pct"/>
            <w:noWrap w:val="0"/>
            <w:vAlign w:val="center"/>
          </w:tcPr>
          <w:p>
            <w:pPr>
              <w:pStyle w:val="42"/>
              <w:ind w:firstLine="0" w:firstLineChars="0"/>
              <w:rPr>
                <w:rFonts w:hint="default" w:ascii="Times New Roman" w:hAnsi="Times New Roman" w:cs="Times New Roman"/>
                <w:color w:val="0000FF"/>
                <w:highlight w:val="none"/>
              </w:rPr>
            </w:pPr>
            <w:r>
              <w:rPr>
                <w:rFonts w:hint="eastAsia" w:ascii="Times New Roman" w:hAnsi="Times New Roman" w:cs="Times New Roman"/>
                <w:color w:val="0000FF"/>
                <w:highlight w:val="none"/>
                <w:lang w:val="en-US" w:eastAsia="zh-CN"/>
              </w:rPr>
              <w:t>引用</w:t>
            </w:r>
            <w:r>
              <w:rPr>
                <w:rFonts w:hint="default" w:ascii="Times New Roman" w:hAnsi="Times New Roman" w:cs="Times New Roman"/>
                <w:color w:val="0000FF"/>
                <w:highlight w:val="none"/>
                <w:lang w:val="en-US" w:eastAsia="zh-CN"/>
              </w:rPr>
              <w:t>1#旧村水井</w:t>
            </w:r>
          </w:p>
        </w:tc>
        <w:tc>
          <w:tcPr>
            <w:tcW w:w="778" w:type="pct"/>
            <w:vMerge w:val="restart"/>
            <w:noWrap w:val="0"/>
            <w:vAlign w:val="center"/>
          </w:tcPr>
          <w:p>
            <w:pPr>
              <w:pStyle w:val="42"/>
              <w:rPr>
                <w:rFonts w:hint="default" w:ascii="Times New Roman" w:hAnsi="Times New Roman" w:cs="Times New Roman"/>
                <w:color w:val="0000FF"/>
                <w:highlight w:val="none"/>
                <w:lang w:val="en-US" w:eastAsia="zh-CN"/>
              </w:rPr>
            </w:pPr>
            <w:r>
              <w:rPr>
                <w:rFonts w:hint="default" w:ascii="Times New Roman" w:hAnsi="Times New Roman" w:cs="Times New Roman"/>
                <w:color w:val="0000FF"/>
                <w:highlight w:val="none"/>
                <w:lang w:val="en-US" w:eastAsia="zh-CN"/>
              </w:rPr>
              <w:t>2022</w:t>
            </w:r>
            <w:r>
              <w:rPr>
                <w:rFonts w:hint="eastAsia" w:ascii="Times New Roman" w:hAnsi="Times New Roman" w:cs="Times New Roman"/>
                <w:color w:val="0000FF"/>
                <w:highlight w:val="none"/>
                <w:lang w:val="en-US" w:eastAsia="zh-CN"/>
              </w:rPr>
              <w:t>年</w:t>
            </w:r>
            <w:r>
              <w:rPr>
                <w:rFonts w:hint="default" w:ascii="Times New Roman" w:hAnsi="Times New Roman" w:cs="Times New Roman"/>
                <w:color w:val="0000FF"/>
                <w:highlight w:val="none"/>
                <w:lang w:val="en-US" w:eastAsia="zh-CN"/>
              </w:rPr>
              <w:t>12</w:t>
            </w:r>
            <w:r>
              <w:rPr>
                <w:rFonts w:hint="eastAsia" w:ascii="Times New Roman" w:hAnsi="Times New Roman" w:cs="Times New Roman"/>
                <w:color w:val="0000FF"/>
                <w:highlight w:val="none"/>
                <w:lang w:val="en-US" w:eastAsia="zh-CN"/>
              </w:rPr>
              <w:t>月</w:t>
            </w:r>
            <w:r>
              <w:rPr>
                <w:rFonts w:hint="default" w:ascii="Times New Roman" w:hAnsi="Times New Roman" w:cs="Times New Roman"/>
                <w:color w:val="0000FF"/>
                <w:highlight w:val="none"/>
                <w:lang w:val="en-US" w:eastAsia="zh-CN"/>
              </w:rPr>
              <w:t>3</w:t>
            </w:r>
            <w:r>
              <w:rPr>
                <w:rFonts w:hint="eastAsia" w:ascii="Times New Roman" w:hAnsi="Times New Roman" w:cs="Times New Roman"/>
                <w:color w:val="0000FF"/>
                <w:highlight w:val="none"/>
                <w:lang w:val="en-US" w:eastAsia="zh-CN"/>
              </w:rPr>
              <w:t>日~</w:t>
            </w:r>
            <w:r>
              <w:rPr>
                <w:rFonts w:hint="default" w:ascii="Times New Roman" w:hAnsi="Times New Roman" w:cs="Times New Roman"/>
                <w:color w:val="0000FF"/>
                <w:highlight w:val="none"/>
                <w:lang w:val="en-US" w:eastAsia="zh-CN"/>
              </w:rPr>
              <w:t>5</w:t>
            </w:r>
            <w:r>
              <w:rPr>
                <w:rFonts w:hint="eastAsia" w:ascii="Times New Roman" w:hAnsi="Times New Roman" w:cs="Times New Roman"/>
                <w:color w:val="0000FF"/>
                <w:highlight w:val="none"/>
                <w:lang w:val="en-US" w:eastAsia="zh-CN"/>
              </w:rPr>
              <w:t>日，连续监测3天，每天采样1次</w:t>
            </w:r>
            <w:r>
              <w:rPr>
                <w:rFonts w:hint="default" w:ascii="Times New Roman" w:hAnsi="Times New Roman" w:cs="Times New Roman"/>
                <w:color w:val="0000FF"/>
                <w:highlight w:val="none"/>
                <w:lang w:val="en-US" w:eastAsia="zh-CN"/>
              </w:rPr>
              <w:tab/>
            </w:r>
            <w:r>
              <w:rPr>
                <w:rFonts w:hint="default" w:ascii="Times New Roman" w:hAnsi="Times New Roman" w:cs="Times New Roman"/>
                <w:color w:val="0000FF"/>
                <w:highlight w:val="none"/>
                <w:lang w:val="en-US" w:eastAsia="zh-CN"/>
              </w:rPr>
              <w:t>2022.12.05/2</w:t>
            </w:r>
          </w:p>
        </w:tc>
        <w:tc>
          <w:tcPr>
            <w:tcW w:w="1596" w:type="pct"/>
            <w:vMerge w:val="restart"/>
            <w:noWrap w:val="0"/>
            <w:vAlign w:val="center"/>
          </w:tcPr>
          <w:p>
            <w:pPr>
              <w:pStyle w:val="42"/>
              <w:rPr>
                <w:rFonts w:hint="default" w:ascii="Times New Roman" w:hAnsi="Times New Roman" w:cs="Times New Roman"/>
                <w:color w:val="0000FF"/>
                <w:highlight w:val="none"/>
                <w:lang w:val="en-US" w:eastAsia="zh-CN"/>
              </w:rPr>
            </w:pPr>
            <w:r>
              <w:rPr>
                <w:rFonts w:hint="default" w:ascii="Times New Roman" w:hAnsi="Times New Roman" w:cs="Times New Roman"/>
                <w:color w:val="0000FF"/>
                <w:highlight w:val="none"/>
                <w:lang w:val="en-US" w:eastAsia="zh-CN"/>
              </w:rPr>
              <w:t>K+、Na+、Ca+、Mg</w:t>
            </w:r>
            <w:r>
              <w:rPr>
                <w:rFonts w:hint="default" w:ascii="Times New Roman" w:hAnsi="Times New Roman" w:cs="Times New Roman"/>
                <w:color w:val="0000FF"/>
                <w:highlight w:val="none"/>
                <w:vertAlign w:val="superscript"/>
                <w:lang w:val="en-US" w:eastAsia="zh-CN"/>
              </w:rPr>
              <w:t>2+</w:t>
            </w:r>
            <w:r>
              <w:rPr>
                <w:rFonts w:hint="default" w:ascii="Times New Roman" w:hAnsi="Times New Roman" w:cs="Times New Roman"/>
                <w:color w:val="0000FF"/>
                <w:highlight w:val="none"/>
                <w:lang w:val="en-US" w:eastAsia="zh-CN"/>
              </w:rPr>
              <w:t>、CO</w:t>
            </w:r>
            <w:r>
              <w:rPr>
                <w:rFonts w:hint="default" w:ascii="Times New Roman" w:hAnsi="Times New Roman" w:cs="Times New Roman"/>
                <w:color w:val="0000FF"/>
                <w:highlight w:val="none"/>
                <w:vertAlign w:val="superscript"/>
                <w:lang w:val="en-US" w:eastAsia="zh-CN"/>
              </w:rPr>
              <w:t>3-</w:t>
            </w:r>
            <w:r>
              <w:rPr>
                <w:rFonts w:hint="default" w:ascii="Times New Roman" w:hAnsi="Times New Roman" w:cs="Times New Roman"/>
                <w:color w:val="0000FF"/>
                <w:highlight w:val="none"/>
                <w:lang w:val="en-US" w:eastAsia="zh-CN"/>
              </w:rPr>
              <w:t>、HCO</w:t>
            </w:r>
            <w:r>
              <w:rPr>
                <w:rFonts w:hint="default" w:ascii="Times New Roman" w:hAnsi="Times New Roman" w:cs="Times New Roman"/>
                <w:color w:val="0000FF"/>
                <w:highlight w:val="none"/>
                <w:vertAlign w:val="superscript"/>
                <w:lang w:val="en-US" w:eastAsia="zh-CN"/>
              </w:rPr>
              <w:t>3-</w:t>
            </w:r>
            <w:r>
              <w:rPr>
                <w:rFonts w:hint="default" w:ascii="Times New Roman" w:hAnsi="Times New Roman" w:cs="Times New Roman"/>
                <w:color w:val="0000FF"/>
                <w:highlight w:val="none"/>
                <w:lang w:val="en-US" w:eastAsia="zh-CN"/>
              </w:rPr>
              <w:t>、Cl</w:t>
            </w:r>
            <w:r>
              <w:rPr>
                <w:rFonts w:hint="default" w:ascii="Times New Roman" w:hAnsi="Times New Roman" w:cs="Times New Roman"/>
                <w:color w:val="0000FF"/>
                <w:highlight w:val="none"/>
                <w:vertAlign w:val="superscript"/>
                <w:lang w:val="en-US" w:eastAsia="zh-CN"/>
              </w:rPr>
              <w:t>-</w:t>
            </w:r>
            <w:r>
              <w:rPr>
                <w:rFonts w:hint="default" w:ascii="Times New Roman" w:hAnsi="Times New Roman" w:cs="Times New Roman"/>
                <w:color w:val="0000FF"/>
                <w:highlight w:val="none"/>
                <w:lang w:val="en-US" w:eastAsia="zh-CN"/>
              </w:rPr>
              <w:t>、SO</w:t>
            </w:r>
            <w:r>
              <w:rPr>
                <w:rFonts w:hint="default" w:ascii="Times New Roman" w:hAnsi="Times New Roman" w:cs="Times New Roman"/>
                <w:color w:val="0000FF"/>
                <w:highlight w:val="none"/>
                <w:vertAlign w:val="subscript"/>
                <w:lang w:val="en-US" w:eastAsia="zh-CN"/>
              </w:rPr>
              <w:t>4</w:t>
            </w:r>
            <w:r>
              <w:rPr>
                <w:rFonts w:hint="default" w:ascii="Times New Roman" w:hAnsi="Times New Roman" w:cs="Times New Roman"/>
                <w:color w:val="0000FF"/>
                <w:highlight w:val="none"/>
                <w:vertAlign w:val="superscript"/>
                <w:lang w:val="en-US" w:eastAsia="zh-CN"/>
              </w:rPr>
              <w:t>2-</w:t>
            </w:r>
            <w:r>
              <w:rPr>
                <w:rFonts w:hint="default" w:ascii="Times New Roman" w:hAnsi="Times New Roman" w:cs="Times New Roman"/>
                <w:color w:val="0000FF"/>
                <w:highlight w:val="none"/>
                <w:lang w:val="en-US" w:eastAsia="zh-CN"/>
              </w:rPr>
              <w:t>、pH、氨氮、总硬度、氟化物、铁、锰、溶解性总固体、耗氧量、总大肠菌群、菌落总数</w:t>
            </w:r>
          </w:p>
        </w:tc>
        <w:tc>
          <w:tcPr>
            <w:tcW w:w="764" w:type="pct"/>
            <w:vMerge w:val="restart"/>
            <w:noWrap w:val="0"/>
            <w:vAlign w:val="center"/>
          </w:tcPr>
          <w:p>
            <w:pPr>
              <w:pStyle w:val="42"/>
              <w:rPr>
                <w:rFonts w:hint="default" w:ascii="Times New Roman" w:hAnsi="Times New Roman" w:cs="Times New Roman"/>
                <w:color w:val="0000FF"/>
                <w:highlight w:val="none"/>
                <w:lang w:val="en-US" w:eastAsia="zh-CN"/>
              </w:rPr>
            </w:pPr>
            <w:r>
              <w:rPr>
                <w:rFonts w:hint="default" w:ascii="Times New Roman" w:hAnsi="Times New Roman" w:eastAsia="宋体" w:cs="Times New Roman"/>
                <w:color w:val="0000FF"/>
                <w:sz w:val="21"/>
                <w:szCs w:val="21"/>
                <w:lang w:val="en-US" w:eastAsia="zh-CN"/>
              </w:rPr>
              <w:t>灌溉、牲畜用水</w:t>
            </w:r>
          </w:p>
        </w:tc>
        <w:tc>
          <w:tcPr>
            <w:tcW w:w="764" w:type="pct"/>
            <w:noWrap w:val="0"/>
            <w:vAlign w:val="center"/>
          </w:tcPr>
          <w:p>
            <w:pPr>
              <w:pStyle w:val="42"/>
              <w:rPr>
                <w:rFonts w:hint="default" w:ascii="Times New Roman" w:hAnsi="Times New Roman" w:eastAsia="宋" w:cs="Times New Roman"/>
                <w:color w:val="0000FF"/>
                <w:highlight w:val="none"/>
                <w:lang w:val="en-US" w:eastAsia="zh-CN"/>
              </w:rPr>
            </w:pPr>
            <w:r>
              <w:rPr>
                <w:rFonts w:hint="default" w:ascii="Times New Roman" w:hAnsi="Times New Roman" w:cs="Times New Roman"/>
                <w:color w:val="0000FF"/>
                <w:highlight w:val="none"/>
                <w:lang w:val="en-US" w:eastAsia="zh-CN"/>
              </w:rPr>
              <w:t>位于项目区</w:t>
            </w:r>
            <w:r>
              <w:rPr>
                <w:rFonts w:hint="eastAsia" w:ascii="Times New Roman" w:hAnsi="Times New Roman" w:cs="Times New Roman"/>
                <w:color w:val="0000FF"/>
                <w:highlight w:val="none"/>
                <w:lang w:val="en-US" w:eastAsia="zh-CN"/>
              </w:rPr>
              <w:t>侧游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5" w:type="pct"/>
            <w:noWrap w:val="0"/>
            <w:vAlign w:val="center"/>
          </w:tcPr>
          <w:p>
            <w:pPr>
              <w:pStyle w:val="42"/>
              <w:ind w:firstLine="0" w:firstLineChars="0"/>
              <w:rPr>
                <w:rFonts w:hint="default" w:ascii="Times New Roman" w:hAnsi="Times New Roman" w:cs="Times New Roman"/>
                <w:color w:val="0000FF"/>
                <w:highlight w:val="none"/>
              </w:rPr>
            </w:pPr>
            <w:r>
              <w:rPr>
                <w:rFonts w:hint="eastAsia" w:ascii="Times New Roman" w:hAnsi="Times New Roman" w:cs="Times New Roman"/>
                <w:color w:val="0000FF"/>
                <w:highlight w:val="none"/>
                <w:lang w:val="en-US" w:eastAsia="zh-CN"/>
              </w:rPr>
              <w:t>引用</w:t>
            </w:r>
            <w:r>
              <w:rPr>
                <w:rFonts w:hint="default" w:ascii="Times New Roman" w:hAnsi="Times New Roman" w:cs="Times New Roman"/>
                <w:color w:val="0000FF"/>
                <w:highlight w:val="none"/>
                <w:lang w:val="en-US" w:eastAsia="zh-CN"/>
              </w:rPr>
              <w:t>2#阿拉益村水井</w:t>
            </w:r>
          </w:p>
        </w:tc>
        <w:tc>
          <w:tcPr>
            <w:tcW w:w="778" w:type="pct"/>
            <w:vMerge w:val="continue"/>
            <w:noWrap w:val="0"/>
            <w:vAlign w:val="center"/>
          </w:tcPr>
          <w:p>
            <w:pPr>
              <w:pStyle w:val="42"/>
              <w:rPr>
                <w:rFonts w:hint="default" w:ascii="Times New Roman" w:hAnsi="Times New Roman" w:cs="Times New Roman"/>
                <w:color w:val="0000FF"/>
                <w:highlight w:val="none"/>
                <w:lang w:val="en-US" w:eastAsia="zh-CN"/>
              </w:rPr>
            </w:pPr>
          </w:p>
        </w:tc>
        <w:tc>
          <w:tcPr>
            <w:tcW w:w="1596" w:type="pct"/>
            <w:vMerge w:val="continue"/>
            <w:noWrap w:val="0"/>
            <w:vAlign w:val="center"/>
          </w:tcPr>
          <w:p>
            <w:pPr>
              <w:pStyle w:val="42"/>
              <w:rPr>
                <w:rFonts w:hint="default" w:ascii="Times New Roman" w:hAnsi="Times New Roman" w:cs="Times New Roman"/>
                <w:color w:val="0000FF"/>
                <w:highlight w:val="none"/>
                <w:lang w:val="en-US" w:eastAsia="zh-CN"/>
              </w:rPr>
            </w:pPr>
          </w:p>
        </w:tc>
        <w:tc>
          <w:tcPr>
            <w:tcW w:w="764" w:type="pct"/>
            <w:vMerge w:val="continue"/>
            <w:noWrap w:val="0"/>
            <w:vAlign w:val="center"/>
          </w:tcPr>
          <w:p>
            <w:pPr>
              <w:pStyle w:val="42"/>
              <w:rPr>
                <w:rFonts w:hint="default" w:ascii="Times New Roman" w:hAnsi="Times New Roman" w:cs="Times New Roman"/>
                <w:color w:val="0000FF"/>
                <w:highlight w:val="none"/>
                <w:lang w:val="en-US" w:eastAsia="zh-CN"/>
              </w:rPr>
            </w:pPr>
          </w:p>
        </w:tc>
        <w:tc>
          <w:tcPr>
            <w:tcW w:w="764" w:type="pct"/>
            <w:noWrap w:val="0"/>
            <w:vAlign w:val="center"/>
          </w:tcPr>
          <w:p>
            <w:pPr>
              <w:pStyle w:val="42"/>
              <w:rPr>
                <w:rFonts w:hint="default" w:ascii="Times New Roman" w:hAnsi="Times New Roman" w:eastAsia="宋" w:cs="Times New Roman"/>
                <w:color w:val="0000FF"/>
                <w:highlight w:val="none"/>
                <w:lang w:val="en-US" w:eastAsia="zh-CN"/>
              </w:rPr>
            </w:pPr>
            <w:r>
              <w:rPr>
                <w:rFonts w:hint="default" w:ascii="Times New Roman" w:hAnsi="Times New Roman" w:cs="Times New Roman"/>
                <w:color w:val="0000FF"/>
                <w:highlight w:val="none"/>
                <w:lang w:val="en-US" w:eastAsia="zh-CN"/>
              </w:rPr>
              <w:t>位于项目区</w:t>
            </w:r>
            <w:r>
              <w:rPr>
                <w:rFonts w:hint="eastAsia" w:ascii="Times New Roman" w:hAnsi="Times New Roman" w:cs="Times New Roman"/>
                <w:color w:val="0000FF"/>
                <w:highlight w:val="none"/>
                <w:lang w:val="en-US" w:eastAsia="zh-CN"/>
              </w:rPr>
              <w:t>上</w:t>
            </w:r>
            <w:r>
              <w:rPr>
                <w:rFonts w:hint="default" w:ascii="Times New Roman" w:hAnsi="Times New Roman" w:cs="Times New Roman"/>
                <w:color w:val="0000FF"/>
                <w:highlight w:val="none"/>
                <w:lang w:val="en-US" w:eastAsia="zh-CN"/>
              </w:rPr>
              <w:t>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5" w:type="pct"/>
            <w:noWrap w:val="0"/>
            <w:vAlign w:val="center"/>
          </w:tcPr>
          <w:p>
            <w:pPr>
              <w:pStyle w:val="42"/>
              <w:ind w:firstLine="0" w:firstLineChars="0"/>
              <w:rPr>
                <w:rFonts w:hint="default" w:ascii="Times New Roman" w:hAnsi="Times New Roman" w:cs="Times New Roman"/>
                <w:color w:val="0000FF"/>
                <w:highlight w:val="none"/>
              </w:rPr>
            </w:pPr>
            <w:r>
              <w:rPr>
                <w:rFonts w:hint="eastAsia" w:ascii="Times New Roman" w:hAnsi="Times New Roman" w:cs="Times New Roman"/>
                <w:color w:val="0000FF"/>
                <w:highlight w:val="none"/>
                <w:lang w:val="en-US" w:eastAsia="zh-CN"/>
              </w:rPr>
              <w:t>现状沙沟箐村水井</w:t>
            </w:r>
          </w:p>
        </w:tc>
        <w:tc>
          <w:tcPr>
            <w:tcW w:w="778" w:type="pct"/>
            <w:noWrap w:val="0"/>
            <w:vAlign w:val="center"/>
          </w:tcPr>
          <w:p>
            <w:pPr>
              <w:pStyle w:val="42"/>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2024年4月11~13日</w:t>
            </w:r>
          </w:p>
        </w:tc>
        <w:tc>
          <w:tcPr>
            <w:tcW w:w="1596" w:type="pct"/>
            <w:noWrap w:val="0"/>
            <w:vAlign w:val="center"/>
          </w:tcPr>
          <w:p>
            <w:pPr>
              <w:pStyle w:val="42"/>
              <w:rPr>
                <w:rFonts w:hint="default" w:ascii="Times New Roman" w:hAnsi="Times New Roman" w:cs="Times New Roman"/>
                <w:color w:val="0000FF"/>
                <w:sz w:val="21"/>
                <w:szCs w:val="21"/>
                <w:highlight w:val="none"/>
                <w:lang w:val="en-US" w:eastAsia="zh-CN"/>
              </w:rPr>
            </w:pPr>
            <w:r>
              <w:rPr>
                <w:rFonts w:hint="default" w:ascii="Times New Roman" w:hAnsi="Times New Roman"/>
                <w:color w:val="0000FF"/>
                <w:sz w:val="21"/>
                <w:szCs w:val="21"/>
                <w:lang w:val="en-US" w:eastAsia="zh-CN"/>
              </w:rPr>
              <w:t>pH、总硬度、溶解性总固体、硫酸盐、氯化物、铁、锰、铜、锌、挥发性酚类、高锰酸盐指数、氨氮、总大肠菌群、亚硝酸盐、硝酸盐、氰化物、氟化物、汞、砷、镉、六价铬、铅</w:t>
            </w:r>
            <w:r>
              <w:rPr>
                <w:rFonts w:hint="eastAsia" w:ascii="Times New Roman" w:hAnsi="Times New Roman"/>
                <w:color w:val="0000FF"/>
                <w:sz w:val="21"/>
                <w:szCs w:val="21"/>
                <w:lang w:val="en-US" w:eastAsia="zh-CN"/>
              </w:rPr>
              <w:t>、</w:t>
            </w:r>
            <w:r>
              <w:rPr>
                <w:rFonts w:hint="default" w:ascii="Times New Roman" w:hAnsi="Times New Roman"/>
                <w:color w:val="0000FF"/>
                <w:sz w:val="21"/>
                <w:szCs w:val="21"/>
                <w:lang w:val="en-US" w:eastAsia="zh-CN"/>
              </w:rPr>
              <w:t>K</w:t>
            </w:r>
            <w:r>
              <w:rPr>
                <w:rFonts w:hint="default" w:ascii="Times New Roman" w:hAnsi="Times New Roman"/>
                <w:color w:val="0000FF"/>
                <w:sz w:val="21"/>
                <w:szCs w:val="21"/>
                <w:vertAlign w:val="superscript"/>
                <w:lang w:val="en-US" w:eastAsia="zh-CN"/>
              </w:rPr>
              <w:t>+</w:t>
            </w:r>
            <w:r>
              <w:rPr>
                <w:rFonts w:hint="default" w:ascii="Times New Roman" w:hAnsi="Times New Roman"/>
                <w:color w:val="0000FF"/>
                <w:sz w:val="21"/>
                <w:szCs w:val="21"/>
                <w:lang w:val="en-US" w:eastAsia="zh-CN"/>
              </w:rPr>
              <w:t>、Na</w:t>
            </w:r>
            <w:r>
              <w:rPr>
                <w:rFonts w:hint="default" w:ascii="Times New Roman" w:hAnsi="Times New Roman"/>
                <w:color w:val="0000FF"/>
                <w:sz w:val="21"/>
                <w:szCs w:val="21"/>
                <w:vertAlign w:val="superscript"/>
                <w:lang w:val="en-US" w:eastAsia="zh-CN"/>
              </w:rPr>
              <w:t>+</w:t>
            </w:r>
            <w:r>
              <w:rPr>
                <w:rFonts w:hint="default" w:ascii="Times New Roman" w:hAnsi="Times New Roman"/>
                <w:color w:val="0000FF"/>
                <w:sz w:val="21"/>
                <w:szCs w:val="21"/>
                <w:lang w:val="en-US" w:eastAsia="zh-CN"/>
              </w:rPr>
              <w:t>、Ca</w:t>
            </w:r>
            <w:r>
              <w:rPr>
                <w:rFonts w:hint="default" w:ascii="Times New Roman" w:hAnsi="Times New Roman"/>
                <w:color w:val="0000FF"/>
                <w:sz w:val="21"/>
                <w:szCs w:val="21"/>
                <w:vertAlign w:val="superscript"/>
                <w:lang w:val="en-US" w:eastAsia="zh-CN"/>
              </w:rPr>
              <w:t>2+</w:t>
            </w:r>
            <w:r>
              <w:rPr>
                <w:rFonts w:hint="default" w:ascii="Times New Roman" w:hAnsi="Times New Roman"/>
                <w:color w:val="0000FF"/>
                <w:sz w:val="21"/>
                <w:szCs w:val="21"/>
                <w:lang w:val="en-US" w:eastAsia="zh-CN"/>
              </w:rPr>
              <w:t>、Mg+、CO</w:t>
            </w:r>
            <w:r>
              <w:rPr>
                <w:rFonts w:hint="default" w:ascii="Times New Roman" w:hAnsi="Times New Roman"/>
                <w:color w:val="0000FF"/>
                <w:sz w:val="21"/>
                <w:szCs w:val="21"/>
                <w:vertAlign w:val="subscript"/>
                <w:lang w:val="en-US" w:eastAsia="zh-CN"/>
              </w:rPr>
              <w:t>3</w:t>
            </w:r>
            <w:r>
              <w:rPr>
                <w:rFonts w:hint="default" w:ascii="Times New Roman" w:hAnsi="Times New Roman"/>
                <w:color w:val="0000FF"/>
                <w:sz w:val="21"/>
                <w:szCs w:val="21"/>
                <w:vertAlign w:val="superscript"/>
                <w:lang w:val="en-US" w:eastAsia="zh-CN"/>
              </w:rPr>
              <w:t>2-</w:t>
            </w:r>
            <w:r>
              <w:rPr>
                <w:rFonts w:hint="default" w:ascii="Times New Roman" w:hAnsi="Times New Roman"/>
                <w:color w:val="0000FF"/>
                <w:sz w:val="21"/>
                <w:szCs w:val="21"/>
                <w:lang w:val="en-US" w:eastAsia="zh-CN"/>
              </w:rPr>
              <w:t>、HCO</w:t>
            </w:r>
            <w:r>
              <w:rPr>
                <w:rFonts w:hint="default" w:ascii="Times New Roman" w:hAnsi="Times New Roman"/>
                <w:color w:val="0000FF"/>
                <w:sz w:val="21"/>
                <w:szCs w:val="21"/>
                <w:vertAlign w:val="superscript"/>
                <w:lang w:val="en-US" w:eastAsia="zh-CN"/>
              </w:rPr>
              <w:t>3-</w:t>
            </w:r>
            <w:r>
              <w:rPr>
                <w:rFonts w:hint="default" w:ascii="Times New Roman" w:hAnsi="Times New Roman"/>
                <w:color w:val="0000FF"/>
                <w:sz w:val="21"/>
                <w:szCs w:val="21"/>
                <w:lang w:val="en-US" w:eastAsia="zh-CN"/>
              </w:rPr>
              <w:t>、Cl</w:t>
            </w:r>
            <w:r>
              <w:rPr>
                <w:rFonts w:hint="default" w:ascii="Times New Roman" w:hAnsi="Times New Roman"/>
                <w:color w:val="0000FF"/>
                <w:sz w:val="21"/>
                <w:szCs w:val="21"/>
                <w:vertAlign w:val="superscript"/>
                <w:lang w:val="en-US" w:eastAsia="zh-CN"/>
              </w:rPr>
              <w:t>-</w:t>
            </w:r>
            <w:r>
              <w:rPr>
                <w:rFonts w:hint="default" w:ascii="Times New Roman" w:hAnsi="Times New Roman"/>
                <w:color w:val="0000FF"/>
                <w:sz w:val="21"/>
                <w:szCs w:val="21"/>
                <w:lang w:val="en-US" w:eastAsia="zh-CN"/>
              </w:rPr>
              <w:t>、SO</w:t>
            </w:r>
            <w:r>
              <w:rPr>
                <w:rFonts w:hint="default" w:ascii="Times New Roman" w:hAnsi="Times New Roman"/>
                <w:color w:val="0000FF"/>
                <w:sz w:val="21"/>
                <w:szCs w:val="21"/>
                <w:vertAlign w:val="subscript"/>
                <w:lang w:val="en-US" w:eastAsia="zh-CN"/>
              </w:rPr>
              <w:t>4</w:t>
            </w:r>
            <w:r>
              <w:rPr>
                <w:rFonts w:hint="default" w:ascii="Times New Roman" w:hAnsi="Times New Roman"/>
                <w:color w:val="0000FF"/>
                <w:sz w:val="21"/>
                <w:szCs w:val="21"/>
                <w:vertAlign w:val="superscript"/>
                <w:lang w:val="en-US" w:eastAsia="zh-CN"/>
              </w:rPr>
              <w:t>2-</w:t>
            </w:r>
          </w:p>
        </w:tc>
        <w:tc>
          <w:tcPr>
            <w:tcW w:w="764" w:type="pct"/>
            <w:vMerge w:val="continue"/>
            <w:noWrap w:val="0"/>
            <w:vAlign w:val="center"/>
          </w:tcPr>
          <w:p>
            <w:pPr>
              <w:pStyle w:val="42"/>
              <w:rPr>
                <w:rFonts w:hint="default" w:ascii="Times New Roman" w:hAnsi="Times New Roman" w:cs="Times New Roman"/>
                <w:color w:val="0000FF"/>
                <w:sz w:val="21"/>
                <w:szCs w:val="21"/>
                <w:highlight w:val="none"/>
                <w:lang w:val="en-US" w:eastAsia="zh-CN"/>
              </w:rPr>
            </w:pPr>
          </w:p>
        </w:tc>
        <w:tc>
          <w:tcPr>
            <w:tcW w:w="764" w:type="pct"/>
            <w:noWrap w:val="0"/>
            <w:vAlign w:val="center"/>
          </w:tcPr>
          <w:p>
            <w:pPr>
              <w:pStyle w:val="42"/>
              <w:rPr>
                <w:rFonts w:hint="default" w:ascii="Times New Roman" w:hAnsi="Times New Roman" w:eastAsia="宋"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位于项目区下游</w:t>
            </w:r>
          </w:p>
        </w:tc>
      </w:tr>
    </w:tbl>
    <w:p>
      <w:pPr>
        <w:bidi w:val="0"/>
        <w:rPr>
          <w:rFonts w:hint="default"/>
          <w:b/>
          <w:bCs/>
          <w:color w:val="0000FF"/>
        </w:rPr>
      </w:pPr>
      <w:r>
        <w:rPr>
          <w:rFonts w:hint="eastAsia"/>
          <w:b/>
          <w:bCs/>
          <w:color w:val="0000FF"/>
          <w:lang w:val="en-US" w:eastAsia="zh-CN"/>
        </w:rPr>
        <w:t>2、</w:t>
      </w:r>
      <w:r>
        <w:rPr>
          <w:rFonts w:hint="default"/>
          <w:b/>
          <w:bCs/>
          <w:color w:val="0000FF"/>
        </w:rPr>
        <w:t>监测结果分析与评价</w:t>
      </w:r>
    </w:p>
    <w:p>
      <w:pPr>
        <w:ind w:firstLine="482"/>
        <w:rPr>
          <w:rFonts w:hint="default" w:ascii="Times New Roman" w:hAnsi="Times New Roman" w:cs="Times New Roman"/>
          <w:b/>
          <w:bCs/>
          <w:color w:val="0000FF"/>
          <w:highlight w:val="none"/>
        </w:rPr>
      </w:pPr>
      <w:r>
        <w:rPr>
          <w:rFonts w:hint="default" w:ascii="Times New Roman" w:hAnsi="Times New Roman" w:cs="Times New Roman"/>
          <w:b/>
          <w:bCs/>
          <w:color w:val="0000FF"/>
          <w:highlight w:val="none"/>
        </w:rPr>
        <w:t>（1）评价标准</w:t>
      </w:r>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根据《地下水质量标准》（GB/T14848-2017）的地下水质质量分类，本评价区内地下水以人群健康基准值为依据，按地下水Ⅲ类质量标准限值进行评价。</w:t>
      </w:r>
    </w:p>
    <w:p>
      <w:pPr>
        <w:ind w:firstLine="482"/>
        <w:rPr>
          <w:rFonts w:hint="default" w:ascii="Times New Roman" w:hAnsi="Times New Roman" w:cs="Times New Roman"/>
          <w:b/>
          <w:bCs/>
          <w:color w:val="0000FF"/>
          <w:highlight w:val="none"/>
        </w:rPr>
      </w:pPr>
      <w:bookmarkStart w:id="531" w:name="_Toc533781484"/>
      <w:bookmarkStart w:id="532" w:name="_Toc533781928"/>
      <w:r>
        <w:rPr>
          <w:rFonts w:hint="default" w:ascii="Times New Roman" w:hAnsi="Times New Roman" w:cs="Times New Roman"/>
          <w:b/>
          <w:bCs/>
          <w:color w:val="0000FF"/>
          <w:highlight w:val="none"/>
        </w:rPr>
        <w:t>（2）评价方法及模式</w:t>
      </w:r>
      <w:bookmarkEnd w:id="531"/>
      <w:bookmarkEnd w:id="532"/>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计算出各评价因子的标准指数，采用标准指数法对各评价因子单项水质参数评价，计算方法：</w:t>
      </w:r>
    </w:p>
    <w:p>
      <w:pPr>
        <w:ind w:firstLine="480"/>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drawing>
          <wp:inline distT="0" distB="0" distL="114300" distR="114300">
            <wp:extent cx="847725" cy="561975"/>
            <wp:effectExtent l="0" t="0" r="0" b="0"/>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62"/>
                    <a:stretch>
                      <a:fillRect/>
                    </a:stretch>
                  </pic:blipFill>
                  <pic:spPr>
                    <a:xfrm>
                      <a:off x="0" y="0"/>
                      <a:ext cx="847725" cy="561975"/>
                    </a:xfrm>
                    <a:prstGeom prst="rect">
                      <a:avLst/>
                    </a:prstGeom>
                    <a:noFill/>
                    <a:ln>
                      <a:noFill/>
                    </a:ln>
                  </pic:spPr>
                </pic:pic>
              </a:graphicData>
            </a:graphic>
          </wp:inline>
        </w:drawing>
      </w:r>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式中：Pi——第i个水质因子的标准指数，无量纲；</w:t>
      </w:r>
    </w:p>
    <w:p>
      <w:pPr>
        <w:ind w:firstLine="1200" w:firstLineChars="500"/>
        <w:rPr>
          <w:rFonts w:hint="default" w:ascii="Times New Roman" w:hAnsi="Times New Roman" w:cs="Times New Roman"/>
          <w:color w:val="0000FF"/>
          <w:highlight w:val="none"/>
        </w:rPr>
      </w:pPr>
      <w:r>
        <w:rPr>
          <w:rFonts w:hint="default" w:ascii="Times New Roman" w:hAnsi="Times New Roman" w:cs="Times New Roman"/>
          <w:color w:val="0000FF"/>
          <w:highlight w:val="none"/>
        </w:rPr>
        <w:t>Ci——第i个水质因子的监测浓度值，mg/L；</w:t>
      </w:r>
    </w:p>
    <w:p>
      <w:pPr>
        <w:ind w:firstLine="1200" w:firstLineChars="500"/>
        <w:rPr>
          <w:rFonts w:hint="default" w:ascii="Times New Roman" w:hAnsi="Times New Roman" w:cs="Times New Roman"/>
          <w:color w:val="0000FF"/>
          <w:highlight w:val="none"/>
        </w:rPr>
      </w:pPr>
      <w:r>
        <w:rPr>
          <w:rFonts w:hint="default" w:ascii="Times New Roman" w:hAnsi="Times New Roman" w:cs="Times New Roman"/>
          <w:color w:val="0000FF"/>
          <w:highlight w:val="none"/>
        </w:rPr>
        <w:t>Csi——第i个水质因子的标准浓度值，mg/L。</w:t>
      </w:r>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由上式可知，Pi&gt;1表示污染物浓度超标，Pi≤1表示污染物浓度不超标。</w:t>
      </w:r>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pH的标准指数：</w:t>
      </w:r>
    </w:p>
    <w:p>
      <w:pPr>
        <w:ind w:firstLine="480"/>
        <w:jc w:val="center"/>
        <w:rPr>
          <w:rFonts w:hint="default" w:ascii="Times New Roman" w:hAnsi="Times New Roman" w:cs="Times New Roman"/>
          <w:color w:val="0000FF"/>
          <w:position w:val="-30"/>
          <w:highlight w:val="none"/>
        </w:rPr>
      </w:pPr>
      <w:r>
        <w:rPr>
          <w:rFonts w:hint="default" w:ascii="Times New Roman" w:hAnsi="Times New Roman" w:cs="Times New Roman"/>
          <w:color w:val="0000FF"/>
          <w:position w:val="-30"/>
          <w:highlight w:val="none"/>
        </w:rPr>
        <w:drawing>
          <wp:inline distT="0" distB="0" distL="114300" distR="114300">
            <wp:extent cx="2428240" cy="1170305"/>
            <wp:effectExtent l="0" t="0" r="635" b="1270"/>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
                    <pic:cNvPicPr>
                      <a:picLocks noChangeAspect="1"/>
                    </pic:cNvPicPr>
                  </pic:nvPicPr>
                  <pic:blipFill>
                    <a:blip r:embed="rId63"/>
                    <a:stretch>
                      <a:fillRect/>
                    </a:stretch>
                  </pic:blipFill>
                  <pic:spPr>
                    <a:xfrm>
                      <a:off x="0" y="0"/>
                      <a:ext cx="2428240" cy="1170305"/>
                    </a:xfrm>
                    <a:prstGeom prst="rect">
                      <a:avLst/>
                    </a:prstGeom>
                    <a:noFill/>
                    <a:ln>
                      <a:noFill/>
                    </a:ln>
                  </pic:spPr>
                </pic:pic>
              </a:graphicData>
            </a:graphic>
          </wp:inline>
        </w:drawing>
      </w:r>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式中：PpH——pH的标准指数；</w:t>
      </w:r>
    </w:p>
    <w:p>
      <w:pPr>
        <w:ind w:firstLine="1200" w:firstLineChars="500"/>
        <w:rPr>
          <w:rFonts w:hint="default" w:ascii="Times New Roman" w:hAnsi="Times New Roman" w:cs="Times New Roman"/>
          <w:color w:val="0000FF"/>
          <w:highlight w:val="none"/>
        </w:rPr>
      </w:pPr>
      <w:r>
        <w:rPr>
          <w:rFonts w:hint="default" w:ascii="Times New Roman" w:hAnsi="Times New Roman" w:cs="Times New Roman"/>
          <w:color w:val="0000FF"/>
          <w:highlight w:val="none"/>
        </w:rPr>
        <w:t>pH——pH监测值；</w:t>
      </w:r>
    </w:p>
    <w:p>
      <w:pPr>
        <w:ind w:firstLine="1200" w:firstLineChars="500"/>
        <w:rPr>
          <w:rFonts w:hint="default" w:ascii="Times New Roman" w:hAnsi="Times New Roman" w:cs="Times New Roman"/>
          <w:color w:val="0000FF"/>
          <w:highlight w:val="none"/>
        </w:rPr>
      </w:pPr>
      <w:r>
        <w:rPr>
          <w:rFonts w:hint="default" w:ascii="Times New Roman" w:hAnsi="Times New Roman" w:cs="Times New Roman"/>
          <w:color w:val="0000FF"/>
          <w:highlight w:val="none"/>
        </w:rPr>
        <w:t>pHsu——标准中pH的上限值；</w:t>
      </w:r>
    </w:p>
    <w:p>
      <w:pPr>
        <w:ind w:firstLine="1200" w:firstLineChars="500"/>
        <w:rPr>
          <w:rFonts w:hint="default" w:ascii="Times New Roman" w:hAnsi="Times New Roman" w:cs="Times New Roman"/>
          <w:color w:val="0000FF"/>
          <w:highlight w:val="none"/>
        </w:rPr>
      </w:pPr>
      <w:r>
        <w:rPr>
          <w:rFonts w:hint="default" w:ascii="Times New Roman" w:hAnsi="Times New Roman" w:cs="Times New Roman"/>
          <w:color w:val="0000FF"/>
          <w:highlight w:val="none"/>
        </w:rPr>
        <w:t>pHsd——标准中pH的下限值。</w:t>
      </w:r>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由上式可知，PpH&gt;1表示pH值超标，PpH≤1表示pH值不超标。</w:t>
      </w:r>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将各监测点评价因子监测值和相应的标准值代入上述公式，求得污染指数，当标准指数大于1时，表明该工程监测结果超标。</w:t>
      </w:r>
    </w:p>
    <w:p>
      <w:pPr>
        <w:ind w:firstLine="480"/>
        <w:rPr>
          <w:rFonts w:hint="eastAsia" w:ascii="Times New Roman" w:hAnsi="Times New Roman" w:cs="Times New Roman"/>
          <w:color w:val="0000FF"/>
          <w:highlight w:val="none"/>
          <w:lang w:val="en-US" w:eastAsia="zh-CN"/>
        </w:rPr>
      </w:pPr>
      <w:r>
        <w:rPr>
          <w:rFonts w:hint="eastAsia" w:ascii="Times New Roman" w:hAnsi="Times New Roman" w:cs="Times New Roman"/>
          <w:color w:val="0000FF"/>
          <w:highlight w:val="none"/>
          <w:lang w:val="en-US" w:eastAsia="zh-CN"/>
        </w:rPr>
        <w:t>地下水检测结果如下表所示：</w:t>
      </w:r>
    </w:p>
    <w:p>
      <w:pPr>
        <w:spacing w:line="240" w:lineRule="auto"/>
        <w:ind w:firstLine="480"/>
        <w:jc w:val="center"/>
        <w:rPr>
          <w:rFonts w:hint="default" w:ascii="Times New Roman" w:hAnsi="Times New Roman" w:cs="Times New Roman"/>
          <w:b/>
          <w:bCs/>
          <w:color w:val="0000FF"/>
          <w:highlight w:val="none"/>
          <w:lang w:val="en-US" w:eastAsia="zh-CN"/>
        </w:rPr>
      </w:pPr>
      <w:r>
        <w:rPr>
          <w:rFonts w:hint="eastAsia" w:ascii="Times New Roman" w:hAnsi="Times New Roman" w:cs="Times New Roman"/>
          <w:b/>
          <w:bCs/>
          <w:color w:val="0000FF"/>
          <w:highlight w:val="none"/>
          <w:lang w:val="en-US" w:eastAsia="zh-CN"/>
        </w:rPr>
        <w:t>表4.2.5-3   沙沟箐村机井现状地下水检测结果一览表</w:t>
      </w:r>
    </w:p>
    <w:tbl>
      <w:tblPr>
        <w:tblStyle w:val="29"/>
        <w:tblW w:w="500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51"/>
        <w:gridCol w:w="850"/>
        <w:gridCol w:w="850"/>
        <w:gridCol w:w="850"/>
        <w:gridCol w:w="1384"/>
        <w:gridCol w:w="774"/>
        <w:gridCol w:w="1069"/>
        <w:gridCol w:w="98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932" w:type="pct"/>
            <w:tcBorders>
              <w:bottom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检测点位</w:t>
            </w:r>
          </w:p>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监测项目</w:t>
            </w:r>
          </w:p>
        </w:tc>
        <w:tc>
          <w:tcPr>
            <w:tcW w:w="1533" w:type="pct"/>
            <w:gridSpan w:val="3"/>
            <w:tcBorders>
              <w:bottom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现状检测：少沟箐机井</w:t>
            </w:r>
          </w:p>
        </w:tc>
        <w:tc>
          <w:tcPr>
            <w:tcW w:w="832" w:type="pct"/>
            <w:vMerge w:val="restar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浓度范围</w:t>
            </w:r>
          </w:p>
        </w:tc>
        <w:tc>
          <w:tcPr>
            <w:tcW w:w="466" w:type="pct"/>
            <w:vMerge w:val="restar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ascii="Times New Roman" w:hAnsi="Times New Roman" w:eastAsia="Times New Roman" w:cs="Times New Roman"/>
                <w:color w:val="0000FF"/>
                <w:spacing w:val="-1"/>
                <w:sz w:val="21"/>
                <w:szCs w:val="21"/>
              </w:rPr>
              <w:t>Ⅲ</w:t>
            </w:r>
            <w:r>
              <w:rPr>
                <w:rFonts w:ascii="宋体" w:hAnsi="宋体" w:eastAsia="宋体" w:cs="宋体"/>
                <w:color w:val="0000FF"/>
                <w:spacing w:val="-1"/>
                <w:sz w:val="21"/>
                <w:szCs w:val="21"/>
              </w:rPr>
              <w:t>类标准</w:t>
            </w:r>
          </w:p>
        </w:tc>
        <w:tc>
          <w:tcPr>
            <w:tcW w:w="642" w:type="pct"/>
            <w:vMerge w:val="restar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标准指数</w:t>
            </w:r>
          </w:p>
        </w:tc>
        <w:tc>
          <w:tcPr>
            <w:tcW w:w="591" w:type="pct"/>
            <w:vMerge w:val="restar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是否达标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5" w:hRule="atLeast"/>
        </w:trPr>
        <w:tc>
          <w:tcPr>
            <w:tcW w:w="932" w:type="pct"/>
            <w:tcBorders>
              <w:top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采样日期</w:t>
            </w:r>
          </w:p>
        </w:tc>
        <w:tc>
          <w:tcPr>
            <w:tcW w:w="511" w:type="pct"/>
            <w:tcBorders>
              <w:top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cs="Times New Roman"/>
                <w:color w:val="0000FF"/>
                <w:sz w:val="21"/>
                <w:szCs w:val="21"/>
                <w:highlight w:val="none"/>
              </w:rPr>
              <w:t>202</w:t>
            </w:r>
            <w:r>
              <w:rPr>
                <w:rFonts w:hint="eastAsia" w:ascii="Times New Roman" w:hAnsi="Times New Roman" w:cs="Times New Roman"/>
                <w:color w:val="0000FF"/>
                <w:sz w:val="21"/>
                <w:szCs w:val="21"/>
                <w:highlight w:val="none"/>
                <w:lang w:val="en-US" w:eastAsia="zh-CN"/>
              </w:rPr>
              <w:t>4</w:t>
            </w:r>
            <w:r>
              <w:rPr>
                <w:rFonts w:hint="default" w:ascii="Times New Roman" w:hAnsi="Times New Roman" w:cs="Times New Roman"/>
                <w:color w:val="0000FF"/>
                <w:sz w:val="21"/>
                <w:szCs w:val="21"/>
                <w:highlight w:val="none"/>
              </w:rPr>
              <w:t>.</w:t>
            </w:r>
            <w:r>
              <w:rPr>
                <w:rFonts w:hint="eastAsia" w:ascii="Times New Roman" w:hAnsi="Times New Roman" w:cs="Times New Roman"/>
                <w:color w:val="0000FF"/>
                <w:sz w:val="21"/>
                <w:szCs w:val="21"/>
                <w:highlight w:val="none"/>
                <w:lang w:val="en-US" w:eastAsia="zh-CN"/>
              </w:rPr>
              <w:t>4</w:t>
            </w:r>
            <w:r>
              <w:rPr>
                <w:rFonts w:hint="default" w:ascii="Times New Roman" w:hAnsi="Times New Roman" w:cs="Times New Roman"/>
                <w:color w:val="0000FF"/>
                <w:sz w:val="21"/>
                <w:szCs w:val="21"/>
                <w:highlight w:val="none"/>
              </w:rPr>
              <w:t>.</w:t>
            </w:r>
            <w:r>
              <w:rPr>
                <w:rFonts w:hint="eastAsia" w:ascii="Times New Roman" w:hAnsi="Times New Roman" w:cs="Times New Roman"/>
                <w:color w:val="0000FF"/>
                <w:sz w:val="21"/>
                <w:szCs w:val="21"/>
                <w:highlight w:val="none"/>
                <w:lang w:val="en-US" w:eastAsia="zh-CN"/>
              </w:rPr>
              <w:t>11</w:t>
            </w:r>
          </w:p>
        </w:tc>
        <w:tc>
          <w:tcPr>
            <w:tcW w:w="511" w:type="pct"/>
            <w:tcBorders>
              <w:top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202</w:t>
            </w:r>
            <w:r>
              <w:rPr>
                <w:rFonts w:hint="eastAsia" w:ascii="Times New Roman" w:hAnsi="Times New Roman" w:cs="Times New Roman"/>
                <w:color w:val="0000FF"/>
                <w:sz w:val="21"/>
                <w:szCs w:val="21"/>
                <w:highlight w:val="none"/>
                <w:lang w:val="en-US" w:eastAsia="zh-CN"/>
              </w:rPr>
              <w:t>4</w:t>
            </w:r>
            <w:r>
              <w:rPr>
                <w:rFonts w:hint="default" w:ascii="Times New Roman" w:hAnsi="Times New Roman" w:cs="Times New Roman"/>
                <w:color w:val="0000FF"/>
                <w:sz w:val="21"/>
                <w:szCs w:val="21"/>
                <w:highlight w:val="none"/>
              </w:rPr>
              <w:t>.</w:t>
            </w:r>
            <w:r>
              <w:rPr>
                <w:rFonts w:hint="eastAsia" w:ascii="Times New Roman" w:hAnsi="Times New Roman" w:cs="Times New Roman"/>
                <w:color w:val="0000FF"/>
                <w:sz w:val="21"/>
                <w:szCs w:val="21"/>
                <w:highlight w:val="none"/>
                <w:lang w:val="en-US" w:eastAsia="zh-CN"/>
              </w:rPr>
              <w:t>4</w:t>
            </w:r>
            <w:r>
              <w:rPr>
                <w:rFonts w:hint="default" w:ascii="Times New Roman" w:hAnsi="Times New Roman" w:cs="Times New Roman"/>
                <w:color w:val="0000FF"/>
                <w:sz w:val="21"/>
                <w:szCs w:val="21"/>
                <w:highlight w:val="none"/>
              </w:rPr>
              <w:t>.</w:t>
            </w:r>
            <w:r>
              <w:rPr>
                <w:rFonts w:hint="eastAsia" w:ascii="Times New Roman" w:hAnsi="Times New Roman" w:cs="Times New Roman"/>
                <w:color w:val="0000FF"/>
                <w:sz w:val="21"/>
                <w:szCs w:val="21"/>
                <w:highlight w:val="none"/>
                <w:lang w:val="en-US" w:eastAsia="zh-CN"/>
              </w:rPr>
              <w:t>12</w:t>
            </w:r>
          </w:p>
        </w:tc>
        <w:tc>
          <w:tcPr>
            <w:tcW w:w="511" w:type="pct"/>
            <w:tcBorders>
              <w:top w:val="single" w:color="auto" w:sz="4" w:space="0"/>
            </w:tcBorders>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202</w:t>
            </w:r>
            <w:r>
              <w:rPr>
                <w:rFonts w:hint="eastAsia" w:ascii="Times New Roman" w:hAnsi="Times New Roman" w:cs="Times New Roman"/>
                <w:color w:val="0000FF"/>
                <w:sz w:val="21"/>
                <w:szCs w:val="21"/>
                <w:highlight w:val="none"/>
                <w:lang w:val="en-US" w:eastAsia="zh-CN"/>
              </w:rPr>
              <w:t>4</w:t>
            </w:r>
            <w:r>
              <w:rPr>
                <w:rFonts w:hint="default" w:ascii="Times New Roman" w:hAnsi="Times New Roman" w:cs="Times New Roman"/>
                <w:color w:val="0000FF"/>
                <w:sz w:val="21"/>
                <w:szCs w:val="21"/>
                <w:highlight w:val="none"/>
              </w:rPr>
              <w:t>.</w:t>
            </w:r>
            <w:r>
              <w:rPr>
                <w:rFonts w:hint="eastAsia" w:ascii="Times New Roman" w:hAnsi="Times New Roman" w:cs="Times New Roman"/>
                <w:color w:val="0000FF"/>
                <w:sz w:val="21"/>
                <w:szCs w:val="21"/>
                <w:highlight w:val="none"/>
                <w:lang w:val="en-US" w:eastAsia="zh-CN"/>
              </w:rPr>
              <w:t>4</w:t>
            </w:r>
            <w:r>
              <w:rPr>
                <w:rFonts w:hint="default" w:ascii="Times New Roman" w:hAnsi="Times New Roman" w:cs="Times New Roman"/>
                <w:color w:val="0000FF"/>
                <w:sz w:val="21"/>
                <w:szCs w:val="21"/>
                <w:highlight w:val="none"/>
              </w:rPr>
              <w:t>.</w:t>
            </w:r>
            <w:r>
              <w:rPr>
                <w:rFonts w:hint="eastAsia" w:ascii="Times New Roman" w:hAnsi="Times New Roman" w:cs="Times New Roman"/>
                <w:color w:val="0000FF"/>
                <w:sz w:val="21"/>
                <w:szCs w:val="21"/>
                <w:highlight w:val="none"/>
                <w:lang w:val="en-US" w:eastAsia="zh-CN"/>
              </w:rPr>
              <w:t>13</w:t>
            </w:r>
          </w:p>
        </w:tc>
        <w:tc>
          <w:tcPr>
            <w:tcW w:w="832" w:type="pct"/>
            <w:vMerge w:val="continue"/>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466" w:type="pct"/>
            <w:vMerge w:val="continue"/>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642" w:type="pct"/>
            <w:vMerge w:val="continue"/>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c>
          <w:tcPr>
            <w:tcW w:w="591" w:type="pct"/>
            <w:vMerge w:val="continue"/>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pH（无量纲）</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7.82</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7.85</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7.73</w:t>
            </w:r>
          </w:p>
        </w:tc>
        <w:tc>
          <w:tcPr>
            <w:tcW w:w="8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7.73~7.85</w:t>
            </w:r>
          </w:p>
        </w:tc>
        <w:tc>
          <w:tcPr>
            <w:tcW w:w="466"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6.5~8.5</w:t>
            </w:r>
          </w:p>
        </w:tc>
        <w:tc>
          <w:tcPr>
            <w:tcW w:w="64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0.49~0.57</w:t>
            </w:r>
          </w:p>
        </w:tc>
        <w:tc>
          <w:tcPr>
            <w:tcW w:w="591"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总硬度（mg/L）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380</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383</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381</w:t>
            </w:r>
          </w:p>
        </w:tc>
        <w:tc>
          <w:tcPr>
            <w:tcW w:w="8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380~383</w:t>
            </w:r>
          </w:p>
        </w:tc>
        <w:tc>
          <w:tcPr>
            <w:tcW w:w="466"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450</w:t>
            </w:r>
          </w:p>
        </w:tc>
        <w:tc>
          <w:tcPr>
            <w:tcW w:w="64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0.84~0.85</w:t>
            </w:r>
          </w:p>
        </w:tc>
        <w:tc>
          <w:tcPr>
            <w:tcW w:w="591"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9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溶解性总固体（mg/L）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578</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568</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591</w:t>
            </w:r>
          </w:p>
        </w:tc>
        <w:tc>
          <w:tcPr>
            <w:tcW w:w="8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591~578</w:t>
            </w:r>
          </w:p>
        </w:tc>
        <w:tc>
          <w:tcPr>
            <w:tcW w:w="466"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1000</w:t>
            </w:r>
          </w:p>
        </w:tc>
        <w:tc>
          <w:tcPr>
            <w:tcW w:w="64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0.591~0.578</w:t>
            </w:r>
          </w:p>
        </w:tc>
        <w:tc>
          <w:tcPr>
            <w:tcW w:w="591"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硫酸盐（mg/L）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40</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39</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38</w:t>
            </w:r>
          </w:p>
        </w:tc>
        <w:tc>
          <w:tcPr>
            <w:tcW w:w="8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38~40</w:t>
            </w:r>
          </w:p>
        </w:tc>
        <w:tc>
          <w:tcPr>
            <w:tcW w:w="466"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250</w:t>
            </w:r>
          </w:p>
        </w:tc>
        <w:tc>
          <w:tcPr>
            <w:tcW w:w="64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0.15~0.16</w:t>
            </w:r>
          </w:p>
        </w:tc>
        <w:tc>
          <w:tcPr>
            <w:tcW w:w="591"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9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氯化物（mg/L）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12</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13</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11</w:t>
            </w:r>
          </w:p>
        </w:tc>
        <w:tc>
          <w:tcPr>
            <w:tcW w:w="8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11~13</w:t>
            </w:r>
          </w:p>
        </w:tc>
        <w:tc>
          <w:tcPr>
            <w:tcW w:w="466"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250</w:t>
            </w:r>
          </w:p>
        </w:tc>
        <w:tc>
          <w:tcPr>
            <w:tcW w:w="64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0.044~0.048</w:t>
            </w:r>
          </w:p>
        </w:tc>
        <w:tc>
          <w:tcPr>
            <w:tcW w:w="591"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铁（mg/L）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0.03L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0.03L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0.03L</w:t>
            </w:r>
          </w:p>
        </w:tc>
        <w:tc>
          <w:tcPr>
            <w:tcW w:w="8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0.015</w:t>
            </w:r>
          </w:p>
        </w:tc>
        <w:tc>
          <w:tcPr>
            <w:tcW w:w="466"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0.3</w:t>
            </w:r>
          </w:p>
        </w:tc>
        <w:tc>
          <w:tcPr>
            <w:tcW w:w="64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0.05</w:t>
            </w:r>
          </w:p>
        </w:tc>
        <w:tc>
          <w:tcPr>
            <w:tcW w:w="591"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9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锰（mg/L）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0.01L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0.01L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0.01L</w:t>
            </w:r>
          </w:p>
        </w:tc>
        <w:tc>
          <w:tcPr>
            <w:tcW w:w="8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0.005</w:t>
            </w:r>
          </w:p>
        </w:tc>
        <w:tc>
          <w:tcPr>
            <w:tcW w:w="466"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0.1</w:t>
            </w:r>
          </w:p>
        </w:tc>
        <w:tc>
          <w:tcPr>
            <w:tcW w:w="64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0.05</w:t>
            </w:r>
          </w:p>
        </w:tc>
        <w:tc>
          <w:tcPr>
            <w:tcW w:w="591"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eastAsia="宋体" w:cs="Times New Roman"/>
                <w:color w:val="0000FF"/>
                <w:sz w:val="21"/>
                <w:szCs w:val="21"/>
                <w:lang w:val="en-US" w:eastAsia="zh-CN"/>
              </w:rPr>
              <w:t>铜</w:t>
            </w:r>
            <w:r>
              <w:rPr>
                <w:rFonts w:hint="default" w:ascii="Times New Roman" w:hAnsi="Times New Roman" w:cs="Times New Roman"/>
                <w:color w:val="0000FF"/>
                <w:sz w:val="21"/>
                <w:szCs w:val="21"/>
                <w:highlight w:val="none"/>
              </w:rPr>
              <w:t>（mg/L）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8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0.025</w:t>
            </w:r>
          </w:p>
        </w:tc>
        <w:tc>
          <w:tcPr>
            <w:tcW w:w="466"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w:t>
            </w:r>
          </w:p>
        </w:tc>
        <w:tc>
          <w:tcPr>
            <w:tcW w:w="64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0.025</w:t>
            </w:r>
          </w:p>
        </w:tc>
        <w:tc>
          <w:tcPr>
            <w:tcW w:w="591"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eastAsia="宋体" w:cs="Times New Roman"/>
                <w:color w:val="0000FF"/>
                <w:sz w:val="21"/>
                <w:szCs w:val="21"/>
                <w:lang w:val="en-US" w:eastAsia="zh-CN"/>
              </w:rPr>
              <w:t>锌</w:t>
            </w:r>
            <w:r>
              <w:rPr>
                <w:rFonts w:hint="default" w:ascii="Times New Roman" w:hAnsi="Times New Roman" w:cs="Times New Roman"/>
                <w:color w:val="0000FF"/>
                <w:sz w:val="21"/>
                <w:szCs w:val="21"/>
                <w:highlight w:val="none"/>
              </w:rPr>
              <w:t>（mg/L）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0.05L</w:t>
            </w:r>
          </w:p>
        </w:tc>
        <w:tc>
          <w:tcPr>
            <w:tcW w:w="8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0.25</w:t>
            </w:r>
          </w:p>
        </w:tc>
        <w:tc>
          <w:tcPr>
            <w:tcW w:w="466"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w:t>
            </w:r>
          </w:p>
        </w:tc>
        <w:tc>
          <w:tcPr>
            <w:tcW w:w="64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0.25</w:t>
            </w:r>
          </w:p>
        </w:tc>
        <w:tc>
          <w:tcPr>
            <w:tcW w:w="591"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eastAsia="宋体" w:cs="Times New Roman"/>
                <w:color w:val="0000FF"/>
                <w:sz w:val="21"/>
                <w:szCs w:val="21"/>
                <w:lang w:val="en-US" w:eastAsia="zh-CN"/>
              </w:rPr>
              <w:t>挥发酚</w:t>
            </w:r>
            <w:r>
              <w:rPr>
                <w:rFonts w:hint="default" w:ascii="Times New Roman" w:hAnsi="Times New Roman" w:cs="Times New Roman"/>
                <w:color w:val="0000FF"/>
                <w:sz w:val="21"/>
                <w:szCs w:val="21"/>
                <w:highlight w:val="none"/>
              </w:rPr>
              <w:t>（mg/L）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0.0003L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0.0003L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0.0003L</w:t>
            </w:r>
          </w:p>
        </w:tc>
        <w:tc>
          <w:tcPr>
            <w:tcW w:w="8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0.00015</w:t>
            </w:r>
          </w:p>
        </w:tc>
        <w:tc>
          <w:tcPr>
            <w:tcW w:w="466"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0.002</w:t>
            </w:r>
          </w:p>
        </w:tc>
        <w:tc>
          <w:tcPr>
            <w:tcW w:w="64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0.075</w:t>
            </w:r>
          </w:p>
        </w:tc>
        <w:tc>
          <w:tcPr>
            <w:tcW w:w="591"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kern w:val="2"/>
                <w:sz w:val="21"/>
                <w:szCs w:val="21"/>
              </w:rPr>
            </w:pPr>
            <w:r>
              <w:rPr>
                <w:rFonts w:hint="default" w:ascii="Times New Roman" w:hAnsi="Times New Roman" w:cs="Times New Roman"/>
                <w:color w:val="0000FF"/>
                <w:kern w:val="2"/>
                <w:sz w:val="21"/>
                <w:szCs w:val="21"/>
              </w:rPr>
              <w:t>高锰酸盐指数</w:t>
            </w:r>
          </w:p>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kern w:val="2"/>
                <w:sz w:val="21"/>
                <w:szCs w:val="21"/>
              </w:rPr>
              <w:t>（以O</w:t>
            </w:r>
            <w:r>
              <w:rPr>
                <w:rFonts w:hint="default" w:ascii="Times New Roman" w:hAnsi="Times New Roman" w:cs="Times New Roman"/>
                <w:color w:val="0000FF"/>
                <w:kern w:val="2"/>
                <w:sz w:val="21"/>
                <w:szCs w:val="21"/>
                <w:vertAlign w:val="subscript"/>
              </w:rPr>
              <w:t>2</w:t>
            </w:r>
            <w:r>
              <w:rPr>
                <w:rFonts w:hint="default" w:ascii="Times New Roman" w:hAnsi="Times New Roman" w:cs="Times New Roman"/>
                <w:color w:val="0000FF"/>
                <w:kern w:val="2"/>
                <w:sz w:val="21"/>
                <w:szCs w:val="21"/>
              </w:rPr>
              <w:t>计）</w:t>
            </w:r>
            <w:r>
              <w:rPr>
                <w:rFonts w:hint="default" w:ascii="Times New Roman" w:hAnsi="Times New Roman" w:cs="Times New Roman"/>
                <w:color w:val="0000FF"/>
                <w:sz w:val="21"/>
                <w:szCs w:val="21"/>
                <w:highlight w:val="none"/>
              </w:rPr>
              <w:t>（mg/L）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2.56</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2.58</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2.54</w:t>
            </w:r>
          </w:p>
        </w:tc>
        <w:tc>
          <w:tcPr>
            <w:tcW w:w="8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2.54~2.58</w:t>
            </w:r>
          </w:p>
        </w:tc>
        <w:tc>
          <w:tcPr>
            <w:tcW w:w="466"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3</w:t>
            </w:r>
          </w:p>
        </w:tc>
        <w:tc>
          <w:tcPr>
            <w:tcW w:w="64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0.85~0.86</w:t>
            </w:r>
          </w:p>
        </w:tc>
        <w:tc>
          <w:tcPr>
            <w:tcW w:w="591"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eastAsia="宋体" w:cs="Times New Roman"/>
                <w:snapToGrid w:val="0"/>
                <w:color w:val="0000FF"/>
                <w:sz w:val="21"/>
                <w:szCs w:val="21"/>
                <w:highlight w:val="none"/>
                <w:lang w:eastAsia="zh-CN"/>
              </w:rPr>
              <w:t>氨氮</w:t>
            </w:r>
            <w:r>
              <w:rPr>
                <w:rFonts w:hint="default" w:ascii="Times New Roman" w:hAnsi="Times New Roman" w:cs="Times New Roman"/>
                <w:color w:val="0000FF"/>
                <w:sz w:val="21"/>
                <w:szCs w:val="21"/>
                <w:highlight w:val="none"/>
              </w:rPr>
              <w:t>（mg/L）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0.448</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0.392</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0.402</w:t>
            </w:r>
          </w:p>
        </w:tc>
        <w:tc>
          <w:tcPr>
            <w:tcW w:w="8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0.392~0.448</w:t>
            </w:r>
          </w:p>
        </w:tc>
        <w:tc>
          <w:tcPr>
            <w:tcW w:w="466"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0.5</w:t>
            </w:r>
          </w:p>
        </w:tc>
        <w:tc>
          <w:tcPr>
            <w:tcW w:w="64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0.784~0.896</w:t>
            </w:r>
          </w:p>
        </w:tc>
        <w:tc>
          <w:tcPr>
            <w:tcW w:w="591"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932" w:type="pct"/>
            <w:shd w:val="clear" w:color="auto" w:fill="auto"/>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color w:val="0000FF"/>
                <w:sz w:val="21"/>
                <w:szCs w:val="21"/>
                <w:highlight w:val="none"/>
                <w:lang w:val="en-US" w:eastAsia="zh-CN"/>
              </w:rPr>
              <w:t>总大肠菌群</w:t>
            </w:r>
            <w:r>
              <w:rPr>
                <w:rFonts w:hint="default" w:ascii="Times New Roman" w:hAnsi="Times New Roman" w:cs="Times New Roman"/>
                <w:color w:val="0000FF"/>
                <w:sz w:val="21"/>
                <w:szCs w:val="21"/>
                <w:highlight w:val="none"/>
              </w:rPr>
              <w:t>（MPN/100mL）</w:t>
            </w:r>
          </w:p>
        </w:tc>
        <w:tc>
          <w:tcPr>
            <w:tcW w:w="511" w:type="pct"/>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eastAsia" w:cs="Times New Roman"/>
                <w:i w:val="0"/>
                <w:iCs w:val="0"/>
                <w:color w:val="0000FF"/>
                <w:kern w:val="0"/>
                <w:sz w:val="21"/>
                <w:szCs w:val="21"/>
                <w:highlight w:val="none"/>
                <w:u w:val="none"/>
                <w:lang w:val="en-US" w:eastAsia="zh-CN" w:bidi="ar"/>
              </w:rPr>
              <w:t>2</w:t>
            </w:r>
          </w:p>
        </w:tc>
        <w:tc>
          <w:tcPr>
            <w:tcW w:w="511" w:type="pct"/>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eastAsia" w:cs="Times New Roman"/>
                <w:i w:val="0"/>
                <w:iCs w:val="0"/>
                <w:color w:val="0000FF"/>
                <w:kern w:val="0"/>
                <w:sz w:val="21"/>
                <w:szCs w:val="21"/>
                <w:highlight w:val="none"/>
                <w:u w:val="none"/>
                <w:lang w:val="en-US" w:eastAsia="zh-CN" w:bidi="ar"/>
              </w:rPr>
              <w:t>2</w:t>
            </w:r>
          </w:p>
        </w:tc>
        <w:tc>
          <w:tcPr>
            <w:tcW w:w="511" w:type="pct"/>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eastAsia" w:cs="Times New Roman"/>
                <w:i w:val="0"/>
                <w:iCs w:val="0"/>
                <w:color w:val="0000FF"/>
                <w:kern w:val="0"/>
                <w:sz w:val="21"/>
                <w:szCs w:val="21"/>
                <w:highlight w:val="none"/>
                <w:u w:val="none"/>
                <w:lang w:val="en-US" w:eastAsia="zh-CN" w:bidi="ar"/>
              </w:rPr>
              <w:t>2</w:t>
            </w:r>
          </w:p>
        </w:tc>
        <w:tc>
          <w:tcPr>
            <w:tcW w:w="832" w:type="pct"/>
            <w:shd w:val="clear" w:color="auto" w:fill="auto"/>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cs="Times New Roman"/>
                <w:color w:val="0000FF"/>
                <w:sz w:val="21"/>
                <w:szCs w:val="21"/>
                <w:highlight w:val="none"/>
                <w:lang w:val="en-US" w:eastAsia="zh-CN"/>
              </w:rPr>
              <w:t>/</w:t>
            </w:r>
          </w:p>
        </w:tc>
        <w:tc>
          <w:tcPr>
            <w:tcW w:w="466" w:type="pct"/>
            <w:shd w:val="clear" w:color="auto" w:fill="auto"/>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3</w:t>
            </w:r>
          </w:p>
        </w:tc>
        <w:tc>
          <w:tcPr>
            <w:tcW w:w="642" w:type="pct"/>
            <w:shd w:val="clear" w:color="auto" w:fill="auto"/>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cs="Times New Roman"/>
                <w:color w:val="0000FF"/>
                <w:sz w:val="21"/>
                <w:szCs w:val="21"/>
                <w:highlight w:val="none"/>
                <w:lang w:val="en-US" w:eastAsia="zh-CN"/>
              </w:rPr>
              <w:t>0.67</w:t>
            </w:r>
          </w:p>
        </w:tc>
        <w:tc>
          <w:tcPr>
            <w:tcW w:w="591" w:type="pct"/>
            <w:shd w:val="clear" w:color="auto" w:fill="auto"/>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eastAsia="zh-CN"/>
              </w:rPr>
              <w:t>亚硝酸盐氮</w:t>
            </w:r>
            <w:r>
              <w:rPr>
                <w:rFonts w:hint="default" w:ascii="Times New Roman" w:hAnsi="Times New Roman" w:cs="Times New Roman"/>
                <w:color w:val="0000FF"/>
                <w:sz w:val="21"/>
                <w:szCs w:val="21"/>
                <w:highlight w:val="none"/>
              </w:rPr>
              <w:t>（mg/L）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0.004</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0.003</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0.004</w:t>
            </w:r>
          </w:p>
        </w:tc>
        <w:tc>
          <w:tcPr>
            <w:tcW w:w="8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0.003~0.004</w:t>
            </w:r>
          </w:p>
        </w:tc>
        <w:tc>
          <w:tcPr>
            <w:tcW w:w="466"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w:t>
            </w:r>
          </w:p>
        </w:tc>
        <w:tc>
          <w:tcPr>
            <w:tcW w:w="64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0.003~0.004</w:t>
            </w:r>
          </w:p>
        </w:tc>
        <w:tc>
          <w:tcPr>
            <w:tcW w:w="591"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eastAsia="宋体" w:cs="Times New Roman"/>
                <w:color w:val="0000FF"/>
                <w:sz w:val="21"/>
                <w:szCs w:val="21"/>
                <w:lang w:val="en-US" w:eastAsia="zh-CN"/>
              </w:rPr>
              <w:t>硝酸盐氮</w:t>
            </w:r>
            <w:r>
              <w:rPr>
                <w:rFonts w:hint="default" w:ascii="Times New Roman" w:hAnsi="Times New Roman" w:cs="Times New Roman"/>
                <w:color w:val="0000FF"/>
                <w:sz w:val="21"/>
                <w:szCs w:val="21"/>
                <w:highlight w:val="none"/>
              </w:rPr>
              <w:t>（mg/L）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4.45</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4.37</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4.51</w:t>
            </w:r>
          </w:p>
        </w:tc>
        <w:tc>
          <w:tcPr>
            <w:tcW w:w="83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4.37~4.51</w:t>
            </w:r>
          </w:p>
        </w:tc>
        <w:tc>
          <w:tcPr>
            <w:tcW w:w="466"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20</w:t>
            </w:r>
          </w:p>
        </w:tc>
        <w:tc>
          <w:tcPr>
            <w:tcW w:w="642"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0.219~0.226</w:t>
            </w:r>
          </w:p>
        </w:tc>
        <w:tc>
          <w:tcPr>
            <w:tcW w:w="591"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eastAsia="宋体" w:cs="Times New Roman"/>
                <w:color w:val="0000FF"/>
                <w:sz w:val="21"/>
                <w:szCs w:val="21"/>
                <w:lang w:val="en-US" w:eastAsia="zh-CN"/>
              </w:rPr>
              <w:t>氰化物</w:t>
            </w:r>
            <w:r>
              <w:rPr>
                <w:rFonts w:hint="default" w:ascii="Times New Roman" w:hAnsi="Times New Roman" w:cs="Times New Roman"/>
                <w:color w:val="0000FF"/>
                <w:sz w:val="21"/>
                <w:szCs w:val="21"/>
                <w:highlight w:val="none"/>
              </w:rPr>
              <w:t>（mg/L）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0.004L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0.004L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0.004L</w:t>
            </w:r>
          </w:p>
        </w:tc>
        <w:tc>
          <w:tcPr>
            <w:tcW w:w="83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0.002</w:t>
            </w:r>
          </w:p>
        </w:tc>
        <w:tc>
          <w:tcPr>
            <w:tcW w:w="466"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0.06</w:t>
            </w:r>
          </w:p>
        </w:tc>
        <w:tc>
          <w:tcPr>
            <w:tcW w:w="64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0.033</w:t>
            </w:r>
          </w:p>
        </w:tc>
        <w:tc>
          <w:tcPr>
            <w:tcW w:w="591" w:type="pct"/>
            <w:noWrap w:val="0"/>
            <w:vAlign w:val="top"/>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lang w:val="en-US"/>
              </w:rPr>
            </w:pPr>
            <w:r>
              <w:rPr>
                <w:rFonts w:hint="eastAsia" w:ascii="Times New Roman" w:hAnsi="Times New Roman" w:eastAsia="宋体" w:cs="Times New Roman"/>
                <w:color w:val="0000FF"/>
                <w:sz w:val="21"/>
                <w:szCs w:val="21"/>
                <w:lang w:val="en-US" w:eastAsia="zh-CN"/>
              </w:rPr>
              <w:t>氟化物v</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0.79</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0.82</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0.72</w:t>
            </w:r>
          </w:p>
        </w:tc>
        <w:tc>
          <w:tcPr>
            <w:tcW w:w="83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0.72~0.82</w:t>
            </w:r>
          </w:p>
        </w:tc>
        <w:tc>
          <w:tcPr>
            <w:tcW w:w="466"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w:t>
            </w:r>
          </w:p>
        </w:tc>
        <w:tc>
          <w:tcPr>
            <w:tcW w:w="64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0.72~0.82</w:t>
            </w:r>
          </w:p>
        </w:tc>
        <w:tc>
          <w:tcPr>
            <w:tcW w:w="591" w:type="pct"/>
            <w:noWrap w:val="0"/>
            <w:vAlign w:val="top"/>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eastAsia="宋体" w:cs="Times New Roman"/>
                <w:color w:val="0000FF"/>
                <w:sz w:val="21"/>
                <w:szCs w:val="21"/>
                <w:lang w:val="en-US" w:eastAsia="zh-CN"/>
              </w:rPr>
              <w:t>汞</w:t>
            </w:r>
            <w:r>
              <w:rPr>
                <w:rFonts w:hint="default" w:ascii="Times New Roman" w:hAnsi="Times New Roman" w:cs="Times New Roman"/>
                <w:color w:val="0000FF"/>
                <w:sz w:val="21"/>
                <w:szCs w:val="21"/>
                <w:highlight w:val="none"/>
              </w:rPr>
              <w:t>（mg/L）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0.00004L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0.00004L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0.00004L</w:t>
            </w:r>
          </w:p>
        </w:tc>
        <w:tc>
          <w:tcPr>
            <w:tcW w:w="83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0.00002</w:t>
            </w:r>
          </w:p>
        </w:tc>
        <w:tc>
          <w:tcPr>
            <w:tcW w:w="466"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0.001</w:t>
            </w:r>
          </w:p>
        </w:tc>
        <w:tc>
          <w:tcPr>
            <w:tcW w:w="64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0.02</w:t>
            </w:r>
          </w:p>
        </w:tc>
        <w:tc>
          <w:tcPr>
            <w:tcW w:w="591" w:type="pct"/>
            <w:noWrap w:val="0"/>
            <w:vAlign w:val="top"/>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eastAsia="宋体" w:cs="Times New Roman"/>
                <w:color w:val="0000FF"/>
                <w:sz w:val="21"/>
                <w:szCs w:val="21"/>
                <w:lang w:val="en-US" w:eastAsia="zh-CN"/>
              </w:rPr>
              <w:t>砷</w:t>
            </w:r>
            <w:r>
              <w:rPr>
                <w:rFonts w:hint="default" w:ascii="Times New Roman" w:hAnsi="Times New Roman" w:cs="Times New Roman"/>
                <w:color w:val="0000FF"/>
                <w:sz w:val="21"/>
                <w:szCs w:val="21"/>
                <w:highlight w:val="none"/>
              </w:rPr>
              <w:t>（mg/L）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83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0.0003~0.0006</w:t>
            </w:r>
          </w:p>
        </w:tc>
        <w:tc>
          <w:tcPr>
            <w:tcW w:w="466"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0.01</w:t>
            </w:r>
          </w:p>
        </w:tc>
        <w:tc>
          <w:tcPr>
            <w:tcW w:w="64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0.3~0.6</w:t>
            </w:r>
          </w:p>
        </w:tc>
        <w:tc>
          <w:tcPr>
            <w:tcW w:w="591" w:type="pct"/>
            <w:noWrap w:val="0"/>
            <w:vAlign w:val="top"/>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eastAsia="宋体" w:cs="Times New Roman"/>
                <w:color w:val="0000FF"/>
                <w:sz w:val="21"/>
                <w:szCs w:val="21"/>
                <w:lang w:val="en-US" w:eastAsia="zh-CN"/>
              </w:rPr>
              <w:t>镉</w:t>
            </w:r>
            <w:r>
              <w:rPr>
                <w:rFonts w:hint="default" w:ascii="Times New Roman" w:hAnsi="Times New Roman" w:cs="Times New Roman"/>
                <w:color w:val="0000FF"/>
                <w:sz w:val="21"/>
                <w:szCs w:val="21"/>
                <w:highlight w:val="none"/>
              </w:rPr>
              <w:t>（mg/L）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0.0001L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0.0001L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0.0001</w:t>
            </w:r>
          </w:p>
        </w:tc>
        <w:tc>
          <w:tcPr>
            <w:tcW w:w="83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0.00005~0.0001</w:t>
            </w:r>
          </w:p>
        </w:tc>
        <w:tc>
          <w:tcPr>
            <w:tcW w:w="466"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0.005</w:t>
            </w:r>
          </w:p>
        </w:tc>
        <w:tc>
          <w:tcPr>
            <w:tcW w:w="64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0.01~0.02</w:t>
            </w:r>
          </w:p>
        </w:tc>
        <w:tc>
          <w:tcPr>
            <w:tcW w:w="591" w:type="pct"/>
            <w:noWrap w:val="0"/>
            <w:vAlign w:val="top"/>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eastAsia="宋体" w:cs="Times New Roman"/>
                <w:color w:val="0000FF"/>
                <w:sz w:val="21"/>
                <w:szCs w:val="21"/>
                <w:lang w:val="en-US" w:eastAsia="zh-CN"/>
              </w:rPr>
              <w:t>六价铬</w:t>
            </w:r>
            <w:r>
              <w:rPr>
                <w:rFonts w:hint="default" w:ascii="Times New Roman" w:hAnsi="Times New Roman" w:cs="Times New Roman"/>
                <w:color w:val="0000FF"/>
                <w:sz w:val="21"/>
                <w:szCs w:val="21"/>
                <w:highlight w:val="none"/>
              </w:rPr>
              <w:t>（mg/L）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0.004L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0.004L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0.004L</w:t>
            </w:r>
          </w:p>
        </w:tc>
        <w:tc>
          <w:tcPr>
            <w:tcW w:w="83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0.002</w:t>
            </w:r>
          </w:p>
        </w:tc>
        <w:tc>
          <w:tcPr>
            <w:tcW w:w="466"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0.05</w:t>
            </w:r>
          </w:p>
        </w:tc>
        <w:tc>
          <w:tcPr>
            <w:tcW w:w="64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0.004</w:t>
            </w:r>
          </w:p>
        </w:tc>
        <w:tc>
          <w:tcPr>
            <w:tcW w:w="591" w:type="pct"/>
            <w:noWrap w:val="0"/>
            <w:vAlign w:val="top"/>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kern w:val="2"/>
                <w:sz w:val="21"/>
                <w:szCs w:val="21"/>
                <w:lang w:eastAsia="zh-CN"/>
              </w:rPr>
              <w:t>铅</w:t>
            </w:r>
            <w:r>
              <w:rPr>
                <w:rFonts w:hint="default" w:ascii="Times New Roman" w:hAnsi="Times New Roman" w:cs="Times New Roman"/>
                <w:color w:val="0000FF"/>
                <w:sz w:val="21"/>
                <w:szCs w:val="21"/>
                <w:highlight w:val="none"/>
              </w:rPr>
              <w:t>（mg/L）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0.001L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0.001L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0.001L</w:t>
            </w:r>
          </w:p>
        </w:tc>
        <w:tc>
          <w:tcPr>
            <w:tcW w:w="83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0.0005</w:t>
            </w:r>
          </w:p>
        </w:tc>
        <w:tc>
          <w:tcPr>
            <w:tcW w:w="466"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0.01</w:t>
            </w:r>
          </w:p>
        </w:tc>
        <w:tc>
          <w:tcPr>
            <w:tcW w:w="64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0.05</w:t>
            </w:r>
          </w:p>
        </w:tc>
        <w:tc>
          <w:tcPr>
            <w:tcW w:w="591" w:type="pct"/>
            <w:noWrap w:val="0"/>
            <w:vAlign w:val="top"/>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eastAsia" w:ascii="Times New Roman" w:hAnsi="Times New Roman" w:cs="Times New Roman"/>
                <w:color w:val="0000FF"/>
                <w:sz w:val="21"/>
                <w:szCs w:val="21"/>
                <w:highlight w:val="none"/>
                <w:lang w:val="en-US" w:eastAsia="zh-CN"/>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kern w:val="2"/>
                <w:sz w:val="21"/>
                <w:szCs w:val="21"/>
                <w:lang w:eastAsia="zh-CN"/>
              </w:rPr>
            </w:pPr>
            <w:r>
              <w:rPr>
                <w:rFonts w:hint="default" w:ascii="Times New Roman" w:hAnsi="Times New Roman" w:eastAsia="宋体" w:cs="Times New Roman"/>
                <w:color w:val="0000FF"/>
                <w:sz w:val="21"/>
                <w:szCs w:val="21"/>
                <w:lang w:val="en-US" w:eastAsia="zh-CN"/>
              </w:rPr>
              <w:t>K</w:t>
            </w:r>
            <w:r>
              <w:rPr>
                <w:rFonts w:hint="default" w:ascii="Times New Roman" w:hAnsi="Times New Roman" w:eastAsia="宋体" w:cs="Times New Roman"/>
                <w:color w:val="0000FF"/>
                <w:sz w:val="21"/>
                <w:szCs w:val="21"/>
                <w:vertAlign w:val="superscript"/>
                <w:lang w:val="en-US" w:eastAsia="zh-CN"/>
              </w:rPr>
              <w:t>+</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4.47</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2.84</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2.95</w:t>
            </w:r>
          </w:p>
        </w:tc>
        <w:tc>
          <w:tcPr>
            <w:tcW w:w="83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2.84~4.47</w:t>
            </w:r>
          </w:p>
        </w:tc>
        <w:tc>
          <w:tcPr>
            <w:tcW w:w="466"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eastAsia="zh-CN"/>
              </w:rPr>
            </w:pPr>
            <w:r>
              <w:rPr>
                <w:rFonts w:hint="eastAsia" w:ascii="Times New Roman" w:hAnsi="Times New Roman" w:cs="Times New Roman"/>
                <w:color w:val="0000FF"/>
                <w:sz w:val="21"/>
                <w:szCs w:val="21"/>
                <w:highlight w:val="none"/>
                <w:lang w:val="en-US" w:eastAsia="zh-CN"/>
              </w:rPr>
              <w:t>/</w:t>
            </w:r>
          </w:p>
        </w:tc>
        <w:tc>
          <w:tcPr>
            <w:tcW w:w="64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w:t>
            </w:r>
          </w:p>
        </w:tc>
        <w:tc>
          <w:tcPr>
            <w:tcW w:w="591"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kern w:val="2"/>
                <w:sz w:val="21"/>
                <w:szCs w:val="21"/>
                <w:lang w:eastAsia="zh-CN"/>
              </w:rPr>
            </w:pPr>
            <w:r>
              <w:rPr>
                <w:rFonts w:hint="default" w:ascii="Times New Roman" w:hAnsi="Times New Roman" w:eastAsia="宋体" w:cs="Times New Roman"/>
                <w:color w:val="0000FF"/>
                <w:sz w:val="21"/>
                <w:szCs w:val="21"/>
                <w:lang w:val="en-US" w:eastAsia="zh-CN"/>
              </w:rPr>
              <w:t>Na</w:t>
            </w:r>
            <w:r>
              <w:rPr>
                <w:rFonts w:hint="default" w:ascii="Times New Roman" w:hAnsi="Times New Roman" w:eastAsia="宋体" w:cs="Times New Roman"/>
                <w:color w:val="0000FF"/>
                <w:sz w:val="21"/>
                <w:szCs w:val="21"/>
                <w:vertAlign w:val="superscript"/>
                <w:lang w:val="en-US" w:eastAsia="zh-CN"/>
              </w:rPr>
              <w:t>+</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32.6</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34.9</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32.6</w:t>
            </w:r>
          </w:p>
        </w:tc>
        <w:tc>
          <w:tcPr>
            <w:tcW w:w="83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32.6~34.9</w:t>
            </w:r>
          </w:p>
        </w:tc>
        <w:tc>
          <w:tcPr>
            <w:tcW w:w="466"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w:t>
            </w:r>
          </w:p>
        </w:tc>
        <w:tc>
          <w:tcPr>
            <w:tcW w:w="64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w:t>
            </w:r>
          </w:p>
        </w:tc>
        <w:tc>
          <w:tcPr>
            <w:tcW w:w="591"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kern w:val="2"/>
                <w:sz w:val="21"/>
                <w:szCs w:val="21"/>
                <w:lang w:eastAsia="zh-CN"/>
              </w:rPr>
            </w:pPr>
            <w:r>
              <w:rPr>
                <w:rFonts w:hint="default" w:ascii="Times New Roman" w:hAnsi="Times New Roman" w:eastAsia="宋体" w:cs="Times New Roman"/>
                <w:color w:val="0000FF"/>
                <w:sz w:val="21"/>
                <w:szCs w:val="21"/>
                <w:lang w:val="en-US" w:eastAsia="zh-CN"/>
              </w:rPr>
              <w:t>Ca</w:t>
            </w:r>
            <w:r>
              <w:rPr>
                <w:rFonts w:hint="default" w:ascii="Times New Roman" w:hAnsi="Times New Roman" w:eastAsia="宋体" w:cs="Times New Roman"/>
                <w:color w:val="0000FF"/>
                <w:sz w:val="21"/>
                <w:szCs w:val="21"/>
                <w:vertAlign w:val="superscript"/>
                <w:lang w:val="en-US" w:eastAsia="zh-CN"/>
              </w:rPr>
              <w:t>2+</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75.4</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75.7</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75.8</w:t>
            </w:r>
          </w:p>
        </w:tc>
        <w:tc>
          <w:tcPr>
            <w:tcW w:w="83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75.4~75.8</w:t>
            </w:r>
          </w:p>
        </w:tc>
        <w:tc>
          <w:tcPr>
            <w:tcW w:w="466"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w:t>
            </w:r>
          </w:p>
        </w:tc>
        <w:tc>
          <w:tcPr>
            <w:tcW w:w="64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w:t>
            </w:r>
          </w:p>
        </w:tc>
        <w:tc>
          <w:tcPr>
            <w:tcW w:w="591"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kern w:val="2"/>
                <w:sz w:val="21"/>
                <w:szCs w:val="21"/>
                <w:lang w:eastAsia="zh-CN"/>
              </w:rPr>
            </w:pPr>
            <w:r>
              <w:rPr>
                <w:rFonts w:hint="default" w:ascii="Times New Roman" w:hAnsi="Times New Roman" w:eastAsia="宋体" w:cs="Times New Roman"/>
                <w:color w:val="0000FF"/>
                <w:sz w:val="21"/>
                <w:szCs w:val="21"/>
                <w:lang w:val="en-US" w:eastAsia="zh-CN"/>
              </w:rPr>
              <w:t>Mg</w:t>
            </w:r>
            <w:r>
              <w:rPr>
                <w:rFonts w:hint="default" w:ascii="Times New Roman" w:hAnsi="Times New Roman" w:eastAsia="宋体" w:cs="Times New Roman"/>
                <w:color w:val="0000FF"/>
                <w:sz w:val="21"/>
                <w:szCs w:val="21"/>
                <w:vertAlign w:val="superscript"/>
                <w:lang w:val="en-US" w:eastAsia="zh-CN"/>
              </w:rPr>
              <w:t>2+</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49.8</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49.9</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49.7</w:t>
            </w:r>
          </w:p>
        </w:tc>
        <w:tc>
          <w:tcPr>
            <w:tcW w:w="83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49.7~49.9</w:t>
            </w:r>
          </w:p>
        </w:tc>
        <w:tc>
          <w:tcPr>
            <w:tcW w:w="466"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w:t>
            </w:r>
          </w:p>
        </w:tc>
        <w:tc>
          <w:tcPr>
            <w:tcW w:w="64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w:t>
            </w:r>
          </w:p>
        </w:tc>
        <w:tc>
          <w:tcPr>
            <w:tcW w:w="591"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kern w:val="2"/>
                <w:sz w:val="21"/>
                <w:szCs w:val="21"/>
                <w:lang w:eastAsia="zh-CN"/>
              </w:rPr>
            </w:pPr>
            <w:r>
              <w:rPr>
                <w:rFonts w:hint="default" w:ascii="Times New Roman" w:hAnsi="Times New Roman" w:eastAsia="宋体" w:cs="Times New Roman"/>
                <w:color w:val="0000FF"/>
                <w:sz w:val="21"/>
                <w:szCs w:val="21"/>
                <w:lang w:val="en-US" w:eastAsia="zh-CN"/>
              </w:rPr>
              <w:t>CO</w:t>
            </w:r>
            <w:r>
              <w:rPr>
                <w:rFonts w:hint="default" w:ascii="Times New Roman" w:hAnsi="Times New Roman" w:eastAsia="宋体" w:cs="Times New Roman"/>
                <w:color w:val="0000FF"/>
                <w:sz w:val="21"/>
                <w:szCs w:val="21"/>
                <w:vertAlign w:val="subscript"/>
                <w:lang w:val="en-US" w:eastAsia="zh-CN"/>
              </w:rPr>
              <w:t>3</w:t>
            </w:r>
            <w:r>
              <w:rPr>
                <w:rFonts w:hint="default" w:ascii="Times New Roman" w:hAnsi="Times New Roman" w:eastAsia="宋体" w:cs="Times New Roman"/>
                <w:color w:val="0000FF"/>
                <w:sz w:val="21"/>
                <w:szCs w:val="21"/>
                <w:vertAlign w:val="superscript"/>
                <w:lang w:val="en-US" w:eastAsia="zh-CN"/>
              </w:rPr>
              <w:t>2-</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5L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5L</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5L</w:t>
            </w:r>
          </w:p>
        </w:tc>
        <w:tc>
          <w:tcPr>
            <w:tcW w:w="83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2.5</w:t>
            </w:r>
          </w:p>
        </w:tc>
        <w:tc>
          <w:tcPr>
            <w:tcW w:w="466"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w:t>
            </w:r>
          </w:p>
        </w:tc>
        <w:tc>
          <w:tcPr>
            <w:tcW w:w="64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w:t>
            </w:r>
          </w:p>
        </w:tc>
        <w:tc>
          <w:tcPr>
            <w:tcW w:w="591"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kern w:val="2"/>
                <w:sz w:val="21"/>
                <w:szCs w:val="21"/>
                <w:lang w:eastAsia="zh-CN"/>
              </w:rPr>
            </w:pPr>
            <w:r>
              <w:rPr>
                <w:rFonts w:hint="default" w:ascii="Times New Roman" w:hAnsi="Times New Roman" w:eastAsia="宋体" w:cs="Times New Roman"/>
                <w:color w:val="0000FF"/>
                <w:sz w:val="21"/>
                <w:szCs w:val="21"/>
                <w:lang w:val="en-US" w:eastAsia="zh-CN"/>
              </w:rPr>
              <w:t>HCO</w:t>
            </w:r>
            <w:r>
              <w:rPr>
                <w:rFonts w:hint="default" w:ascii="Times New Roman" w:hAnsi="Times New Roman" w:eastAsia="宋体" w:cs="Times New Roman"/>
                <w:color w:val="0000FF"/>
                <w:sz w:val="21"/>
                <w:szCs w:val="21"/>
                <w:vertAlign w:val="subscript"/>
                <w:lang w:val="en-US" w:eastAsia="zh-CN"/>
              </w:rPr>
              <w:t>3</w:t>
            </w:r>
            <w:r>
              <w:rPr>
                <w:rFonts w:hint="default" w:ascii="Times New Roman" w:hAnsi="Times New Roman" w:eastAsia="宋体" w:cs="Times New Roman"/>
                <w:color w:val="0000FF"/>
                <w:sz w:val="21"/>
                <w:szCs w:val="21"/>
                <w:vertAlign w:val="superscript"/>
                <w:lang w:val="en-US" w:eastAsia="zh-CN"/>
              </w:rPr>
              <w:t>-</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515</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511</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516</w:t>
            </w:r>
          </w:p>
        </w:tc>
        <w:tc>
          <w:tcPr>
            <w:tcW w:w="83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511~516</w:t>
            </w:r>
          </w:p>
        </w:tc>
        <w:tc>
          <w:tcPr>
            <w:tcW w:w="466"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w:t>
            </w:r>
          </w:p>
        </w:tc>
        <w:tc>
          <w:tcPr>
            <w:tcW w:w="64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w:t>
            </w:r>
          </w:p>
        </w:tc>
        <w:tc>
          <w:tcPr>
            <w:tcW w:w="591"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kern w:val="2"/>
                <w:sz w:val="21"/>
                <w:szCs w:val="21"/>
                <w:lang w:eastAsia="zh-CN"/>
              </w:rPr>
            </w:pPr>
            <w:r>
              <w:rPr>
                <w:rFonts w:hint="default" w:ascii="Times New Roman" w:hAnsi="Times New Roman" w:eastAsia="宋体" w:cs="Times New Roman"/>
                <w:color w:val="0000FF"/>
                <w:sz w:val="21"/>
                <w:szCs w:val="21"/>
                <w:lang w:val="en-US" w:eastAsia="zh-CN"/>
              </w:rPr>
              <w:t>Cl</w:t>
            </w:r>
            <w:r>
              <w:rPr>
                <w:rFonts w:hint="default" w:ascii="Times New Roman" w:hAnsi="Times New Roman" w:eastAsia="宋体" w:cs="Times New Roman"/>
                <w:color w:val="0000FF"/>
                <w:sz w:val="21"/>
                <w:szCs w:val="21"/>
                <w:vertAlign w:val="superscript"/>
                <w:lang w:val="en-US" w:eastAsia="zh-CN"/>
              </w:rPr>
              <w:t>-</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10.2</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10.6</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9</w:t>
            </w:r>
          </w:p>
        </w:tc>
        <w:tc>
          <w:tcPr>
            <w:tcW w:w="83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9~10.6</w:t>
            </w:r>
          </w:p>
        </w:tc>
        <w:tc>
          <w:tcPr>
            <w:tcW w:w="466"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w:t>
            </w:r>
          </w:p>
        </w:tc>
        <w:tc>
          <w:tcPr>
            <w:tcW w:w="64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w:t>
            </w:r>
          </w:p>
        </w:tc>
        <w:tc>
          <w:tcPr>
            <w:tcW w:w="591"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32"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kern w:val="2"/>
                <w:sz w:val="21"/>
                <w:szCs w:val="21"/>
                <w:lang w:eastAsia="zh-CN"/>
              </w:rPr>
            </w:pPr>
            <w:r>
              <w:rPr>
                <w:rFonts w:hint="default" w:ascii="Times New Roman" w:hAnsi="Times New Roman" w:eastAsia="宋体" w:cs="Times New Roman"/>
                <w:color w:val="0000FF"/>
                <w:sz w:val="21"/>
                <w:szCs w:val="21"/>
                <w:lang w:val="en-US" w:eastAsia="zh-CN"/>
              </w:rPr>
              <w:t>SO</w:t>
            </w:r>
            <w:r>
              <w:rPr>
                <w:rFonts w:hint="default" w:ascii="Times New Roman" w:hAnsi="Times New Roman" w:eastAsia="宋体" w:cs="Times New Roman"/>
                <w:color w:val="0000FF"/>
                <w:sz w:val="21"/>
                <w:szCs w:val="21"/>
                <w:vertAlign w:val="subscript"/>
                <w:lang w:val="en-US" w:eastAsia="zh-CN"/>
              </w:rPr>
              <w:t>4</w:t>
            </w:r>
            <w:r>
              <w:rPr>
                <w:rFonts w:hint="default" w:ascii="Times New Roman" w:hAnsi="Times New Roman" w:eastAsia="宋体" w:cs="Times New Roman"/>
                <w:color w:val="0000FF"/>
                <w:sz w:val="21"/>
                <w:szCs w:val="21"/>
                <w:vertAlign w:val="superscript"/>
                <w:lang w:val="en-US" w:eastAsia="zh-CN"/>
              </w:rPr>
              <w:t>2-</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33.4</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34</w:t>
            </w:r>
          </w:p>
        </w:tc>
        <w:tc>
          <w:tcPr>
            <w:tcW w:w="511" w:type="pct"/>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32.2</w:t>
            </w:r>
          </w:p>
        </w:tc>
        <w:tc>
          <w:tcPr>
            <w:tcW w:w="83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32.2~34</w:t>
            </w:r>
          </w:p>
        </w:tc>
        <w:tc>
          <w:tcPr>
            <w:tcW w:w="466"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w:t>
            </w:r>
          </w:p>
        </w:tc>
        <w:tc>
          <w:tcPr>
            <w:tcW w:w="642"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eastAsia"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w:t>
            </w:r>
          </w:p>
        </w:tc>
        <w:tc>
          <w:tcPr>
            <w:tcW w:w="591" w:type="pct"/>
            <w:noWrap w:val="0"/>
            <w:vAlign w:val="top"/>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00" w:type="pct"/>
            <w:gridSpan w:val="8"/>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rPr>
                <w:rFonts w:hint="default" w:ascii="Times New Roman" w:hAnsi="Times New Roman" w:cs="Times New Roman"/>
                <w:color w:val="0000FF"/>
                <w:sz w:val="21"/>
                <w:szCs w:val="21"/>
                <w:highlight w:val="none"/>
              </w:rPr>
            </w:pPr>
            <w:r>
              <w:rPr>
                <w:rFonts w:hint="default" w:ascii="Times New Roman" w:hAnsi="Times New Roman" w:eastAsia="Times New Roman" w:cs="Times New Roman"/>
                <w:color w:val="0000FF"/>
                <w:spacing w:val="10"/>
                <w:sz w:val="21"/>
                <w:szCs w:val="21"/>
              </w:rPr>
              <w:t>注：</w:t>
            </w:r>
            <w:r>
              <w:rPr>
                <w:rFonts w:hint="eastAsia" w:ascii="Times New Roman" w:hAnsi="Times New Roman" w:eastAsia="宋体" w:cs="Times New Roman"/>
                <w:color w:val="0000FF"/>
                <w:spacing w:val="10"/>
                <w:sz w:val="21"/>
                <w:szCs w:val="21"/>
                <w:lang w:val="en-US" w:eastAsia="zh-CN"/>
              </w:rPr>
              <w:t>L</w:t>
            </w:r>
            <w:r>
              <w:rPr>
                <w:rFonts w:hint="default" w:ascii="Times New Roman" w:hAnsi="Times New Roman" w:eastAsia="Times New Roman" w:cs="Times New Roman"/>
                <w:color w:val="0000FF"/>
                <w:spacing w:val="10"/>
                <w:sz w:val="21"/>
                <w:szCs w:val="21"/>
              </w:rPr>
              <w:t>为低于检出限，按检出限一半计。</w:t>
            </w:r>
          </w:p>
        </w:tc>
      </w:tr>
    </w:tbl>
    <w:p>
      <w:pPr>
        <w:spacing w:line="240" w:lineRule="auto"/>
        <w:ind w:firstLine="480"/>
        <w:jc w:val="center"/>
        <w:rPr>
          <w:rFonts w:hint="default" w:ascii="Times New Roman" w:hAnsi="Times New Roman" w:cs="Times New Roman"/>
          <w:b/>
          <w:bCs/>
          <w:color w:val="0000FF"/>
          <w:highlight w:val="none"/>
          <w:lang w:val="en-US" w:eastAsia="zh-CN"/>
        </w:rPr>
      </w:pPr>
      <w:r>
        <w:rPr>
          <w:rFonts w:hint="eastAsia" w:ascii="Times New Roman" w:hAnsi="Times New Roman" w:cs="Times New Roman"/>
          <w:b/>
          <w:bCs/>
          <w:color w:val="0000FF"/>
          <w:highlight w:val="none"/>
          <w:lang w:val="en-US" w:eastAsia="zh-CN"/>
        </w:rPr>
        <w:t>表4.2.5-3   1#旧村水井引用地下水检测结果一览表</w:t>
      </w:r>
    </w:p>
    <w:tbl>
      <w:tblPr>
        <w:tblStyle w:val="5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37"/>
        <w:gridCol w:w="945"/>
        <w:gridCol w:w="945"/>
        <w:gridCol w:w="945"/>
        <w:gridCol w:w="1474"/>
        <w:gridCol w:w="782"/>
        <w:gridCol w:w="1070"/>
        <w:gridCol w:w="5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检测点位</w:t>
            </w:r>
          </w:p>
        </w:tc>
        <w:tc>
          <w:tcPr>
            <w:tcW w:w="1785"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hint="eastAsia" w:ascii="Times New Roman" w:hAnsi="Times New Roman" w:eastAsia="宋体" w:cs="Times New Roman"/>
                <w:color w:val="0000FF"/>
                <w:spacing w:val="-3"/>
                <w:sz w:val="21"/>
                <w:szCs w:val="21"/>
                <w:lang w:val="en-US" w:eastAsia="zh-CN"/>
              </w:rPr>
              <w:t>引用：</w:t>
            </w:r>
            <w:r>
              <w:rPr>
                <w:rFonts w:ascii="Times New Roman" w:hAnsi="Times New Roman" w:eastAsia="Times New Roman" w:cs="Times New Roman"/>
                <w:color w:val="0000FF"/>
                <w:spacing w:val="-3"/>
                <w:sz w:val="21"/>
                <w:szCs w:val="21"/>
              </w:rPr>
              <w:t>1#</w:t>
            </w:r>
            <w:r>
              <w:rPr>
                <w:rFonts w:ascii="宋体" w:hAnsi="宋体" w:eastAsia="宋体" w:cs="宋体"/>
                <w:color w:val="0000FF"/>
                <w:spacing w:val="-3"/>
                <w:sz w:val="21"/>
                <w:szCs w:val="21"/>
              </w:rPr>
              <w:t>旧村水井</w:t>
            </w:r>
          </w:p>
        </w:tc>
        <w:tc>
          <w:tcPr>
            <w:tcW w:w="779"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浓度范围</w:t>
            </w:r>
          </w:p>
        </w:tc>
        <w:tc>
          <w:tcPr>
            <w:tcW w:w="518"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pacing w:val="-1"/>
                <w:sz w:val="21"/>
                <w:szCs w:val="21"/>
              </w:rPr>
              <w:t>Ⅲ</w:t>
            </w:r>
            <w:r>
              <w:rPr>
                <w:rFonts w:ascii="宋体" w:hAnsi="宋体" w:eastAsia="宋体" w:cs="宋体"/>
                <w:color w:val="0000FF"/>
                <w:spacing w:val="-1"/>
                <w:sz w:val="21"/>
                <w:szCs w:val="21"/>
              </w:rPr>
              <w:t>类标准</w:t>
            </w:r>
          </w:p>
        </w:tc>
        <w:tc>
          <w:tcPr>
            <w:tcW w:w="565"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宋体" w:hAnsi="宋体" w:eastAsia="宋体" w:cs="宋体"/>
                <w:color w:val="0000FF"/>
                <w:sz w:val="21"/>
                <w:szCs w:val="21"/>
                <w:lang w:val="en-US" w:eastAsia="zh-CN"/>
              </w:rPr>
            </w:pPr>
            <w:r>
              <w:rPr>
                <w:rFonts w:hint="eastAsia" w:ascii="宋体" w:hAnsi="宋体" w:eastAsia="宋体" w:cs="宋体"/>
                <w:color w:val="0000FF"/>
                <w:sz w:val="21"/>
                <w:szCs w:val="21"/>
                <w:lang w:val="en-US" w:eastAsia="zh-CN"/>
              </w:rPr>
              <w:t>标准指数</w:t>
            </w:r>
          </w:p>
        </w:tc>
        <w:tc>
          <w:tcPr>
            <w:tcW w:w="333"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position w:val="8"/>
                <w:sz w:val="21"/>
                <w:szCs w:val="21"/>
              </w:rPr>
              <w:t>达标</w:t>
            </w:r>
          </w:p>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6"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采样日期</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position w:val="12"/>
                <w:sz w:val="21"/>
                <w:szCs w:val="21"/>
              </w:rPr>
              <w:t>2022.12.03</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position w:val="12"/>
                <w:sz w:val="21"/>
                <w:szCs w:val="21"/>
              </w:rPr>
              <w:t>2022.12.03</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position w:val="12"/>
                <w:sz w:val="21"/>
                <w:szCs w:val="21"/>
              </w:rPr>
              <w:t>2022.12.03</w:t>
            </w:r>
          </w:p>
        </w:tc>
        <w:tc>
          <w:tcPr>
            <w:tcW w:w="779"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p>
        </w:tc>
        <w:tc>
          <w:tcPr>
            <w:tcW w:w="518"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p>
        </w:tc>
        <w:tc>
          <w:tcPr>
            <w:tcW w:w="565"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p>
        </w:tc>
        <w:tc>
          <w:tcPr>
            <w:tcW w:w="333"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color w:val="0000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Times New Roman" w:hAnsi="Times New Roman" w:eastAsia="Times New Roman" w:cs="Times New Roman"/>
                <w:color w:val="0000FF"/>
                <w:sz w:val="21"/>
                <w:szCs w:val="21"/>
              </w:rPr>
              <w:t>pH</w:t>
            </w:r>
            <w:r>
              <w:rPr>
                <w:rFonts w:ascii="宋体" w:hAnsi="宋体" w:eastAsia="宋体" w:cs="宋体"/>
                <w:color w:val="0000FF"/>
                <w:sz w:val="21"/>
                <w:szCs w:val="21"/>
              </w:rPr>
              <w:t>（无量纲）</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7.15</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7.33</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7.02</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2"/>
                <w:sz w:val="21"/>
                <w:szCs w:val="21"/>
                <w:lang w:val="en-US" w:eastAsia="zh-CN"/>
              </w:rPr>
            </w:pPr>
            <w:r>
              <w:rPr>
                <w:rFonts w:hint="eastAsia" w:ascii="Times New Roman" w:hAnsi="Times New Roman" w:eastAsia="宋体" w:cs="Times New Roman"/>
                <w:color w:val="0000FF"/>
                <w:spacing w:val="-2"/>
                <w:sz w:val="21"/>
                <w:szCs w:val="21"/>
                <w:lang w:val="en-US" w:eastAsia="zh-CN"/>
              </w:rPr>
              <w:t>7.02~7.33</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6.5-8.5</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0.01~0.22</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氨氮（</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0.116</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0.132</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0.105</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0.105~0.132</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0.5</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0.21~0.26</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溶解性总固体（</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6"/>
                <w:sz w:val="21"/>
                <w:szCs w:val="21"/>
              </w:rPr>
              <w:t>125</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98</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6"/>
                <w:sz w:val="21"/>
                <w:szCs w:val="21"/>
              </w:rPr>
              <w:t>102</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98~125</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1000</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0.098~0.125</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高锰酸盐指数（</w:t>
            </w:r>
            <w:r>
              <w:rPr>
                <w:rFonts w:ascii="Times New Roman" w:hAnsi="Times New Roman" w:eastAsia="Times New Roman" w:cs="Times New Roman"/>
                <w:color w:val="0000FF"/>
                <w:spacing w:val="-2"/>
                <w:sz w:val="21"/>
                <w:szCs w:val="21"/>
              </w:rPr>
              <w:t>mg/L</w:t>
            </w:r>
            <w:r>
              <w:rPr>
                <w:rFonts w:ascii="宋体" w:hAnsi="宋体" w:eastAsia="宋体" w:cs="宋体"/>
                <w:color w:val="0000FF"/>
                <w:spacing w:val="-2"/>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2.9</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3</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2.9</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eastAsia"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2.9~3</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eastAsia" w:ascii="Times New Roman" w:hAnsi="Times New Roman" w:eastAsia="宋体" w:cs="Times New Roman"/>
                <w:color w:val="0000FF"/>
                <w:sz w:val="21"/>
                <w:szCs w:val="21"/>
                <w:lang w:eastAsia="zh-CN"/>
              </w:rPr>
            </w:pPr>
            <w:r>
              <w:rPr>
                <w:rFonts w:hint="eastAsia" w:ascii="Times New Roman" w:hAnsi="Times New Roman" w:eastAsia="宋体" w:cs="Times New Roman"/>
                <w:color w:val="0000FF"/>
                <w:sz w:val="21"/>
                <w:szCs w:val="21"/>
                <w:lang w:val="en-US" w:eastAsia="zh-CN"/>
              </w:rPr>
              <w:t>3</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0.97~1</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7"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阴离子表面活性剂</w:t>
            </w:r>
          </w:p>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mg/L</w:t>
            </w:r>
            <w:r>
              <w:rPr>
                <w:rFonts w:ascii="宋体" w:hAnsi="宋体" w:eastAsia="宋体" w:cs="宋体"/>
                <w:color w:val="0000FF"/>
                <w:spacing w:val="-3"/>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5"/>
                <w:sz w:val="21"/>
                <w:szCs w:val="21"/>
              </w:rPr>
              <w:t>＜</w:t>
            </w:r>
            <w:r>
              <w:rPr>
                <w:rFonts w:ascii="Times New Roman" w:hAnsi="Times New Roman" w:eastAsia="Times New Roman" w:cs="Times New Roman"/>
                <w:color w:val="0000FF"/>
                <w:spacing w:val="-5"/>
                <w:sz w:val="21"/>
                <w:szCs w:val="21"/>
              </w:rPr>
              <w:t>0.05</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5"/>
                <w:sz w:val="21"/>
                <w:szCs w:val="21"/>
              </w:rPr>
              <w:t>＜</w:t>
            </w:r>
            <w:r>
              <w:rPr>
                <w:rFonts w:ascii="Times New Roman" w:hAnsi="Times New Roman" w:eastAsia="Times New Roman" w:cs="Times New Roman"/>
                <w:color w:val="0000FF"/>
                <w:spacing w:val="-5"/>
                <w:sz w:val="21"/>
                <w:szCs w:val="21"/>
              </w:rPr>
              <w:t>0.05</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5"/>
                <w:sz w:val="21"/>
                <w:szCs w:val="21"/>
              </w:rPr>
              <w:t>＜</w:t>
            </w:r>
            <w:r>
              <w:rPr>
                <w:rFonts w:ascii="Times New Roman" w:hAnsi="Times New Roman" w:eastAsia="Times New Roman" w:cs="Times New Roman"/>
                <w:color w:val="0000FF"/>
                <w:spacing w:val="-5"/>
                <w:sz w:val="21"/>
                <w:szCs w:val="21"/>
              </w:rPr>
              <w:t>0.05</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0.025</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0.3</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0.0083</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氟化物（</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0.318</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0.309</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0.312</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0.309~0.318</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1.0</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hint="eastAsia" w:ascii="Times New Roman" w:hAnsi="Times New Roman" w:eastAsia="宋体" w:cs="Times New Roman"/>
                <w:color w:val="0000FF"/>
                <w:spacing w:val="-1"/>
                <w:sz w:val="21"/>
                <w:szCs w:val="21"/>
                <w:lang w:val="en-US" w:eastAsia="zh-CN"/>
              </w:rPr>
              <w:t>0.309~0.318</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砷（</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0.00039</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0.00053</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0.00056</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0.00039~0.00056</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0.039~0.056</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汞（</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4.0×10</w:t>
            </w:r>
            <w:r>
              <w:rPr>
                <w:rFonts w:ascii="Times New Roman" w:hAnsi="Times New Roman" w:eastAsia="Times New Roman" w:cs="Times New Roman"/>
                <w:color w:val="0000FF"/>
                <w:spacing w:val="-3"/>
                <w:sz w:val="21"/>
                <w:szCs w:val="21"/>
                <w:vertAlign w:val="superscript"/>
              </w:rPr>
              <w:t>-5</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4.0×10</w:t>
            </w:r>
            <w:r>
              <w:rPr>
                <w:rFonts w:ascii="Times New Roman" w:hAnsi="Times New Roman" w:eastAsia="Times New Roman" w:cs="Times New Roman"/>
                <w:color w:val="0000FF"/>
                <w:spacing w:val="-3"/>
                <w:sz w:val="21"/>
                <w:szCs w:val="21"/>
                <w:vertAlign w:val="superscript"/>
              </w:rPr>
              <w:t>-5</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4.0×10</w:t>
            </w:r>
            <w:r>
              <w:rPr>
                <w:rFonts w:ascii="Times New Roman" w:hAnsi="Times New Roman" w:eastAsia="Times New Roman" w:cs="Times New Roman"/>
                <w:color w:val="0000FF"/>
                <w:spacing w:val="-3"/>
                <w:sz w:val="21"/>
                <w:szCs w:val="21"/>
                <w:vertAlign w:val="superscript"/>
              </w:rPr>
              <w:t>-5</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0.00002</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0.001</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0.02</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镉（</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1.0×10</w:t>
            </w:r>
            <w:r>
              <w:rPr>
                <w:rFonts w:ascii="Times New Roman" w:hAnsi="Times New Roman" w:eastAsia="Times New Roman" w:cs="Times New Roman"/>
                <w:color w:val="0000FF"/>
                <w:spacing w:val="-3"/>
                <w:sz w:val="21"/>
                <w:szCs w:val="21"/>
                <w:vertAlign w:val="superscript"/>
              </w:rPr>
              <w:t>-4</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1.0×10</w:t>
            </w:r>
            <w:r>
              <w:rPr>
                <w:rFonts w:ascii="Times New Roman" w:hAnsi="Times New Roman" w:eastAsia="Times New Roman" w:cs="Times New Roman"/>
                <w:color w:val="0000FF"/>
                <w:spacing w:val="-3"/>
                <w:sz w:val="21"/>
                <w:szCs w:val="21"/>
                <w:vertAlign w:val="superscript"/>
              </w:rPr>
              <w:t>-4</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1.0×10</w:t>
            </w:r>
            <w:r>
              <w:rPr>
                <w:rFonts w:ascii="Times New Roman" w:hAnsi="Times New Roman" w:eastAsia="Times New Roman" w:cs="Times New Roman"/>
                <w:color w:val="0000FF"/>
                <w:spacing w:val="-3"/>
                <w:sz w:val="21"/>
                <w:szCs w:val="21"/>
                <w:vertAlign w:val="superscript"/>
              </w:rPr>
              <w:t>-4</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eastAsia"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5</w:t>
            </w:r>
            <w:r>
              <w:rPr>
                <w:rFonts w:ascii="Times New Roman" w:hAnsi="Times New Roman" w:eastAsia="Times New Roman" w:cs="Times New Roman"/>
                <w:color w:val="0000FF"/>
                <w:spacing w:val="-3"/>
                <w:sz w:val="21"/>
                <w:szCs w:val="21"/>
              </w:rPr>
              <w:t>×10</w:t>
            </w:r>
            <w:r>
              <w:rPr>
                <w:rFonts w:ascii="Times New Roman" w:hAnsi="Times New Roman" w:eastAsia="Times New Roman" w:cs="Times New Roman"/>
                <w:color w:val="0000FF"/>
                <w:spacing w:val="-3"/>
                <w:sz w:val="21"/>
                <w:szCs w:val="21"/>
                <w:vertAlign w:val="superscript"/>
              </w:rPr>
              <w:t>-</w:t>
            </w:r>
            <w:r>
              <w:rPr>
                <w:rFonts w:hint="eastAsia" w:ascii="Times New Roman" w:hAnsi="Times New Roman" w:eastAsia="宋体" w:cs="Times New Roman"/>
                <w:color w:val="0000FF"/>
                <w:spacing w:val="-3"/>
                <w:sz w:val="21"/>
                <w:szCs w:val="21"/>
                <w:vertAlign w:val="superscript"/>
                <w:lang w:val="en-US" w:eastAsia="zh-CN"/>
              </w:rPr>
              <w:t>5</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0.005</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0.01</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六价铬（</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4"/>
                <w:sz w:val="21"/>
                <w:szCs w:val="21"/>
              </w:rPr>
              <w:t>＜</w:t>
            </w:r>
            <w:r>
              <w:rPr>
                <w:rFonts w:ascii="Times New Roman" w:hAnsi="Times New Roman" w:eastAsia="Times New Roman" w:cs="Times New Roman"/>
                <w:color w:val="0000FF"/>
                <w:spacing w:val="-4"/>
                <w:sz w:val="21"/>
                <w:szCs w:val="21"/>
              </w:rPr>
              <w:t>0.004</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4"/>
                <w:sz w:val="21"/>
                <w:szCs w:val="21"/>
              </w:rPr>
              <w:t>＜</w:t>
            </w:r>
            <w:r>
              <w:rPr>
                <w:rFonts w:ascii="Times New Roman" w:hAnsi="Times New Roman" w:eastAsia="Times New Roman" w:cs="Times New Roman"/>
                <w:color w:val="0000FF"/>
                <w:spacing w:val="-4"/>
                <w:sz w:val="21"/>
                <w:szCs w:val="21"/>
              </w:rPr>
              <w:t>0.004</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4"/>
                <w:sz w:val="21"/>
                <w:szCs w:val="21"/>
              </w:rPr>
              <w:t>＜</w:t>
            </w:r>
            <w:r>
              <w:rPr>
                <w:rFonts w:ascii="Times New Roman" w:hAnsi="Times New Roman" w:eastAsia="Times New Roman" w:cs="Times New Roman"/>
                <w:color w:val="0000FF"/>
                <w:spacing w:val="-4"/>
                <w:sz w:val="21"/>
                <w:szCs w:val="21"/>
              </w:rPr>
              <w:t>0.004</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0.002</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0.05</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0.04</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铅（</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4"/>
                <w:sz w:val="21"/>
                <w:szCs w:val="21"/>
              </w:rPr>
              <w:t>＜</w:t>
            </w:r>
            <w:r>
              <w:rPr>
                <w:rFonts w:ascii="Times New Roman" w:hAnsi="Times New Roman" w:eastAsia="Times New Roman" w:cs="Times New Roman"/>
                <w:color w:val="0000FF"/>
                <w:spacing w:val="-4"/>
                <w:sz w:val="21"/>
                <w:szCs w:val="21"/>
              </w:rPr>
              <w:t>0.001</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4"/>
                <w:sz w:val="21"/>
                <w:szCs w:val="21"/>
              </w:rPr>
              <w:t>＜</w:t>
            </w:r>
            <w:r>
              <w:rPr>
                <w:rFonts w:ascii="Times New Roman" w:hAnsi="Times New Roman" w:eastAsia="Times New Roman" w:cs="Times New Roman"/>
                <w:color w:val="0000FF"/>
                <w:spacing w:val="-4"/>
                <w:sz w:val="21"/>
                <w:szCs w:val="21"/>
              </w:rPr>
              <w:t>0.001</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4"/>
                <w:sz w:val="21"/>
                <w:szCs w:val="21"/>
              </w:rPr>
              <w:t>＜</w:t>
            </w:r>
            <w:r>
              <w:rPr>
                <w:rFonts w:ascii="Times New Roman" w:hAnsi="Times New Roman" w:eastAsia="Times New Roman" w:cs="Times New Roman"/>
                <w:color w:val="0000FF"/>
                <w:spacing w:val="-4"/>
                <w:sz w:val="21"/>
                <w:szCs w:val="21"/>
              </w:rPr>
              <w:t>0.001</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0.0005</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0.05</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氰化物（</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4"/>
                <w:sz w:val="21"/>
                <w:szCs w:val="21"/>
              </w:rPr>
              <w:t>＜</w:t>
            </w:r>
            <w:r>
              <w:rPr>
                <w:rFonts w:ascii="Times New Roman" w:hAnsi="Times New Roman" w:eastAsia="Times New Roman" w:cs="Times New Roman"/>
                <w:color w:val="0000FF"/>
                <w:spacing w:val="-4"/>
                <w:sz w:val="21"/>
                <w:szCs w:val="21"/>
              </w:rPr>
              <w:t>0.004</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4"/>
                <w:sz w:val="21"/>
                <w:szCs w:val="21"/>
              </w:rPr>
              <w:t>＜</w:t>
            </w:r>
            <w:r>
              <w:rPr>
                <w:rFonts w:ascii="Times New Roman" w:hAnsi="Times New Roman" w:eastAsia="Times New Roman" w:cs="Times New Roman"/>
                <w:color w:val="0000FF"/>
                <w:spacing w:val="-4"/>
                <w:sz w:val="21"/>
                <w:szCs w:val="21"/>
              </w:rPr>
              <w:t>0.004</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4"/>
                <w:sz w:val="21"/>
                <w:szCs w:val="21"/>
              </w:rPr>
              <w:t>＜</w:t>
            </w:r>
            <w:r>
              <w:rPr>
                <w:rFonts w:ascii="Times New Roman" w:hAnsi="Times New Roman" w:eastAsia="Times New Roman" w:cs="Times New Roman"/>
                <w:color w:val="0000FF"/>
                <w:spacing w:val="-4"/>
                <w:sz w:val="21"/>
                <w:szCs w:val="21"/>
              </w:rPr>
              <w:t>0.004</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0.002</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0.05</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0.04</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挥发酚（</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0.0003</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4"/>
                <w:sz w:val="21"/>
                <w:szCs w:val="21"/>
              </w:rPr>
              <w:t>＜</w:t>
            </w:r>
            <w:r>
              <w:rPr>
                <w:rFonts w:ascii="Times New Roman" w:hAnsi="Times New Roman" w:eastAsia="Times New Roman" w:cs="Times New Roman"/>
                <w:color w:val="0000FF"/>
                <w:spacing w:val="-4"/>
                <w:sz w:val="21"/>
                <w:szCs w:val="21"/>
              </w:rPr>
              <w:t>0.0003</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4"/>
                <w:sz w:val="21"/>
                <w:szCs w:val="21"/>
              </w:rPr>
              <w:t>＜</w:t>
            </w:r>
            <w:r>
              <w:rPr>
                <w:rFonts w:ascii="Times New Roman" w:hAnsi="Times New Roman" w:eastAsia="Times New Roman" w:cs="Times New Roman"/>
                <w:color w:val="0000FF"/>
                <w:spacing w:val="-4"/>
                <w:sz w:val="21"/>
                <w:szCs w:val="21"/>
              </w:rPr>
              <w:t>0.0003</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0.00015</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0.002</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0.075</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硫酸盐（</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12"/>
                <w:sz w:val="21"/>
                <w:szCs w:val="21"/>
              </w:rPr>
              <w:t>＜</w:t>
            </w:r>
            <w:r>
              <w:rPr>
                <w:rFonts w:ascii="Times New Roman" w:hAnsi="Times New Roman" w:eastAsia="Times New Roman" w:cs="Times New Roman"/>
                <w:color w:val="0000FF"/>
                <w:spacing w:val="-12"/>
                <w:sz w:val="21"/>
                <w:szCs w:val="21"/>
              </w:rPr>
              <w:t>8</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12"/>
                <w:sz w:val="21"/>
                <w:szCs w:val="21"/>
              </w:rPr>
              <w:t>＜</w:t>
            </w:r>
            <w:r>
              <w:rPr>
                <w:rFonts w:ascii="Times New Roman" w:hAnsi="Times New Roman" w:eastAsia="Times New Roman" w:cs="Times New Roman"/>
                <w:color w:val="0000FF"/>
                <w:spacing w:val="-12"/>
                <w:sz w:val="21"/>
                <w:szCs w:val="21"/>
              </w:rPr>
              <w:t>8</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12"/>
                <w:sz w:val="21"/>
                <w:szCs w:val="21"/>
              </w:rPr>
              <w:t>＜</w:t>
            </w:r>
            <w:r>
              <w:rPr>
                <w:rFonts w:ascii="Times New Roman" w:hAnsi="Times New Roman" w:eastAsia="Times New Roman" w:cs="Times New Roman"/>
                <w:color w:val="0000FF"/>
                <w:spacing w:val="-12"/>
                <w:sz w:val="21"/>
                <w:szCs w:val="21"/>
              </w:rPr>
              <w:t>8</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eastAsia"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4</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250</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0.016</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氯化物（</w:t>
            </w:r>
            <w:r>
              <w:rPr>
                <w:rFonts w:ascii="Times New Roman" w:hAnsi="Times New Roman" w:eastAsia="Times New Roman" w:cs="Times New Roman"/>
                <w:color w:val="0000FF"/>
                <w:spacing w:val="-2"/>
                <w:sz w:val="21"/>
                <w:szCs w:val="21"/>
              </w:rPr>
              <w:t>mg/L</w:t>
            </w:r>
            <w:r>
              <w:rPr>
                <w:rFonts w:ascii="宋体" w:hAnsi="宋体" w:eastAsia="宋体" w:cs="宋体"/>
                <w:color w:val="0000FF"/>
                <w:spacing w:val="-2"/>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8"/>
                <w:sz w:val="21"/>
                <w:szCs w:val="21"/>
              </w:rPr>
              <w:t>＜</w:t>
            </w:r>
            <w:r>
              <w:rPr>
                <w:rFonts w:ascii="Times New Roman" w:hAnsi="Times New Roman" w:eastAsia="Times New Roman" w:cs="Times New Roman"/>
                <w:color w:val="0000FF"/>
                <w:spacing w:val="-8"/>
                <w:sz w:val="21"/>
                <w:szCs w:val="21"/>
              </w:rPr>
              <w:t>10</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8"/>
                <w:sz w:val="21"/>
                <w:szCs w:val="21"/>
              </w:rPr>
              <w:t>＜</w:t>
            </w:r>
            <w:r>
              <w:rPr>
                <w:rFonts w:ascii="Times New Roman" w:hAnsi="Times New Roman" w:eastAsia="Times New Roman" w:cs="Times New Roman"/>
                <w:color w:val="0000FF"/>
                <w:spacing w:val="-8"/>
                <w:sz w:val="21"/>
                <w:szCs w:val="21"/>
              </w:rPr>
              <w:t>10</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8"/>
                <w:sz w:val="21"/>
                <w:szCs w:val="21"/>
              </w:rPr>
              <w:t>＜</w:t>
            </w:r>
            <w:r>
              <w:rPr>
                <w:rFonts w:ascii="Times New Roman" w:hAnsi="Times New Roman" w:eastAsia="Times New Roman" w:cs="Times New Roman"/>
                <w:color w:val="0000FF"/>
                <w:spacing w:val="-8"/>
                <w:sz w:val="21"/>
                <w:szCs w:val="21"/>
              </w:rPr>
              <w:t>10</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eastAsia"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5</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250</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0.02</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7"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亚硝酸盐（以</w:t>
            </w:r>
            <w:r>
              <w:rPr>
                <w:rFonts w:ascii="Times New Roman" w:hAnsi="Times New Roman" w:eastAsia="Times New Roman" w:cs="Times New Roman"/>
                <w:color w:val="0000FF"/>
                <w:spacing w:val="-1"/>
                <w:sz w:val="21"/>
                <w:szCs w:val="21"/>
              </w:rPr>
              <w:t>N</w:t>
            </w:r>
            <w:r>
              <w:rPr>
                <w:rFonts w:ascii="宋体" w:hAnsi="宋体" w:eastAsia="宋体" w:cs="宋体"/>
                <w:color w:val="0000FF"/>
                <w:spacing w:val="-1"/>
                <w:sz w:val="21"/>
                <w:szCs w:val="21"/>
              </w:rPr>
              <w:t>计）</w:t>
            </w:r>
          </w:p>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mg/L</w:t>
            </w:r>
            <w:r>
              <w:rPr>
                <w:rFonts w:ascii="宋体" w:hAnsi="宋体" w:eastAsia="宋体" w:cs="宋体"/>
                <w:color w:val="0000FF"/>
                <w:spacing w:val="-3"/>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4"/>
                <w:sz w:val="21"/>
                <w:szCs w:val="21"/>
              </w:rPr>
              <w:t>＜</w:t>
            </w:r>
            <w:r>
              <w:rPr>
                <w:rFonts w:ascii="Times New Roman" w:hAnsi="Times New Roman" w:eastAsia="Times New Roman" w:cs="Times New Roman"/>
                <w:color w:val="0000FF"/>
                <w:spacing w:val="-4"/>
                <w:sz w:val="21"/>
                <w:szCs w:val="21"/>
              </w:rPr>
              <w:t>0.003</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4"/>
                <w:sz w:val="21"/>
                <w:szCs w:val="21"/>
              </w:rPr>
              <w:t>＜</w:t>
            </w:r>
            <w:r>
              <w:rPr>
                <w:rFonts w:ascii="Times New Roman" w:hAnsi="Times New Roman" w:eastAsia="Times New Roman" w:cs="Times New Roman"/>
                <w:color w:val="0000FF"/>
                <w:spacing w:val="-4"/>
                <w:sz w:val="21"/>
                <w:szCs w:val="21"/>
              </w:rPr>
              <w:t>0.003</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4"/>
                <w:sz w:val="21"/>
                <w:szCs w:val="21"/>
              </w:rPr>
              <w:t>＜</w:t>
            </w:r>
            <w:r>
              <w:rPr>
                <w:rFonts w:ascii="Times New Roman" w:hAnsi="Times New Roman" w:eastAsia="Times New Roman" w:cs="Times New Roman"/>
                <w:color w:val="0000FF"/>
                <w:spacing w:val="-4"/>
                <w:sz w:val="21"/>
                <w:szCs w:val="21"/>
              </w:rPr>
              <w:t>0.003</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0.0015</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1.0</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0.0015</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7"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硝酸盐（以</w:t>
            </w:r>
            <w:r>
              <w:rPr>
                <w:rFonts w:ascii="Times New Roman" w:hAnsi="Times New Roman" w:eastAsia="Times New Roman" w:cs="Times New Roman"/>
                <w:color w:val="0000FF"/>
                <w:spacing w:val="-1"/>
                <w:sz w:val="21"/>
                <w:szCs w:val="21"/>
              </w:rPr>
              <w:t>N</w:t>
            </w:r>
            <w:r>
              <w:rPr>
                <w:rFonts w:ascii="宋体" w:hAnsi="宋体" w:eastAsia="宋体" w:cs="宋体"/>
                <w:color w:val="0000FF"/>
                <w:spacing w:val="-1"/>
                <w:sz w:val="21"/>
                <w:szCs w:val="21"/>
              </w:rPr>
              <w:t>计）</w:t>
            </w:r>
          </w:p>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mg/L</w:t>
            </w:r>
            <w:r>
              <w:rPr>
                <w:rFonts w:ascii="宋体" w:hAnsi="宋体" w:eastAsia="宋体" w:cs="宋体"/>
                <w:color w:val="0000FF"/>
                <w:spacing w:val="-3"/>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5"/>
                <w:sz w:val="21"/>
                <w:szCs w:val="21"/>
              </w:rPr>
              <w:t>＜</w:t>
            </w:r>
            <w:r>
              <w:rPr>
                <w:rFonts w:ascii="Times New Roman" w:hAnsi="Times New Roman" w:eastAsia="Times New Roman" w:cs="Times New Roman"/>
                <w:color w:val="0000FF"/>
                <w:spacing w:val="-5"/>
                <w:sz w:val="21"/>
                <w:szCs w:val="21"/>
              </w:rPr>
              <w:t>0.08</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5"/>
                <w:sz w:val="21"/>
                <w:szCs w:val="21"/>
              </w:rPr>
              <w:t>＜</w:t>
            </w:r>
            <w:r>
              <w:rPr>
                <w:rFonts w:ascii="Times New Roman" w:hAnsi="Times New Roman" w:eastAsia="Times New Roman" w:cs="Times New Roman"/>
                <w:color w:val="0000FF"/>
                <w:spacing w:val="-5"/>
                <w:sz w:val="21"/>
                <w:szCs w:val="21"/>
              </w:rPr>
              <w:t>0.08</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5"/>
                <w:sz w:val="21"/>
                <w:szCs w:val="21"/>
              </w:rPr>
              <w:t>＜</w:t>
            </w:r>
            <w:r>
              <w:rPr>
                <w:rFonts w:ascii="Times New Roman" w:hAnsi="Times New Roman" w:eastAsia="Times New Roman" w:cs="Times New Roman"/>
                <w:color w:val="0000FF"/>
                <w:spacing w:val="-5"/>
                <w:sz w:val="21"/>
                <w:szCs w:val="21"/>
              </w:rPr>
              <w:t>0.08</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0.04</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20.0</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0.002</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铁（</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0.021</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0.02</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0.019</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0.019~0.02</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0.3</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0.063~0.067</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锰（</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0.086</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0.086</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0.084</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0.084~0.086</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0.10</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0.84~0.86</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7"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氯化物（氯离子）</w:t>
            </w: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mg/L</w:t>
            </w:r>
            <w:r>
              <w:rPr>
                <w:rFonts w:ascii="宋体" w:hAnsi="宋体" w:eastAsia="宋体" w:cs="宋体"/>
                <w:color w:val="0000FF"/>
                <w:spacing w:val="-3"/>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279</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276</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279</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276~279</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5"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硫酸盐（硫酸根）</w:t>
            </w: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mg/L</w:t>
            </w:r>
            <w:r>
              <w:rPr>
                <w:rFonts w:ascii="宋体" w:hAnsi="宋体" w:eastAsia="宋体" w:cs="宋体"/>
                <w:color w:val="0000FF"/>
                <w:spacing w:val="-3"/>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49.7</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45.5</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47.6</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45.5~49.7</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钠（</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6"/>
                <w:sz w:val="21"/>
                <w:szCs w:val="21"/>
              </w:rPr>
              <w:t>114</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6"/>
                <w:sz w:val="21"/>
                <w:szCs w:val="21"/>
              </w:rPr>
              <w:t>118</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6"/>
                <w:sz w:val="21"/>
                <w:szCs w:val="21"/>
              </w:rPr>
              <w:t>118</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114~118</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钾（</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5"/>
                <w:sz w:val="21"/>
                <w:szCs w:val="21"/>
              </w:rPr>
              <w:t>14.4</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5"/>
                <w:sz w:val="21"/>
                <w:szCs w:val="21"/>
              </w:rPr>
              <w:t>14.5</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5"/>
                <w:sz w:val="21"/>
                <w:szCs w:val="21"/>
              </w:rPr>
              <w:t>14.7</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14.4~14.7</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钙（</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6"/>
                <w:sz w:val="21"/>
                <w:szCs w:val="21"/>
              </w:rPr>
              <w:t>142</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6"/>
                <w:sz w:val="21"/>
                <w:szCs w:val="21"/>
              </w:rPr>
              <w:t>142</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6"/>
                <w:sz w:val="21"/>
                <w:szCs w:val="21"/>
              </w:rPr>
              <w:t>141</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141~142</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镁（</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67.8</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68.2</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67.8</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67.8~68.2</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重碳酸根（</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488</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492</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486</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488~492</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碳酸根（</w:t>
            </w:r>
            <w:r>
              <w:rPr>
                <w:rFonts w:ascii="Times New Roman" w:hAnsi="Times New Roman" w:eastAsia="Times New Roman" w:cs="Times New Roman"/>
                <w:color w:val="0000FF"/>
                <w:spacing w:val="-1"/>
                <w:sz w:val="21"/>
                <w:szCs w:val="21"/>
              </w:rPr>
              <w:t>mg/L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12"/>
                <w:sz w:val="21"/>
                <w:szCs w:val="21"/>
              </w:rPr>
              <w:t>＜</w:t>
            </w:r>
            <w:r>
              <w:rPr>
                <w:rFonts w:ascii="Times New Roman" w:hAnsi="Times New Roman" w:eastAsia="Times New Roman" w:cs="Times New Roman"/>
                <w:color w:val="0000FF"/>
                <w:spacing w:val="-12"/>
                <w:sz w:val="21"/>
                <w:szCs w:val="21"/>
              </w:rPr>
              <w:t>5</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12"/>
                <w:sz w:val="21"/>
                <w:szCs w:val="21"/>
              </w:rPr>
              <w:t>＜</w:t>
            </w:r>
            <w:r>
              <w:rPr>
                <w:rFonts w:ascii="Times New Roman" w:hAnsi="Times New Roman" w:eastAsia="Times New Roman" w:cs="Times New Roman"/>
                <w:color w:val="0000FF"/>
                <w:spacing w:val="-12"/>
                <w:sz w:val="21"/>
                <w:szCs w:val="21"/>
              </w:rPr>
              <w:t>5</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宋体" w:hAnsi="宋体" w:eastAsia="宋体" w:cs="宋体"/>
                <w:color w:val="0000FF"/>
                <w:spacing w:val="-12"/>
                <w:sz w:val="21"/>
                <w:szCs w:val="21"/>
              </w:rPr>
              <w:t>＜</w:t>
            </w:r>
            <w:r>
              <w:rPr>
                <w:rFonts w:ascii="Times New Roman" w:hAnsi="Times New Roman" w:eastAsia="Times New Roman" w:cs="Times New Roman"/>
                <w:color w:val="0000FF"/>
                <w:spacing w:val="-12"/>
                <w:sz w:val="21"/>
                <w:szCs w:val="21"/>
              </w:rPr>
              <w:t>5</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2.5</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6"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总硬度（以碳酸钙计）</w:t>
            </w: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mg/L</w:t>
            </w:r>
            <w:r>
              <w:rPr>
                <w:rFonts w:ascii="宋体" w:hAnsi="宋体" w:eastAsia="宋体" w:cs="宋体"/>
                <w:color w:val="0000FF"/>
                <w:spacing w:val="-3"/>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71.9</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67.1</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73.7</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67.1~73.7</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450</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0.149~0.164</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总大肠菌群（</w:t>
            </w:r>
            <w:r>
              <w:rPr>
                <w:rFonts w:ascii="Times New Roman" w:hAnsi="Times New Roman" w:eastAsia="Times New Roman" w:cs="Times New Roman"/>
                <w:color w:val="0000FF"/>
                <w:spacing w:val="-1"/>
                <w:sz w:val="21"/>
                <w:szCs w:val="21"/>
              </w:rPr>
              <w:t>MPN/L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6700</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8700</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9100</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6700~9100</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300</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22.33~33.33</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101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1"/>
                <w:sz w:val="21"/>
                <w:szCs w:val="21"/>
              </w:rPr>
              <w:t>菌落总数（</w:t>
            </w:r>
            <w:r>
              <w:rPr>
                <w:rFonts w:ascii="Times New Roman" w:hAnsi="Times New Roman" w:eastAsia="Times New Roman" w:cs="Times New Roman"/>
                <w:color w:val="0000FF"/>
                <w:spacing w:val="-1"/>
                <w:sz w:val="21"/>
                <w:szCs w:val="21"/>
              </w:rPr>
              <w:t>MPN/mL</w:t>
            </w:r>
            <w:r>
              <w:rPr>
                <w:rFonts w:ascii="宋体" w:hAnsi="宋体" w:eastAsia="宋体" w:cs="宋体"/>
                <w:color w:val="0000FF"/>
                <w:spacing w:val="-1"/>
                <w:sz w:val="21"/>
                <w:szCs w:val="21"/>
              </w:rPr>
              <w:t>）</w:t>
            </w:r>
          </w:p>
        </w:tc>
        <w:tc>
          <w:tcPr>
            <w:tcW w:w="59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3"/>
                <w:sz w:val="21"/>
                <w:szCs w:val="21"/>
              </w:rPr>
              <w:t>80</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97</w:t>
            </w:r>
          </w:p>
        </w:tc>
        <w:tc>
          <w:tcPr>
            <w:tcW w:w="59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77</w:t>
            </w:r>
          </w:p>
        </w:tc>
        <w:tc>
          <w:tcPr>
            <w:tcW w:w="77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77~80</w:t>
            </w:r>
          </w:p>
        </w:tc>
        <w:tc>
          <w:tcPr>
            <w:tcW w:w="518"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100</w:t>
            </w:r>
          </w:p>
        </w:tc>
        <w:tc>
          <w:tcPr>
            <w:tcW w:w="565"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0.77~0.80</w:t>
            </w:r>
          </w:p>
        </w:tc>
        <w:tc>
          <w:tcPr>
            <w:tcW w:w="33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ascii="宋体" w:hAnsi="宋体" w:eastAsia="宋体" w:cs="宋体"/>
                <w:color w:val="0000FF"/>
                <w:sz w:val="21"/>
                <w:szCs w:val="21"/>
              </w:rPr>
            </w:pPr>
            <w:r>
              <w:rPr>
                <w:rFonts w:ascii="宋体" w:hAnsi="宋体" w:eastAsia="宋体" w:cs="宋体"/>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5" w:hRule="atLeast"/>
        </w:trPr>
        <w:tc>
          <w:tcPr>
            <w:tcW w:w="5000" w:type="pct"/>
            <w:gridSpan w:val="8"/>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宋体" w:hAnsi="宋体" w:eastAsia="宋体" w:cs="宋体"/>
                <w:color w:val="0000FF"/>
                <w:sz w:val="21"/>
                <w:szCs w:val="21"/>
                <w:lang w:val="en-US" w:eastAsia="zh-CN"/>
              </w:rPr>
            </w:pPr>
            <w:r>
              <w:rPr>
                <w:rFonts w:hint="eastAsia" w:ascii="Times New Roman" w:hAnsi="Times New Roman" w:eastAsia="宋体" w:cs="Times New Roman"/>
                <w:color w:val="0000FF"/>
                <w:spacing w:val="10"/>
                <w:sz w:val="21"/>
                <w:szCs w:val="21"/>
                <w:lang w:val="en-US" w:eastAsia="zh-CN"/>
              </w:rPr>
              <w:t>注：“</w:t>
            </w:r>
            <w:r>
              <w:rPr>
                <w:rFonts w:ascii="宋体" w:hAnsi="宋体" w:eastAsia="宋体" w:cs="宋体"/>
                <w:color w:val="0000FF"/>
                <w:spacing w:val="10"/>
                <w:sz w:val="21"/>
                <w:szCs w:val="21"/>
              </w:rPr>
              <w:t>&lt;</w:t>
            </w:r>
            <w:r>
              <w:rPr>
                <w:rFonts w:ascii="Times New Roman" w:hAnsi="Times New Roman" w:eastAsia="Times New Roman" w:cs="Times New Roman"/>
                <w:color w:val="0000FF"/>
                <w:spacing w:val="10"/>
                <w:sz w:val="21"/>
                <w:szCs w:val="21"/>
              </w:rPr>
              <w:t>ℽ</w:t>
            </w:r>
            <w:r>
              <w:rPr>
                <w:rFonts w:hint="eastAsia" w:ascii="Times New Roman" w:hAnsi="Times New Roman" w:eastAsia="宋体" w:cs="Times New Roman"/>
                <w:color w:val="0000FF"/>
                <w:spacing w:val="10"/>
                <w:sz w:val="21"/>
                <w:szCs w:val="21"/>
                <w:lang w:eastAsia="zh-CN"/>
              </w:rPr>
              <w:t>”</w:t>
            </w:r>
            <w:r>
              <w:rPr>
                <w:rFonts w:ascii="宋体" w:hAnsi="宋体" w:eastAsia="宋体" w:cs="宋体"/>
                <w:color w:val="0000FF"/>
                <w:spacing w:val="10"/>
                <w:sz w:val="21"/>
                <w:szCs w:val="21"/>
              </w:rPr>
              <w:t>为低于检出限</w:t>
            </w:r>
            <w:r>
              <w:rPr>
                <w:rFonts w:hint="eastAsia" w:ascii="宋体" w:hAnsi="宋体" w:eastAsia="宋体" w:cs="宋体"/>
                <w:color w:val="0000FF"/>
                <w:spacing w:val="10"/>
                <w:sz w:val="21"/>
                <w:szCs w:val="21"/>
                <w:lang w:eastAsia="zh-CN"/>
              </w:rPr>
              <w:t>，</w:t>
            </w:r>
            <w:r>
              <w:rPr>
                <w:rFonts w:hint="eastAsia" w:ascii="宋体" w:hAnsi="宋体" w:eastAsia="宋体" w:cs="宋体"/>
                <w:color w:val="0000FF"/>
                <w:spacing w:val="10"/>
                <w:sz w:val="21"/>
                <w:szCs w:val="21"/>
                <w:lang w:val="en-US" w:eastAsia="zh-CN"/>
              </w:rPr>
              <w:t>按检出限一半计。</w:t>
            </w:r>
          </w:p>
        </w:tc>
      </w:tr>
    </w:tbl>
    <w:p>
      <w:pPr>
        <w:spacing w:line="240" w:lineRule="auto"/>
        <w:ind w:firstLine="480"/>
        <w:jc w:val="center"/>
        <w:rPr>
          <w:rFonts w:hint="default" w:ascii="Times New Roman" w:hAnsi="Times New Roman" w:cs="Times New Roman"/>
          <w:b/>
          <w:bCs/>
          <w:color w:val="0000FF"/>
          <w:highlight w:val="none"/>
          <w:lang w:val="en-US" w:eastAsia="zh-CN"/>
        </w:rPr>
      </w:pPr>
      <w:r>
        <w:rPr>
          <w:rFonts w:hint="eastAsia" w:ascii="Times New Roman" w:hAnsi="Times New Roman" w:cs="Times New Roman"/>
          <w:b/>
          <w:bCs/>
          <w:color w:val="0000FF"/>
          <w:highlight w:val="none"/>
          <w:lang w:val="en-US" w:eastAsia="zh-CN"/>
        </w:rPr>
        <w:t>表4.2.5-4   2#阿拉益村水井引用地下水检测结果一览表</w:t>
      </w:r>
    </w:p>
    <w:tbl>
      <w:tblPr>
        <w:tblStyle w:val="5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74"/>
        <w:gridCol w:w="726"/>
        <w:gridCol w:w="997"/>
        <w:gridCol w:w="994"/>
        <w:gridCol w:w="1004"/>
        <w:gridCol w:w="1267"/>
        <w:gridCol w:w="822"/>
        <w:gridCol w:w="1070"/>
        <w:gridCol w:w="5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检测点位</w:t>
            </w:r>
          </w:p>
        </w:tc>
        <w:tc>
          <w:tcPr>
            <w:tcW w:w="1931" w:type="pct"/>
            <w:gridSpan w:val="3"/>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lang w:val="en-US" w:eastAsia="zh-CN"/>
              </w:rPr>
              <w:t>引用：</w:t>
            </w:r>
            <w:r>
              <w:rPr>
                <w:rFonts w:hint="default" w:ascii="Times New Roman" w:hAnsi="Times New Roman" w:eastAsia="Times New Roman" w:cs="Times New Roman"/>
                <w:color w:val="0000FF"/>
                <w:spacing w:val="-1"/>
                <w:sz w:val="21"/>
                <w:szCs w:val="21"/>
              </w:rPr>
              <w:t>2#</w:t>
            </w:r>
            <w:r>
              <w:rPr>
                <w:rFonts w:hint="default" w:ascii="Times New Roman" w:hAnsi="Times New Roman" w:eastAsia="宋体" w:cs="Times New Roman"/>
                <w:color w:val="0000FF"/>
                <w:spacing w:val="-1"/>
                <w:sz w:val="21"/>
                <w:szCs w:val="21"/>
              </w:rPr>
              <w:t>阿拉益村水井</w:t>
            </w:r>
          </w:p>
        </w:tc>
        <w:tc>
          <w:tcPr>
            <w:tcW w:w="761"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浓度范围</w:t>
            </w:r>
          </w:p>
        </w:tc>
        <w:tc>
          <w:tcPr>
            <w:tcW w:w="537"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Times New Roman" w:cs="Times New Roman"/>
                <w:color w:val="0000FF"/>
                <w:spacing w:val="-1"/>
                <w:sz w:val="21"/>
                <w:szCs w:val="21"/>
              </w:rPr>
              <w:t>Ⅲ</w:t>
            </w:r>
            <w:r>
              <w:rPr>
                <w:rFonts w:hint="default" w:ascii="Times New Roman" w:hAnsi="Times New Roman" w:eastAsia="宋体" w:cs="Times New Roman"/>
                <w:color w:val="0000FF"/>
                <w:spacing w:val="-1"/>
                <w:sz w:val="21"/>
                <w:szCs w:val="21"/>
              </w:rPr>
              <w:t>类标准</w:t>
            </w:r>
          </w:p>
        </w:tc>
        <w:tc>
          <w:tcPr>
            <w:tcW w:w="347"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标准指数范围</w:t>
            </w:r>
          </w:p>
        </w:tc>
        <w:tc>
          <w:tcPr>
            <w:tcW w:w="372"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position w:val="8"/>
                <w:sz w:val="21"/>
                <w:szCs w:val="21"/>
              </w:rPr>
              <w:t>达标</w:t>
            </w:r>
          </w:p>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采样日期</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position w:val="12"/>
                <w:sz w:val="21"/>
                <w:szCs w:val="21"/>
              </w:rPr>
              <w:t>2022.12.03</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position w:val="12"/>
                <w:sz w:val="21"/>
                <w:szCs w:val="21"/>
              </w:rPr>
              <w:t>2022.12.04</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position w:val="12"/>
                <w:sz w:val="21"/>
                <w:szCs w:val="21"/>
              </w:rPr>
              <w:t>2022.12.05</w:t>
            </w:r>
          </w:p>
        </w:tc>
        <w:tc>
          <w:tcPr>
            <w:tcW w:w="761"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rPr>
            </w:pPr>
          </w:p>
        </w:tc>
        <w:tc>
          <w:tcPr>
            <w:tcW w:w="537"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rPr>
            </w:pPr>
          </w:p>
        </w:tc>
        <w:tc>
          <w:tcPr>
            <w:tcW w:w="347"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rPr>
            </w:pPr>
          </w:p>
        </w:tc>
        <w:tc>
          <w:tcPr>
            <w:tcW w:w="372" w:type="pct"/>
            <w:vMerge w:val="continue"/>
            <w:vAlign w:val="center"/>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Times New Roman" w:cs="Times New Roman"/>
                <w:color w:val="0000FF"/>
                <w:sz w:val="21"/>
                <w:szCs w:val="21"/>
              </w:rPr>
              <w:t>pH</w:t>
            </w:r>
            <w:r>
              <w:rPr>
                <w:rFonts w:hint="default" w:ascii="Times New Roman" w:hAnsi="Times New Roman" w:eastAsia="宋体" w:cs="Times New Roman"/>
                <w:color w:val="0000FF"/>
                <w:sz w:val="21"/>
                <w:szCs w:val="21"/>
              </w:rPr>
              <w:t>（无量纲）</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7.45</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7.28</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6.88</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pacing w:val="-2"/>
                <w:sz w:val="21"/>
                <w:szCs w:val="21"/>
                <w:lang w:val="en-US" w:eastAsia="zh-CN"/>
              </w:rPr>
            </w:pPr>
            <w:r>
              <w:rPr>
                <w:rFonts w:hint="eastAsia" w:ascii="Times New Roman" w:hAnsi="Times New Roman" w:eastAsia="宋体" w:cs="Times New Roman"/>
                <w:color w:val="0000FF"/>
                <w:spacing w:val="-2"/>
                <w:sz w:val="21"/>
                <w:szCs w:val="21"/>
                <w:lang w:val="en-US" w:eastAsia="zh-CN"/>
              </w:rPr>
              <w:t>6.88~7.45</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2"/>
                <w:sz w:val="21"/>
                <w:szCs w:val="21"/>
              </w:rPr>
              <w:t>6.5-8.5</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0.24~0.3</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氨氮（</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0.099</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0.11</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0.091</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0.091~0.11</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0.5</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0.182~0.22</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溶解性总固体（</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6"/>
                <w:sz w:val="21"/>
                <w:szCs w:val="21"/>
              </w:rPr>
              <w:t>113</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6"/>
                <w:sz w:val="21"/>
                <w:szCs w:val="21"/>
              </w:rPr>
              <w:t>118</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6"/>
                <w:sz w:val="21"/>
                <w:szCs w:val="21"/>
              </w:rPr>
              <w:t>122</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113~122</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1000</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0.113~0.122</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高锰酸盐指数（</w:t>
            </w:r>
            <w:r>
              <w:rPr>
                <w:rFonts w:hint="default" w:ascii="Times New Roman" w:hAnsi="Times New Roman" w:eastAsia="Times New Roman" w:cs="Times New Roman"/>
                <w:color w:val="0000FF"/>
                <w:spacing w:val="-2"/>
                <w:sz w:val="21"/>
                <w:szCs w:val="21"/>
              </w:rPr>
              <w:t>mg/L</w:t>
            </w:r>
            <w:r>
              <w:rPr>
                <w:rFonts w:hint="default" w:ascii="Times New Roman" w:hAnsi="Times New Roman" w:eastAsia="宋体" w:cs="Times New Roman"/>
                <w:color w:val="0000FF"/>
                <w:spacing w:val="-2"/>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0.8</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z w:val="21"/>
                <w:szCs w:val="21"/>
              </w:rPr>
              <w:t>1</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0.8</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0.8~1</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3</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0.27~0.33</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3"/>
                <w:sz w:val="21"/>
                <w:szCs w:val="21"/>
              </w:rPr>
              <w:t>阴离子表面活性剂（</w:t>
            </w:r>
            <w:r>
              <w:rPr>
                <w:rFonts w:hint="default" w:ascii="Times New Roman" w:hAnsi="Times New Roman" w:eastAsia="Times New Roman" w:cs="Times New Roman"/>
                <w:color w:val="0000FF"/>
                <w:spacing w:val="-3"/>
                <w:sz w:val="21"/>
                <w:szCs w:val="21"/>
              </w:rPr>
              <w:t>mg/L</w:t>
            </w:r>
            <w:r>
              <w:rPr>
                <w:rFonts w:hint="default" w:ascii="Times New Roman" w:hAnsi="Times New Roman" w:eastAsia="宋体" w:cs="Times New Roman"/>
                <w:color w:val="0000FF"/>
                <w:spacing w:val="-3"/>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5"/>
                <w:sz w:val="21"/>
                <w:szCs w:val="21"/>
              </w:rPr>
              <w:t>＜</w:t>
            </w:r>
            <w:r>
              <w:rPr>
                <w:rFonts w:hint="default" w:ascii="Times New Roman" w:hAnsi="Times New Roman" w:eastAsia="Times New Roman" w:cs="Times New Roman"/>
                <w:color w:val="0000FF"/>
                <w:spacing w:val="-5"/>
                <w:sz w:val="21"/>
                <w:szCs w:val="21"/>
              </w:rPr>
              <w:t>0.05</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5"/>
                <w:sz w:val="21"/>
                <w:szCs w:val="21"/>
              </w:rPr>
              <w:t>＜</w:t>
            </w:r>
            <w:r>
              <w:rPr>
                <w:rFonts w:hint="default" w:ascii="Times New Roman" w:hAnsi="Times New Roman" w:eastAsia="Times New Roman" w:cs="Times New Roman"/>
                <w:color w:val="0000FF"/>
                <w:spacing w:val="-5"/>
                <w:sz w:val="21"/>
                <w:szCs w:val="21"/>
              </w:rPr>
              <w:t>0.05</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5"/>
                <w:sz w:val="21"/>
                <w:szCs w:val="21"/>
              </w:rPr>
              <w:t>＜</w:t>
            </w:r>
            <w:r>
              <w:rPr>
                <w:rFonts w:hint="default" w:ascii="Times New Roman" w:hAnsi="Times New Roman" w:eastAsia="Times New Roman" w:cs="Times New Roman"/>
                <w:color w:val="0000FF"/>
                <w:spacing w:val="-5"/>
                <w:sz w:val="21"/>
                <w:szCs w:val="21"/>
              </w:rPr>
              <w:t>0.05</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ascii="Times New Roman" w:hAnsi="Times New Roman" w:eastAsia="Times New Roman" w:cs="Times New Roman"/>
                <w:color w:val="0000FF"/>
                <w:spacing w:val="-1"/>
                <w:sz w:val="21"/>
                <w:szCs w:val="21"/>
              </w:rPr>
            </w:pPr>
            <w:r>
              <w:rPr>
                <w:rFonts w:hint="eastAsia" w:ascii="Times New Roman" w:hAnsi="Times New Roman" w:eastAsia="宋体" w:cs="Times New Roman"/>
                <w:color w:val="0000FF"/>
                <w:spacing w:val="-1"/>
                <w:sz w:val="21"/>
                <w:szCs w:val="21"/>
                <w:lang w:val="en-US" w:eastAsia="zh-CN"/>
              </w:rPr>
              <w:t>0.025</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0.3</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0.0083</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氟化物（</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0.334</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0.326</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0.337</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0.326~0.337</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1.0</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eastAsia" w:ascii="Times New Roman" w:hAnsi="Times New Roman" w:eastAsia="宋体" w:cs="Times New Roman"/>
                <w:color w:val="0000FF"/>
                <w:spacing w:val="-1"/>
                <w:sz w:val="21"/>
                <w:szCs w:val="21"/>
                <w:lang w:val="en-US" w:eastAsia="zh-CN"/>
              </w:rPr>
              <w:t>0.326~0.337</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砷（</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0.0027</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0.0026</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0.0028</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0.0026~0.0028</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0.26~0.28</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汞（</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4.0×10</w:t>
            </w:r>
            <w:r>
              <w:rPr>
                <w:rFonts w:ascii="Times New Roman" w:hAnsi="Times New Roman" w:eastAsia="Times New Roman" w:cs="Times New Roman"/>
                <w:color w:val="0000FF"/>
                <w:spacing w:val="-3"/>
                <w:sz w:val="21"/>
                <w:szCs w:val="21"/>
                <w:vertAlign w:val="superscript"/>
              </w:rPr>
              <w:t>-5</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4.0×10</w:t>
            </w:r>
            <w:r>
              <w:rPr>
                <w:rFonts w:ascii="Times New Roman" w:hAnsi="Times New Roman" w:eastAsia="Times New Roman" w:cs="Times New Roman"/>
                <w:color w:val="0000FF"/>
                <w:spacing w:val="-3"/>
                <w:sz w:val="21"/>
                <w:szCs w:val="21"/>
                <w:vertAlign w:val="superscript"/>
              </w:rPr>
              <w:t>-5</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4.0×10</w:t>
            </w:r>
            <w:r>
              <w:rPr>
                <w:rFonts w:ascii="Times New Roman" w:hAnsi="Times New Roman" w:eastAsia="Times New Roman" w:cs="Times New Roman"/>
                <w:color w:val="0000FF"/>
                <w:spacing w:val="-3"/>
                <w:sz w:val="21"/>
                <w:szCs w:val="21"/>
                <w:vertAlign w:val="superscript"/>
              </w:rPr>
              <w:t>-5</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0.00002</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0.001</w:t>
            </w:r>
          </w:p>
        </w:tc>
        <w:tc>
          <w:tcPr>
            <w:tcW w:w="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0.02</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镉（</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1.0×10</w:t>
            </w:r>
            <w:r>
              <w:rPr>
                <w:rFonts w:ascii="Times New Roman" w:hAnsi="Times New Roman" w:eastAsia="Times New Roman" w:cs="Times New Roman"/>
                <w:color w:val="0000FF"/>
                <w:spacing w:val="-3"/>
                <w:sz w:val="21"/>
                <w:szCs w:val="21"/>
                <w:vertAlign w:val="superscript"/>
              </w:rPr>
              <w:t>-4</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1.0×10</w:t>
            </w:r>
            <w:r>
              <w:rPr>
                <w:rFonts w:ascii="Times New Roman" w:hAnsi="Times New Roman" w:eastAsia="Times New Roman" w:cs="Times New Roman"/>
                <w:color w:val="0000FF"/>
                <w:spacing w:val="-3"/>
                <w:sz w:val="21"/>
                <w:szCs w:val="21"/>
                <w:vertAlign w:val="superscript"/>
              </w:rPr>
              <w:t>-4</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宋体" w:hAnsi="宋体" w:eastAsia="宋体" w:cs="宋体"/>
                <w:color w:val="0000FF"/>
                <w:spacing w:val="-3"/>
                <w:sz w:val="21"/>
                <w:szCs w:val="21"/>
              </w:rPr>
              <w:t>＜</w:t>
            </w:r>
            <w:r>
              <w:rPr>
                <w:rFonts w:ascii="Times New Roman" w:hAnsi="Times New Roman" w:eastAsia="Times New Roman" w:cs="Times New Roman"/>
                <w:color w:val="0000FF"/>
                <w:spacing w:val="-3"/>
                <w:sz w:val="21"/>
                <w:szCs w:val="21"/>
              </w:rPr>
              <w:t>1.0×10</w:t>
            </w:r>
            <w:r>
              <w:rPr>
                <w:rFonts w:ascii="Times New Roman" w:hAnsi="Times New Roman" w:eastAsia="Times New Roman" w:cs="Times New Roman"/>
                <w:color w:val="0000FF"/>
                <w:spacing w:val="-3"/>
                <w:sz w:val="21"/>
                <w:szCs w:val="21"/>
                <w:vertAlign w:val="superscript"/>
              </w:rPr>
              <w:t>-4</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5</w:t>
            </w:r>
            <w:r>
              <w:rPr>
                <w:rFonts w:ascii="Times New Roman" w:hAnsi="Times New Roman" w:eastAsia="Times New Roman" w:cs="Times New Roman"/>
                <w:color w:val="0000FF"/>
                <w:spacing w:val="-3"/>
                <w:sz w:val="21"/>
                <w:szCs w:val="21"/>
              </w:rPr>
              <w:t>×10</w:t>
            </w:r>
            <w:r>
              <w:rPr>
                <w:rFonts w:ascii="Times New Roman" w:hAnsi="Times New Roman" w:eastAsia="Times New Roman" w:cs="Times New Roman"/>
                <w:color w:val="0000FF"/>
                <w:spacing w:val="-3"/>
                <w:sz w:val="21"/>
                <w:szCs w:val="21"/>
                <w:vertAlign w:val="superscript"/>
              </w:rPr>
              <w:t>-</w:t>
            </w:r>
            <w:r>
              <w:rPr>
                <w:rFonts w:hint="eastAsia" w:ascii="Times New Roman" w:hAnsi="Times New Roman" w:eastAsia="宋体" w:cs="Times New Roman"/>
                <w:color w:val="0000FF"/>
                <w:spacing w:val="-3"/>
                <w:sz w:val="21"/>
                <w:szCs w:val="21"/>
                <w:vertAlign w:val="superscript"/>
                <w:lang w:val="en-US" w:eastAsia="zh-CN"/>
              </w:rPr>
              <w:t>5</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0.005</w:t>
            </w:r>
          </w:p>
        </w:tc>
        <w:tc>
          <w:tcPr>
            <w:tcW w:w="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0.01</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六价铬（</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0.004</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0.004</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0.004</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ascii="Times New Roman" w:hAnsi="Times New Roman" w:eastAsia="Times New Roman" w:cs="Times New Roman"/>
                <w:color w:val="0000FF"/>
                <w:spacing w:val="-1"/>
                <w:sz w:val="21"/>
                <w:szCs w:val="21"/>
              </w:rPr>
            </w:pPr>
            <w:r>
              <w:rPr>
                <w:rFonts w:hint="eastAsia" w:ascii="Times New Roman" w:hAnsi="Times New Roman" w:eastAsia="宋体" w:cs="Times New Roman"/>
                <w:color w:val="0000FF"/>
                <w:spacing w:val="-1"/>
                <w:sz w:val="21"/>
                <w:szCs w:val="21"/>
                <w:lang w:val="en-US" w:eastAsia="zh-CN"/>
              </w:rPr>
              <w:t>0.002</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0.05</w:t>
            </w:r>
          </w:p>
        </w:tc>
        <w:tc>
          <w:tcPr>
            <w:tcW w:w="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0.04</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铅（</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0.001</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0.001</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0.001</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ascii="Times New Roman" w:hAnsi="Times New Roman" w:eastAsia="Times New Roman" w:cs="Times New Roman"/>
                <w:color w:val="0000FF"/>
                <w:spacing w:val="-1"/>
                <w:sz w:val="21"/>
                <w:szCs w:val="21"/>
              </w:rPr>
            </w:pPr>
            <w:r>
              <w:rPr>
                <w:rFonts w:hint="eastAsia" w:ascii="Times New Roman" w:hAnsi="Times New Roman" w:eastAsia="宋体" w:cs="Times New Roman"/>
                <w:color w:val="0000FF"/>
                <w:spacing w:val="-1"/>
                <w:sz w:val="21"/>
                <w:szCs w:val="21"/>
                <w:lang w:val="en-US" w:eastAsia="zh-CN"/>
              </w:rPr>
              <w:t>0.0005</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0.01</w:t>
            </w:r>
          </w:p>
        </w:tc>
        <w:tc>
          <w:tcPr>
            <w:tcW w:w="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0.05</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氰化物（</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0.004</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0.004</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0.004</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ascii="Times New Roman" w:hAnsi="Times New Roman" w:eastAsia="Times New Roman" w:cs="Times New Roman"/>
                <w:color w:val="0000FF"/>
                <w:spacing w:val="-1"/>
                <w:sz w:val="21"/>
                <w:szCs w:val="21"/>
              </w:rPr>
            </w:pPr>
            <w:r>
              <w:rPr>
                <w:rFonts w:hint="eastAsia" w:ascii="Times New Roman" w:hAnsi="Times New Roman" w:eastAsia="宋体" w:cs="Times New Roman"/>
                <w:color w:val="0000FF"/>
                <w:spacing w:val="-1"/>
                <w:sz w:val="21"/>
                <w:szCs w:val="21"/>
                <w:lang w:val="en-US" w:eastAsia="zh-CN"/>
              </w:rPr>
              <w:t>0.002</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0.05</w:t>
            </w:r>
          </w:p>
        </w:tc>
        <w:tc>
          <w:tcPr>
            <w:tcW w:w="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0.04</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挥发酚（</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3"/>
                <w:sz w:val="21"/>
                <w:szCs w:val="21"/>
              </w:rPr>
              <w:t>＜</w:t>
            </w:r>
            <w:r>
              <w:rPr>
                <w:rFonts w:hint="default" w:ascii="Times New Roman" w:hAnsi="Times New Roman" w:eastAsia="Times New Roman" w:cs="Times New Roman"/>
                <w:color w:val="0000FF"/>
                <w:spacing w:val="-3"/>
                <w:sz w:val="21"/>
                <w:szCs w:val="21"/>
              </w:rPr>
              <w:t>0.0003</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0.0003</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0.0003</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0.00015</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0.002</w:t>
            </w:r>
          </w:p>
        </w:tc>
        <w:tc>
          <w:tcPr>
            <w:tcW w:w="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0.075</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硫酸盐（</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12"/>
                <w:sz w:val="21"/>
                <w:szCs w:val="21"/>
              </w:rPr>
              <w:t>＜</w:t>
            </w:r>
            <w:r>
              <w:rPr>
                <w:rFonts w:hint="default" w:ascii="Times New Roman" w:hAnsi="Times New Roman" w:eastAsia="Times New Roman" w:cs="Times New Roman"/>
                <w:color w:val="0000FF"/>
                <w:spacing w:val="-12"/>
                <w:sz w:val="21"/>
                <w:szCs w:val="21"/>
              </w:rPr>
              <w:t>8</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12"/>
                <w:sz w:val="21"/>
                <w:szCs w:val="21"/>
              </w:rPr>
              <w:t>＜</w:t>
            </w:r>
            <w:r>
              <w:rPr>
                <w:rFonts w:hint="default" w:ascii="Times New Roman" w:hAnsi="Times New Roman" w:eastAsia="Times New Roman" w:cs="Times New Roman"/>
                <w:color w:val="0000FF"/>
                <w:spacing w:val="-12"/>
                <w:sz w:val="21"/>
                <w:szCs w:val="21"/>
              </w:rPr>
              <w:t>8</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12"/>
                <w:sz w:val="21"/>
                <w:szCs w:val="21"/>
              </w:rPr>
              <w:t>＜</w:t>
            </w:r>
            <w:r>
              <w:rPr>
                <w:rFonts w:hint="default" w:ascii="Times New Roman" w:hAnsi="Times New Roman" w:eastAsia="Times New Roman" w:cs="Times New Roman"/>
                <w:color w:val="0000FF"/>
                <w:spacing w:val="-12"/>
                <w:sz w:val="21"/>
                <w:szCs w:val="21"/>
              </w:rPr>
              <w:t>8</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ascii="Times New Roman" w:hAnsi="Times New Roman" w:eastAsia="Times New Roman" w:cs="Times New Roman"/>
                <w:color w:val="0000FF"/>
                <w:spacing w:val="-1"/>
                <w:sz w:val="21"/>
                <w:szCs w:val="21"/>
              </w:rPr>
            </w:pPr>
            <w:r>
              <w:rPr>
                <w:rFonts w:hint="eastAsia" w:ascii="Times New Roman" w:hAnsi="Times New Roman" w:eastAsia="宋体" w:cs="Times New Roman"/>
                <w:color w:val="0000FF"/>
                <w:spacing w:val="-1"/>
                <w:sz w:val="21"/>
                <w:szCs w:val="21"/>
                <w:lang w:val="en-US" w:eastAsia="zh-CN"/>
              </w:rPr>
              <w:t>4</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250</w:t>
            </w:r>
          </w:p>
        </w:tc>
        <w:tc>
          <w:tcPr>
            <w:tcW w:w="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0.016</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氯化物（</w:t>
            </w:r>
            <w:r>
              <w:rPr>
                <w:rFonts w:hint="default" w:ascii="Times New Roman" w:hAnsi="Times New Roman" w:eastAsia="Times New Roman" w:cs="Times New Roman"/>
                <w:color w:val="0000FF"/>
                <w:spacing w:val="-2"/>
                <w:sz w:val="21"/>
                <w:szCs w:val="21"/>
              </w:rPr>
              <w:t>mg/L</w:t>
            </w:r>
            <w:r>
              <w:rPr>
                <w:rFonts w:hint="default" w:ascii="Times New Roman" w:hAnsi="Times New Roman" w:eastAsia="宋体" w:cs="Times New Roman"/>
                <w:color w:val="0000FF"/>
                <w:spacing w:val="-2"/>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8"/>
                <w:sz w:val="21"/>
                <w:szCs w:val="21"/>
              </w:rPr>
              <w:t>＜</w:t>
            </w:r>
            <w:r>
              <w:rPr>
                <w:rFonts w:hint="default" w:ascii="Times New Roman" w:hAnsi="Times New Roman" w:eastAsia="Times New Roman" w:cs="Times New Roman"/>
                <w:color w:val="0000FF"/>
                <w:spacing w:val="-8"/>
                <w:sz w:val="21"/>
                <w:szCs w:val="21"/>
              </w:rPr>
              <w:t>10</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8"/>
                <w:sz w:val="21"/>
                <w:szCs w:val="21"/>
              </w:rPr>
              <w:t>＜</w:t>
            </w:r>
            <w:r>
              <w:rPr>
                <w:rFonts w:hint="default" w:ascii="Times New Roman" w:hAnsi="Times New Roman" w:eastAsia="Times New Roman" w:cs="Times New Roman"/>
                <w:color w:val="0000FF"/>
                <w:spacing w:val="-8"/>
                <w:sz w:val="21"/>
                <w:szCs w:val="21"/>
              </w:rPr>
              <w:t>10</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8"/>
                <w:sz w:val="21"/>
                <w:szCs w:val="21"/>
              </w:rPr>
              <w:t>＜</w:t>
            </w:r>
            <w:r>
              <w:rPr>
                <w:rFonts w:hint="default" w:ascii="Times New Roman" w:hAnsi="Times New Roman" w:eastAsia="Times New Roman" w:cs="Times New Roman"/>
                <w:color w:val="0000FF"/>
                <w:spacing w:val="-8"/>
                <w:sz w:val="21"/>
                <w:szCs w:val="21"/>
              </w:rPr>
              <w:t>10</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ascii="Times New Roman" w:hAnsi="Times New Roman" w:eastAsia="Times New Roman" w:cs="Times New Roman"/>
                <w:color w:val="0000FF"/>
                <w:spacing w:val="-1"/>
                <w:sz w:val="21"/>
                <w:szCs w:val="21"/>
              </w:rPr>
            </w:pPr>
            <w:r>
              <w:rPr>
                <w:rFonts w:hint="eastAsia" w:ascii="Times New Roman" w:hAnsi="Times New Roman" w:eastAsia="宋体" w:cs="Times New Roman"/>
                <w:color w:val="0000FF"/>
                <w:spacing w:val="-1"/>
                <w:sz w:val="21"/>
                <w:szCs w:val="21"/>
                <w:lang w:val="en-US" w:eastAsia="zh-CN"/>
              </w:rPr>
              <w:t>5</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250</w:t>
            </w:r>
          </w:p>
        </w:tc>
        <w:tc>
          <w:tcPr>
            <w:tcW w:w="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0.02</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亚硝酸盐（以</w:t>
            </w:r>
            <w:r>
              <w:rPr>
                <w:rFonts w:hint="default" w:ascii="Times New Roman" w:hAnsi="Times New Roman" w:eastAsia="Times New Roman" w:cs="Times New Roman"/>
                <w:color w:val="0000FF"/>
                <w:spacing w:val="-1"/>
                <w:sz w:val="21"/>
                <w:szCs w:val="21"/>
              </w:rPr>
              <w:t>N</w:t>
            </w:r>
            <w:r>
              <w:rPr>
                <w:rFonts w:hint="default" w:ascii="Times New Roman" w:hAnsi="Times New Roman" w:eastAsia="宋体" w:cs="Times New Roman"/>
                <w:color w:val="0000FF"/>
                <w:spacing w:val="-1"/>
                <w:sz w:val="21"/>
                <w:szCs w:val="21"/>
              </w:rPr>
              <w:t>计）</w:t>
            </w:r>
            <w:r>
              <w:rPr>
                <w:rFonts w:hint="default" w:ascii="Times New Roman" w:hAnsi="Times New Roman" w:eastAsia="宋体" w:cs="Times New Roman"/>
                <w:color w:val="0000FF"/>
                <w:spacing w:val="-3"/>
                <w:sz w:val="21"/>
                <w:szCs w:val="21"/>
              </w:rPr>
              <w:t>（</w:t>
            </w:r>
            <w:r>
              <w:rPr>
                <w:rFonts w:hint="default" w:ascii="Times New Roman" w:hAnsi="Times New Roman" w:eastAsia="Times New Roman" w:cs="Times New Roman"/>
                <w:color w:val="0000FF"/>
                <w:spacing w:val="-3"/>
                <w:sz w:val="21"/>
                <w:szCs w:val="21"/>
              </w:rPr>
              <w:t>mg/L</w:t>
            </w:r>
            <w:r>
              <w:rPr>
                <w:rFonts w:hint="default" w:ascii="Times New Roman" w:hAnsi="Times New Roman" w:eastAsia="宋体" w:cs="Times New Roman"/>
                <w:color w:val="0000FF"/>
                <w:spacing w:val="-3"/>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0.003</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0.003</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0.003</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ascii="Times New Roman" w:hAnsi="Times New Roman" w:eastAsia="Times New Roman" w:cs="Times New Roman"/>
                <w:color w:val="0000FF"/>
                <w:spacing w:val="-1"/>
                <w:sz w:val="21"/>
                <w:szCs w:val="21"/>
              </w:rPr>
            </w:pPr>
            <w:r>
              <w:rPr>
                <w:rFonts w:hint="eastAsia" w:ascii="Times New Roman" w:hAnsi="Times New Roman" w:eastAsia="宋体" w:cs="Times New Roman"/>
                <w:color w:val="0000FF"/>
                <w:spacing w:val="-1"/>
                <w:sz w:val="21"/>
                <w:szCs w:val="21"/>
                <w:lang w:val="en-US" w:eastAsia="zh-CN"/>
              </w:rPr>
              <w:t>0.0015</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1.0</w:t>
            </w:r>
          </w:p>
        </w:tc>
        <w:tc>
          <w:tcPr>
            <w:tcW w:w="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0.0015</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硝酸盐（以</w:t>
            </w:r>
            <w:r>
              <w:rPr>
                <w:rFonts w:hint="default" w:ascii="Times New Roman" w:hAnsi="Times New Roman" w:eastAsia="Times New Roman" w:cs="Times New Roman"/>
                <w:color w:val="0000FF"/>
                <w:spacing w:val="-1"/>
                <w:sz w:val="21"/>
                <w:szCs w:val="21"/>
              </w:rPr>
              <w:t>N</w:t>
            </w:r>
            <w:r>
              <w:rPr>
                <w:rFonts w:hint="default" w:ascii="Times New Roman" w:hAnsi="Times New Roman" w:eastAsia="宋体" w:cs="Times New Roman"/>
                <w:color w:val="0000FF"/>
                <w:spacing w:val="-1"/>
                <w:sz w:val="21"/>
                <w:szCs w:val="21"/>
              </w:rPr>
              <w:t>计）</w:t>
            </w:r>
            <w:r>
              <w:rPr>
                <w:rFonts w:hint="default" w:ascii="Times New Roman" w:hAnsi="Times New Roman" w:eastAsia="宋体" w:cs="Times New Roman"/>
                <w:color w:val="0000FF"/>
                <w:spacing w:val="-3"/>
                <w:sz w:val="21"/>
                <w:szCs w:val="21"/>
              </w:rPr>
              <w:t>（</w:t>
            </w:r>
            <w:r>
              <w:rPr>
                <w:rFonts w:hint="default" w:ascii="Times New Roman" w:hAnsi="Times New Roman" w:eastAsia="Times New Roman" w:cs="Times New Roman"/>
                <w:color w:val="0000FF"/>
                <w:spacing w:val="-3"/>
                <w:sz w:val="21"/>
                <w:szCs w:val="21"/>
              </w:rPr>
              <w:t>mg/L</w:t>
            </w:r>
            <w:r>
              <w:rPr>
                <w:rFonts w:hint="default" w:ascii="Times New Roman" w:hAnsi="Times New Roman" w:eastAsia="宋体" w:cs="Times New Roman"/>
                <w:color w:val="0000FF"/>
                <w:spacing w:val="-3"/>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5"/>
                <w:sz w:val="21"/>
                <w:szCs w:val="21"/>
              </w:rPr>
              <w:t>＜</w:t>
            </w:r>
            <w:r>
              <w:rPr>
                <w:rFonts w:hint="default" w:ascii="Times New Roman" w:hAnsi="Times New Roman" w:eastAsia="Times New Roman" w:cs="Times New Roman"/>
                <w:color w:val="0000FF"/>
                <w:spacing w:val="-5"/>
                <w:sz w:val="21"/>
                <w:szCs w:val="21"/>
              </w:rPr>
              <w:t>0.08</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5"/>
                <w:sz w:val="21"/>
                <w:szCs w:val="21"/>
              </w:rPr>
              <w:t>＜</w:t>
            </w:r>
            <w:r>
              <w:rPr>
                <w:rFonts w:hint="default" w:ascii="Times New Roman" w:hAnsi="Times New Roman" w:eastAsia="Times New Roman" w:cs="Times New Roman"/>
                <w:color w:val="0000FF"/>
                <w:spacing w:val="-5"/>
                <w:sz w:val="21"/>
                <w:szCs w:val="21"/>
              </w:rPr>
              <w:t>0.08</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5"/>
                <w:sz w:val="21"/>
                <w:szCs w:val="21"/>
              </w:rPr>
              <w:t>＜</w:t>
            </w:r>
            <w:r>
              <w:rPr>
                <w:rFonts w:hint="default" w:ascii="Times New Roman" w:hAnsi="Times New Roman" w:eastAsia="Times New Roman" w:cs="Times New Roman"/>
                <w:color w:val="0000FF"/>
                <w:spacing w:val="-5"/>
                <w:sz w:val="21"/>
                <w:szCs w:val="21"/>
              </w:rPr>
              <w:t>0.08</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ascii="Times New Roman" w:hAnsi="Times New Roman" w:eastAsia="Times New Roman" w:cs="Times New Roman"/>
                <w:color w:val="0000FF"/>
                <w:spacing w:val="-1"/>
                <w:sz w:val="21"/>
                <w:szCs w:val="21"/>
              </w:rPr>
            </w:pPr>
            <w:r>
              <w:rPr>
                <w:rFonts w:hint="eastAsia" w:ascii="Times New Roman" w:hAnsi="Times New Roman" w:eastAsia="宋体" w:cs="Times New Roman"/>
                <w:color w:val="0000FF"/>
                <w:spacing w:val="-1"/>
                <w:sz w:val="21"/>
                <w:szCs w:val="21"/>
                <w:lang w:val="en-US" w:eastAsia="zh-CN"/>
              </w:rPr>
              <w:t>0.04</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20.0</w:t>
            </w:r>
          </w:p>
        </w:tc>
        <w:tc>
          <w:tcPr>
            <w:tcW w:w="57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hint="eastAsia" w:ascii="Times New Roman" w:hAnsi="Times New Roman" w:eastAsia="宋体" w:cs="Times New Roman"/>
                <w:color w:val="0000FF"/>
                <w:sz w:val="21"/>
                <w:szCs w:val="21"/>
                <w:lang w:val="en-US" w:eastAsia="zh-CN"/>
              </w:rPr>
              <w:t>0.002</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8"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铁（</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5"/>
                <w:sz w:val="21"/>
                <w:szCs w:val="21"/>
              </w:rPr>
              <w:t>＜</w:t>
            </w:r>
            <w:r>
              <w:rPr>
                <w:rFonts w:hint="default" w:ascii="Times New Roman" w:hAnsi="Times New Roman" w:eastAsia="Times New Roman" w:cs="Times New Roman"/>
                <w:color w:val="0000FF"/>
                <w:spacing w:val="-5"/>
                <w:sz w:val="21"/>
                <w:szCs w:val="21"/>
              </w:rPr>
              <w:t>0.01</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5"/>
                <w:sz w:val="21"/>
                <w:szCs w:val="21"/>
              </w:rPr>
              <w:t>＜</w:t>
            </w:r>
            <w:r>
              <w:rPr>
                <w:rFonts w:hint="default" w:ascii="Times New Roman" w:hAnsi="Times New Roman" w:eastAsia="Times New Roman" w:cs="Times New Roman"/>
                <w:color w:val="0000FF"/>
                <w:spacing w:val="-5"/>
                <w:sz w:val="21"/>
                <w:szCs w:val="21"/>
              </w:rPr>
              <w:t>0.01</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5"/>
                <w:sz w:val="21"/>
                <w:szCs w:val="21"/>
              </w:rPr>
              <w:t>＜</w:t>
            </w:r>
            <w:r>
              <w:rPr>
                <w:rFonts w:hint="default" w:ascii="Times New Roman" w:hAnsi="Times New Roman" w:eastAsia="Times New Roman" w:cs="Times New Roman"/>
                <w:color w:val="0000FF"/>
                <w:spacing w:val="-5"/>
                <w:sz w:val="21"/>
                <w:szCs w:val="21"/>
              </w:rPr>
              <w:t>0.01</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0.005</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0.3</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0.017</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锰（</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0.004</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0.004</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4"/>
                <w:sz w:val="21"/>
                <w:szCs w:val="21"/>
              </w:rPr>
              <w:t>＜</w:t>
            </w:r>
            <w:r>
              <w:rPr>
                <w:rFonts w:hint="default" w:ascii="Times New Roman" w:hAnsi="Times New Roman" w:eastAsia="Times New Roman" w:cs="Times New Roman"/>
                <w:color w:val="0000FF"/>
                <w:spacing w:val="-4"/>
                <w:sz w:val="21"/>
                <w:szCs w:val="21"/>
              </w:rPr>
              <w:t>0.004</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0.002</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0.10</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0.2</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氯化物（氯离子）</w:t>
            </w:r>
            <w:r>
              <w:rPr>
                <w:rFonts w:hint="default" w:ascii="Times New Roman" w:hAnsi="Times New Roman" w:eastAsia="宋体" w:cs="Times New Roman"/>
                <w:color w:val="0000FF"/>
                <w:spacing w:val="-3"/>
                <w:sz w:val="21"/>
                <w:szCs w:val="21"/>
              </w:rPr>
              <w:t>（</w:t>
            </w:r>
            <w:r>
              <w:rPr>
                <w:rFonts w:hint="default" w:ascii="Times New Roman" w:hAnsi="Times New Roman" w:eastAsia="Times New Roman" w:cs="Times New Roman"/>
                <w:color w:val="0000FF"/>
                <w:spacing w:val="-3"/>
                <w:sz w:val="21"/>
                <w:szCs w:val="21"/>
              </w:rPr>
              <w:t>mg/L</w:t>
            </w:r>
            <w:r>
              <w:rPr>
                <w:rFonts w:hint="default" w:ascii="Times New Roman" w:hAnsi="Times New Roman" w:eastAsia="宋体" w:cs="Times New Roman"/>
                <w:color w:val="0000FF"/>
                <w:spacing w:val="-3"/>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5.21</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5.2</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5.22</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5.21~5.22</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硫酸盐（硫酸根）</w:t>
            </w:r>
          </w:p>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3"/>
                <w:sz w:val="21"/>
                <w:szCs w:val="21"/>
              </w:rPr>
              <w:t>（</w:t>
            </w:r>
            <w:r>
              <w:rPr>
                <w:rFonts w:hint="default" w:ascii="Times New Roman" w:hAnsi="Times New Roman" w:eastAsia="Times New Roman" w:cs="Times New Roman"/>
                <w:color w:val="0000FF"/>
                <w:spacing w:val="-3"/>
                <w:sz w:val="21"/>
                <w:szCs w:val="21"/>
              </w:rPr>
              <w:t>mg/L</w:t>
            </w:r>
            <w:r>
              <w:rPr>
                <w:rFonts w:hint="default" w:ascii="Times New Roman" w:hAnsi="Times New Roman" w:eastAsia="宋体" w:cs="Times New Roman"/>
                <w:color w:val="0000FF"/>
                <w:spacing w:val="-3"/>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5"/>
                <w:sz w:val="21"/>
                <w:szCs w:val="21"/>
              </w:rPr>
              <w:t>18.4</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5"/>
                <w:sz w:val="21"/>
                <w:szCs w:val="21"/>
              </w:rPr>
              <w:t>18.7</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5"/>
                <w:sz w:val="21"/>
                <w:szCs w:val="21"/>
              </w:rPr>
              <w:t>18.2</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18.2~18.7</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钠（</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37.1</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37.7</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37.5</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37.1~37.7</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钾（</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2.16</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2.23</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2.27</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2.16~2.27</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钙（</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39.8</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39.4</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37.9</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37.9~39.8</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镁（</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5"/>
                <w:sz w:val="21"/>
                <w:szCs w:val="21"/>
              </w:rPr>
              <w:t>18.6</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6"/>
                <w:sz w:val="21"/>
                <w:szCs w:val="21"/>
              </w:rPr>
              <w:t>19</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6"/>
                <w:sz w:val="21"/>
                <w:szCs w:val="21"/>
              </w:rPr>
              <w:t>19</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18.6~19</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重碳酸根（</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262</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270</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265</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262~270</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碳酸根（</w:t>
            </w:r>
            <w:r>
              <w:rPr>
                <w:rFonts w:hint="default" w:ascii="Times New Roman" w:hAnsi="Times New Roman" w:eastAsia="Times New Roman" w:cs="Times New Roman"/>
                <w:color w:val="0000FF"/>
                <w:spacing w:val="-1"/>
                <w:sz w:val="21"/>
                <w:szCs w:val="21"/>
              </w:rPr>
              <w:t>mg/L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12"/>
                <w:sz w:val="21"/>
                <w:szCs w:val="21"/>
              </w:rPr>
              <w:t>＜</w:t>
            </w:r>
            <w:r>
              <w:rPr>
                <w:rFonts w:hint="default" w:ascii="Times New Roman" w:hAnsi="Times New Roman" w:eastAsia="Times New Roman" w:cs="Times New Roman"/>
                <w:color w:val="0000FF"/>
                <w:spacing w:val="-12"/>
                <w:sz w:val="21"/>
                <w:szCs w:val="21"/>
              </w:rPr>
              <w:t>5</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12"/>
                <w:sz w:val="21"/>
                <w:szCs w:val="21"/>
              </w:rPr>
              <w:t>＜</w:t>
            </w:r>
            <w:r>
              <w:rPr>
                <w:rFonts w:hint="default" w:ascii="Times New Roman" w:hAnsi="Times New Roman" w:eastAsia="Times New Roman" w:cs="Times New Roman"/>
                <w:color w:val="0000FF"/>
                <w:spacing w:val="-12"/>
                <w:sz w:val="21"/>
                <w:szCs w:val="21"/>
              </w:rPr>
              <w:t>5</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宋体" w:cs="Times New Roman"/>
                <w:color w:val="0000FF"/>
                <w:spacing w:val="-12"/>
                <w:sz w:val="21"/>
                <w:szCs w:val="21"/>
              </w:rPr>
              <w:t>＜</w:t>
            </w:r>
            <w:r>
              <w:rPr>
                <w:rFonts w:hint="default" w:ascii="Times New Roman" w:hAnsi="Times New Roman" w:eastAsia="Times New Roman" w:cs="Times New Roman"/>
                <w:color w:val="0000FF"/>
                <w:spacing w:val="-12"/>
                <w:sz w:val="21"/>
                <w:szCs w:val="21"/>
              </w:rPr>
              <w:t>5</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2.5</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z w:val="21"/>
                <w:szCs w:val="21"/>
              </w:rPr>
              <w:t>/</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总硬度（以碳酸钙计）</w:t>
            </w:r>
            <w:r>
              <w:rPr>
                <w:rFonts w:hint="default" w:ascii="Times New Roman" w:hAnsi="Times New Roman" w:eastAsia="宋体" w:cs="Times New Roman"/>
                <w:color w:val="0000FF"/>
                <w:spacing w:val="-3"/>
                <w:sz w:val="21"/>
                <w:szCs w:val="21"/>
              </w:rPr>
              <w:t>（</w:t>
            </w:r>
            <w:r>
              <w:rPr>
                <w:rFonts w:hint="default" w:ascii="Times New Roman" w:hAnsi="Times New Roman" w:eastAsia="Times New Roman" w:cs="Times New Roman"/>
                <w:color w:val="0000FF"/>
                <w:spacing w:val="-3"/>
                <w:sz w:val="21"/>
                <w:szCs w:val="21"/>
              </w:rPr>
              <w:t>mg/L</w:t>
            </w:r>
            <w:r>
              <w:rPr>
                <w:rFonts w:hint="default" w:ascii="Times New Roman" w:hAnsi="Times New Roman" w:eastAsia="宋体" w:cs="Times New Roman"/>
                <w:color w:val="0000FF"/>
                <w:spacing w:val="-3"/>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74.3</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71.5</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76.8</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71.5~76.8</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450</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0.159~0.171</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总大肠菌群（</w:t>
            </w:r>
            <w:r>
              <w:rPr>
                <w:rFonts w:hint="default" w:ascii="Times New Roman" w:hAnsi="Times New Roman" w:eastAsia="Times New Roman" w:cs="Times New Roman"/>
                <w:color w:val="0000FF"/>
                <w:spacing w:val="-1"/>
                <w:sz w:val="21"/>
                <w:szCs w:val="21"/>
              </w:rPr>
              <w:t>MPN/L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8300</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5700</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8700</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5700~8700</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300</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19</w:t>
            </w:r>
            <w:r>
              <w:rPr>
                <w:rFonts w:hint="eastAsia" w:cs="Times New Roman"/>
                <w:color w:val="0000FF"/>
                <w:sz w:val="21"/>
                <w:szCs w:val="21"/>
                <w:lang w:val="en-US" w:eastAsia="zh-CN"/>
              </w:rPr>
              <w:t>~</w:t>
            </w:r>
            <w:r>
              <w:rPr>
                <w:rFonts w:hint="eastAsia" w:ascii="Times New Roman" w:hAnsi="Times New Roman" w:eastAsia="宋体" w:cs="Times New Roman"/>
                <w:color w:val="0000FF"/>
                <w:sz w:val="21"/>
                <w:szCs w:val="21"/>
                <w:lang w:val="en-US" w:eastAsia="zh-CN"/>
              </w:rPr>
              <w:t>29</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04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1"/>
                <w:sz w:val="21"/>
                <w:szCs w:val="21"/>
              </w:rPr>
              <w:t>菌落总数（</w:t>
            </w:r>
            <w:r>
              <w:rPr>
                <w:rFonts w:hint="default" w:ascii="Times New Roman" w:hAnsi="Times New Roman" w:eastAsia="Times New Roman" w:cs="Times New Roman"/>
                <w:color w:val="0000FF"/>
                <w:spacing w:val="-1"/>
                <w:sz w:val="21"/>
                <w:szCs w:val="21"/>
              </w:rPr>
              <w:t>MPN/mL</w:t>
            </w:r>
            <w:r>
              <w:rPr>
                <w:rFonts w:hint="default" w:ascii="Times New Roman" w:hAnsi="Times New Roman" w:eastAsia="宋体" w:cs="Times New Roman"/>
                <w:color w:val="0000FF"/>
                <w:spacing w:val="-1"/>
                <w:sz w:val="21"/>
                <w:szCs w:val="21"/>
              </w:rPr>
              <w:t>）</w:t>
            </w:r>
          </w:p>
        </w:tc>
        <w:tc>
          <w:tcPr>
            <w:tcW w:w="643"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68</w:t>
            </w:r>
          </w:p>
        </w:tc>
        <w:tc>
          <w:tcPr>
            <w:tcW w:w="64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3"/>
                <w:sz w:val="21"/>
                <w:szCs w:val="21"/>
              </w:rPr>
              <w:t>86</w:t>
            </w:r>
          </w:p>
        </w:tc>
        <w:tc>
          <w:tcPr>
            <w:tcW w:w="646"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2"/>
                <w:sz w:val="21"/>
                <w:szCs w:val="21"/>
              </w:rPr>
              <w:t>74</w:t>
            </w:r>
          </w:p>
        </w:tc>
        <w:tc>
          <w:tcPr>
            <w:tcW w:w="761"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FF"/>
                <w:spacing w:val="-1"/>
                <w:sz w:val="21"/>
                <w:szCs w:val="21"/>
                <w:lang w:val="en-US" w:eastAsia="zh-CN"/>
              </w:rPr>
            </w:pPr>
            <w:r>
              <w:rPr>
                <w:rFonts w:hint="eastAsia" w:ascii="Times New Roman" w:hAnsi="Times New Roman" w:eastAsia="宋体" w:cs="Times New Roman"/>
                <w:color w:val="0000FF"/>
                <w:spacing w:val="-1"/>
                <w:sz w:val="21"/>
                <w:szCs w:val="21"/>
                <w:lang w:val="en-US" w:eastAsia="zh-CN"/>
              </w:rPr>
              <w:t>68~74</w:t>
            </w:r>
          </w:p>
        </w:tc>
        <w:tc>
          <w:tcPr>
            <w:tcW w:w="53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0000FF"/>
                <w:sz w:val="21"/>
                <w:szCs w:val="21"/>
              </w:rPr>
            </w:pPr>
            <w:r>
              <w:rPr>
                <w:rFonts w:ascii="Times New Roman" w:hAnsi="Times New Roman" w:eastAsia="Times New Roman" w:cs="Times New Roman"/>
                <w:color w:val="0000FF"/>
                <w:spacing w:val="-1"/>
                <w:sz w:val="21"/>
                <w:szCs w:val="21"/>
              </w:rPr>
              <w:t>100</w:t>
            </w:r>
          </w:p>
        </w:tc>
        <w:tc>
          <w:tcPr>
            <w:tcW w:w="3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0.68~0.74</w:t>
            </w:r>
          </w:p>
        </w:tc>
        <w:tc>
          <w:tcPr>
            <w:tcW w:w="3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pacing w:val="-2"/>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2" w:hRule="atLeast"/>
        </w:trPr>
        <w:tc>
          <w:tcPr>
            <w:tcW w:w="56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pacing w:val="10"/>
                <w:sz w:val="21"/>
                <w:szCs w:val="21"/>
              </w:rPr>
            </w:pPr>
          </w:p>
        </w:tc>
        <w:tc>
          <w:tcPr>
            <w:tcW w:w="4430" w:type="pct"/>
            <w:gridSpan w:val="8"/>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4"/>
                <w:szCs w:val="24"/>
              </w:rPr>
            </w:pPr>
            <w:r>
              <w:rPr>
                <w:rFonts w:hint="default" w:ascii="Times New Roman" w:hAnsi="Times New Roman" w:eastAsia="Times New Roman" w:cs="Times New Roman"/>
                <w:color w:val="0000FF"/>
                <w:spacing w:val="10"/>
                <w:sz w:val="21"/>
                <w:szCs w:val="21"/>
              </w:rPr>
              <w:t>注：</w:t>
            </w:r>
            <w:r>
              <w:rPr>
                <w:rFonts w:hint="eastAsia" w:ascii="Times New Roman" w:hAnsi="Times New Roman" w:eastAsia="宋体" w:cs="Times New Roman"/>
                <w:color w:val="0000FF"/>
                <w:spacing w:val="10"/>
                <w:sz w:val="21"/>
                <w:szCs w:val="21"/>
                <w:lang w:eastAsia="zh-CN"/>
              </w:rPr>
              <w:t>“</w:t>
            </w:r>
            <w:r>
              <w:rPr>
                <w:rFonts w:hint="default" w:ascii="Times New Roman" w:hAnsi="Times New Roman" w:eastAsia="Times New Roman" w:cs="Times New Roman"/>
                <w:color w:val="0000FF"/>
                <w:spacing w:val="10"/>
                <w:sz w:val="21"/>
                <w:szCs w:val="21"/>
              </w:rPr>
              <w:t>&lt;ℽ</w:t>
            </w:r>
            <w:r>
              <w:rPr>
                <w:rFonts w:hint="eastAsia" w:ascii="Times New Roman" w:hAnsi="Times New Roman" w:eastAsia="宋体" w:cs="Times New Roman"/>
                <w:color w:val="0000FF"/>
                <w:spacing w:val="10"/>
                <w:sz w:val="21"/>
                <w:szCs w:val="21"/>
                <w:lang w:eastAsia="zh-CN"/>
              </w:rPr>
              <w:t>”</w:t>
            </w:r>
            <w:r>
              <w:rPr>
                <w:rFonts w:hint="default" w:ascii="Times New Roman" w:hAnsi="Times New Roman" w:eastAsia="Times New Roman" w:cs="Times New Roman"/>
                <w:color w:val="0000FF"/>
                <w:spacing w:val="10"/>
                <w:sz w:val="21"/>
                <w:szCs w:val="21"/>
              </w:rPr>
              <w:t>为低于检出限，按检出限一半计。</w:t>
            </w:r>
          </w:p>
        </w:tc>
      </w:tr>
    </w:tbl>
    <w:p>
      <w:pPr>
        <w:ind w:firstLine="482"/>
        <w:rPr>
          <w:rFonts w:hint="default" w:ascii="Times New Roman" w:hAnsi="Times New Roman" w:cs="Times New Roman"/>
          <w:b/>
          <w:bCs/>
          <w:color w:val="0000FF"/>
          <w:highlight w:val="none"/>
        </w:rPr>
      </w:pPr>
      <w:r>
        <w:rPr>
          <w:rFonts w:hint="default" w:ascii="Times New Roman" w:hAnsi="Times New Roman" w:cs="Times New Roman"/>
          <w:b/>
          <w:bCs/>
          <w:color w:val="0000FF"/>
          <w:highlight w:val="none"/>
        </w:rPr>
        <w:t>（3）结果分析</w:t>
      </w:r>
    </w:p>
    <w:p>
      <w:pPr>
        <w:ind w:firstLine="480"/>
        <w:rPr>
          <w:rFonts w:hint="default" w:ascii="Times New Roman" w:hAnsi="Times New Roman" w:eastAsia="宋体" w:cs="Times New Roman"/>
          <w:color w:val="0000FF"/>
          <w:highlight w:val="none"/>
          <w:lang w:val="en-US" w:eastAsia="zh-CN"/>
        </w:rPr>
      </w:pPr>
      <w:r>
        <w:rPr>
          <w:rFonts w:hint="default" w:ascii="Times New Roman" w:hAnsi="Times New Roman" w:cs="Times New Roman"/>
          <w:color w:val="0000FF"/>
          <w:highlight w:val="none"/>
        </w:rPr>
        <w:t>①基础项指标结果分析：根据监测结果可看出，</w:t>
      </w:r>
      <w:r>
        <w:rPr>
          <w:rFonts w:hint="eastAsia" w:cs="Times New Roman"/>
          <w:color w:val="0000FF"/>
          <w:highlight w:val="none"/>
          <w:lang w:val="en-US" w:eastAsia="zh-CN"/>
        </w:rPr>
        <w:t>现状检测的</w:t>
      </w:r>
      <w:r>
        <w:rPr>
          <w:rFonts w:hint="eastAsia" w:ascii="Times New Roman" w:hAnsi="Times New Roman" w:cs="Times New Roman"/>
          <w:color w:val="0000FF"/>
          <w:highlight w:val="none"/>
          <w:lang w:val="en-US" w:eastAsia="zh-CN"/>
        </w:rPr>
        <w:t>沙沟箐村机井能达到</w:t>
      </w:r>
      <w:r>
        <w:rPr>
          <w:rFonts w:hint="default" w:ascii="Times New Roman" w:hAnsi="Times New Roman" w:cs="Times New Roman"/>
          <w:color w:val="0000FF"/>
          <w:highlight w:val="none"/>
        </w:rPr>
        <w:t>《地下水质量标准》（GB/T14848-2017）Ⅲ类标准限值要求。</w:t>
      </w:r>
      <w:r>
        <w:rPr>
          <w:rFonts w:hint="eastAsia" w:ascii="Times New Roman" w:hAnsi="Times New Roman" w:cs="Times New Roman"/>
          <w:color w:val="0000FF"/>
          <w:highlight w:val="none"/>
          <w:lang w:val="en-US" w:eastAsia="zh-CN"/>
        </w:rPr>
        <w:t>引用：1#旧村水井、引用：2#阿拉益村水井除总大肠菌群外，其余均能达到</w:t>
      </w:r>
      <w:r>
        <w:rPr>
          <w:rFonts w:hint="default" w:ascii="Times New Roman" w:hAnsi="Times New Roman" w:cs="Times New Roman"/>
          <w:color w:val="0000FF"/>
          <w:highlight w:val="none"/>
        </w:rPr>
        <w:t>《地下水质量标准》（GB/T14848-2017）Ⅲ类标准限值要求</w:t>
      </w:r>
      <w:r>
        <w:rPr>
          <w:rFonts w:hint="eastAsia" w:cs="Times New Roman"/>
          <w:color w:val="0000FF"/>
          <w:highlight w:val="none"/>
          <w:lang w:eastAsia="zh-CN"/>
        </w:rPr>
        <w:t>，</w:t>
      </w:r>
      <w:r>
        <w:rPr>
          <w:rFonts w:hint="eastAsia" w:cs="Times New Roman"/>
          <w:color w:val="0000FF"/>
          <w:highlight w:val="none"/>
          <w:lang w:val="en-US" w:eastAsia="zh-CN"/>
        </w:rPr>
        <w:t>总大肠菌群最大超标倍数分别为：32.33、28倍，超标原因可能是农村生活面源导致。</w:t>
      </w:r>
    </w:p>
    <w:p>
      <w:pPr>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②八大离子结果分析：地下水导则中增加了对地下水中八大离子检测的要求，其主要作用：一是查明地下水化学类型，二是查验监测结果准确性。一般情况下，按照阴阳离子平衡关系做一般检查。检验方法如下：</w:t>
      </w:r>
    </w:p>
    <w:p>
      <w:pPr>
        <w:ind w:firstLine="0" w:firstLineChars="0"/>
        <w:jc w:val="center"/>
        <w:rPr>
          <w:rFonts w:hint="default" w:ascii="Times New Roman" w:hAnsi="Times New Roman" w:cs="Times New Roman"/>
          <w:b/>
          <w:bCs/>
          <w:color w:val="0000FF"/>
          <w:highlight w:val="none"/>
        </w:rPr>
      </w:pPr>
      <w:r>
        <w:rPr>
          <w:rFonts w:hint="default" w:ascii="Times New Roman" w:hAnsi="Times New Roman" w:cs="Times New Roman"/>
          <w:color w:val="0000FF"/>
          <w:highlight w:val="none"/>
        </w:rPr>
        <w:drawing>
          <wp:inline distT="0" distB="0" distL="114300" distR="114300">
            <wp:extent cx="2085975" cy="609600"/>
            <wp:effectExtent l="0" t="0" r="0" b="0"/>
            <wp:docPr id="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0"/>
                    <pic:cNvPicPr>
                      <a:picLocks noChangeAspect="1"/>
                    </pic:cNvPicPr>
                  </pic:nvPicPr>
                  <pic:blipFill>
                    <a:blip r:embed="rId64"/>
                    <a:stretch>
                      <a:fillRect/>
                    </a:stretch>
                  </pic:blipFill>
                  <pic:spPr>
                    <a:xfrm>
                      <a:off x="0" y="0"/>
                      <a:ext cx="2085975" cy="609600"/>
                    </a:xfrm>
                    <a:prstGeom prst="rect">
                      <a:avLst/>
                    </a:prstGeom>
                    <a:noFill/>
                    <a:ln>
                      <a:noFill/>
                    </a:ln>
                  </pic:spPr>
                </pic:pic>
              </a:graphicData>
            </a:graphic>
          </wp:inline>
        </w:drawing>
      </w:r>
    </w:p>
    <w:p>
      <w:pPr>
        <w:pStyle w:val="51"/>
        <w:tabs>
          <w:tab w:val="left" w:pos="4404"/>
        </w:tabs>
        <w:spacing w:line="360" w:lineRule="auto"/>
        <w:ind w:firstLine="480"/>
        <w:rPr>
          <w:rFonts w:hint="default" w:ascii="Times New Roman" w:hAnsi="Times New Roman" w:cs="Times New Roman"/>
          <w:color w:val="0000FF"/>
          <w:szCs w:val="24"/>
          <w:highlight w:val="none"/>
        </w:rPr>
      </w:pPr>
      <w:r>
        <w:rPr>
          <w:rFonts w:hint="default" w:ascii="Times New Roman" w:hAnsi="Times New Roman" w:cs="Times New Roman"/>
          <w:color w:val="0000FF"/>
          <w:szCs w:val="24"/>
          <w:highlight w:val="none"/>
        </w:rPr>
        <w:t>其中：E为相对误差，m</w:t>
      </w:r>
      <w:r>
        <w:rPr>
          <w:rFonts w:hint="default" w:ascii="Times New Roman" w:hAnsi="Times New Roman" w:cs="Times New Roman"/>
          <w:color w:val="0000FF"/>
          <w:szCs w:val="24"/>
          <w:highlight w:val="none"/>
          <w:vertAlign w:val="subscript"/>
        </w:rPr>
        <w:t>c</w:t>
      </w:r>
      <w:r>
        <w:rPr>
          <w:rFonts w:hint="default" w:ascii="Times New Roman" w:hAnsi="Times New Roman" w:cs="Times New Roman"/>
          <w:color w:val="0000FF"/>
          <w:szCs w:val="24"/>
          <w:highlight w:val="none"/>
        </w:rPr>
        <w:t>和m</w:t>
      </w:r>
      <w:r>
        <w:rPr>
          <w:rFonts w:hint="default" w:ascii="Times New Roman" w:hAnsi="Times New Roman" w:cs="Times New Roman"/>
          <w:color w:val="0000FF"/>
          <w:szCs w:val="24"/>
          <w:highlight w:val="none"/>
          <w:vertAlign w:val="subscript"/>
        </w:rPr>
        <w:t>a</w:t>
      </w:r>
      <w:r>
        <w:rPr>
          <w:rFonts w:hint="default" w:ascii="Times New Roman" w:hAnsi="Times New Roman" w:cs="Times New Roman"/>
          <w:color w:val="0000FF"/>
          <w:szCs w:val="24"/>
          <w:highlight w:val="none"/>
        </w:rPr>
        <w:t>分别是阴阳离子的毫克当量浓度（meq/L）。K</w:t>
      </w:r>
      <w:r>
        <w:rPr>
          <w:rFonts w:hint="default" w:ascii="Times New Roman" w:hAnsi="Times New Roman" w:cs="Times New Roman"/>
          <w:color w:val="0000FF"/>
          <w:szCs w:val="24"/>
          <w:highlight w:val="none"/>
          <w:vertAlign w:val="superscript"/>
        </w:rPr>
        <w:t>+</w:t>
      </w:r>
      <w:r>
        <w:rPr>
          <w:rFonts w:hint="default" w:ascii="Times New Roman" w:hAnsi="Times New Roman" w:cs="Times New Roman"/>
          <w:color w:val="0000FF"/>
          <w:szCs w:val="24"/>
          <w:highlight w:val="none"/>
        </w:rPr>
        <w:t>、Na</w:t>
      </w:r>
      <w:r>
        <w:rPr>
          <w:rFonts w:hint="default" w:ascii="Times New Roman" w:hAnsi="Times New Roman" w:cs="Times New Roman"/>
          <w:color w:val="0000FF"/>
          <w:szCs w:val="24"/>
          <w:highlight w:val="none"/>
          <w:vertAlign w:val="superscript"/>
        </w:rPr>
        <w:t>+</w:t>
      </w:r>
      <w:r>
        <w:rPr>
          <w:rFonts w:hint="default" w:ascii="Times New Roman" w:hAnsi="Times New Roman" w:cs="Times New Roman"/>
          <w:color w:val="0000FF"/>
          <w:szCs w:val="24"/>
          <w:highlight w:val="none"/>
        </w:rPr>
        <w:t>为实测值，E应小于正负5%。</w:t>
      </w:r>
    </w:p>
    <w:p>
      <w:pPr>
        <w:pStyle w:val="51"/>
        <w:tabs>
          <w:tab w:val="left" w:pos="4404"/>
        </w:tabs>
        <w:spacing w:line="360" w:lineRule="auto"/>
        <w:ind w:firstLine="480"/>
        <w:rPr>
          <w:rFonts w:hint="eastAsia" w:ascii="Times New Roman" w:hAnsi="Times New Roman" w:cs="Times New Roman"/>
          <w:color w:val="0000FF"/>
          <w:szCs w:val="24"/>
          <w:highlight w:val="none"/>
          <w:lang w:val="en-US" w:eastAsia="zh-CN"/>
        </w:rPr>
        <w:sectPr>
          <w:pgSz w:w="11906" w:h="16838"/>
          <w:pgMar w:top="1440" w:right="1803" w:bottom="1440" w:left="1803" w:header="850" w:footer="850"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cs="Times New Roman"/>
          <w:color w:val="0000FF"/>
          <w:szCs w:val="24"/>
          <w:highlight w:val="none"/>
          <w:lang w:val="en-US" w:eastAsia="zh-CN"/>
        </w:rPr>
        <w:t>3个地下水检测点的八大离子结果分析如下表所示：</w:t>
      </w:r>
    </w:p>
    <w:p>
      <w:pPr>
        <w:pStyle w:val="51"/>
        <w:tabs>
          <w:tab w:val="left" w:pos="4404"/>
        </w:tabs>
        <w:spacing w:line="360" w:lineRule="auto"/>
        <w:ind w:firstLine="480"/>
        <w:rPr>
          <w:rFonts w:hint="eastAsia" w:ascii="Times New Roman" w:hAnsi="Times New Roman" w:cs="Times New Roman"/>
          <w:color w:val="0000FF"/>
          <w:szCs w:val="24"/>
          <w:highlight w:val="none"/>
          <w:lang w:val="en-US" w:eastAsia="zh-CN"/>
        </w:rPr>
      </w:pPr>
    </w:p>
    <w:p>
      <w:pPr>
        <w:pStyle w:val="51"/>
        <w:tabs>
          <w:tab w:val="left" w:pos="4404"/>
        </w:tabs>
        <w:spacing w:line="240" w:lineRule="auto"/>
        <w:ind w:firstLine="480"/>
        <w:jc w:val="center"/>
        <w:rPr>
          <w:rFonts w:hint="default" w:ascii="Times New Roman" w:hAnsi="Times New Roman" w:eastAsia="宋体" w:cs="Times New Roman"/>
          <w:b/>
          <w:bCs/>
          <w:color w:val="0000FF"/>
          <w:sz w:val="21"/>
          <w:szCs w:val="21"/>
          <w:highlight w:val="none"/>
          <w:lang w:val="en-US" w:eastAsia="zh-CN"/>
        </w:rPr>
      </w:pPr>
      <w:r>
        <w:rPr>
          <w:rFonts w:hint="eastAsia" w:ascii="Times New Roman" w:hAnsi="Times New Roman" w:cs="Times New Roman"/>
          <w:b/>
          <w:bCs/>
          <w:color w:val="0000FF"/>
          <w:sz w:val="21"/>
          <w:szCs w:val="21"/>
          <w:highlight w:val="none"/>
          <w:lang w:val="en-US" w:eastAsia="zh-CN"/>
        </w:rPr>
        <w:t>表4.2.5-5   八大例子结果分析一览表     单位：mg/L</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253"/>
        <w:gridCol w:w="1056"/>
        <w:gridCol w:w="1392"/>
        <w:gridCol w:w="1398"/>
        <w:gridCol w:w="1512"/>
        <w:gridCol w:w="1512"/>
        <w:gridCol w:w="1512"/>
        <w:gridCol w:w="1512"/>
        <w:gridCol w:w="1512"/>
        <w:gridCol w:w="1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8" w:hRule="atLeast"/>
          <w:jc w:val="center"/>
        </w:trPr>
        <w:tc>
          <w:tcPr>
            <w:tcW w:w="44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检测点位</w:t>
            </w:r>
          </w:p>
        </w:tc>
        <w:tc>
          <w:tcPr>
            <w:tcW w:w="1336" w:type="pct"/>
            <w:gridSpan w:val="3"/>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现状检测：沙沟箐机井</w:t>
            </w:r>
          </w:p>
        </w:tc>
        <w:tc>
          <w:tcPr>
            <w:tcW w:w="1608" w:type="pct"/>
            <w:gridSpan w:val="3"/>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color w:val="0000FF"/>
                <w:spacing w:val="-3"/>
                <w:sz w:val="21"/>
                <w:szCs w:val="21"/>
                <w:lang w:val="en-US" w:eastAsia="zh-CN"/>
              </w:rPr>
              <w:t>引用检测：</w:t>
            </w:r>
            <w:r>
              <w:rPr>
                <w:rFonts w:hint="default" w:ascii="Times New Roman" w:hAnsi="Times New Roman" w:eastAsia="Times New Roman" w:cs="Times New Roman"/>
                <w:color w:val="0000FF"/>
                <w:spacing w:val="-3"/>
                <w:sz w:val="21"/>
                <w:szCs w:val="21"/>
              </w:rPr>
              <w:t>1#</w:t>
            </w:r>
            <w:r>
              <w:rPr>
                <w:rFonts w:hint="default" w:ascii="Times New Roman" w:hAnsi="Times New Roman" w:eastAsia="宋体" w:cs="Times New Roman"/>
                <w:color w:val="0000FF"/>
                <w:spacing w:val="-3"/>
                <w:sz w:val="21"/>
                <w:szCs w:val="21"/>
              </w:rPr>
              <w:t>旧村水井</w:t>
            </w:r>
            <w:r>
              <w:rPr>
                <w:rFonts w:hint="default" w:ascii="Times New Roman" w:hAnsi="Times New Roman" w:eastAsia="宋体" w:cs="Times New Roman"/>
                <w:color w:val="0000FF"/>
                <w:spacing w:val="-3"/>
                <w:sz w:val="21"/>
                <w:szCs w:val="21"/>
                <w:lang w:val="en-US" w:eastAsia="zh-CN"/>
              </w:rPr>
              <w:t xml:space="preserve"> </w:t>
            </w:r>
          </w:p>
        </w:tc>
        <w:tc>
          <w:tcPr>
            <w:tcW w:w="1609" w:type="pct"/>
            <w:gridSpan w:val="3"/>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color w:val="0000FF"/>
                <w:spacing w:val="-1"/>
                <w:sz w:val="21"/>
                <w:szCs w:val="21"/>
                <w:lang w:val="en-US" w:eastAsia="zh-CN"/>
              </w:rPr>
              <w:t>引用检测：</w:t>
            </w:r>
            <w:r>
              <w:rPr>
                <w:rFonts w:hint="default" w:ascii="Times New Roman" w:hAnsi="Times New Roman" w:eastAsia="Times New Roman" w:cs="Times New Roman"/>
                <w:color w:val="0000FF"/>
                <w:spacing w:val="-1"/>
                <w:sz w:val="21"/>
                <w:szCs w:val="21"/>
              </w:rPr>
              <w:t>2#</w:t>
            </w:r>
            <w:r>
              <w:rPr>
                <w:rFonts w:hint="default" w:ascii="Times New Roman" w:hAnsi="Times New Roman" w:eastAsia="宋体" w:cs="Times New Roman"/>
                <w:color w:val="0000FF"/>
                <w:spacing w:val="-1"/>
                <w:sz w:val="21"/>
                <w:szCs w:val="21"/>
              </w:rPr>
              <w:t>阿拉益村水井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8" w:hRule="atLeast"/>
          <w:jc w:val="center"/>
        </w:trPr>
        <w:tc>
          <w:tcPr>
            <w:tcW w:w="44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检测日期</w:t>
            </w:r>
          </w:p>
        </w:tc>
        <w:tc>
          <w:tcPr>
            <w:tcW w:w="34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2024.4.11</w:t>
            </w: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2024.4.12</w:t>
            </w:r>
          </w:p>
        </w:tc>
        <w:tc>
          <w:tcPr>
            <w:tcW w:w="49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2024.4.13</w:t>
            </w:r>
          </w:p>
        </w:tc>
        <w:tc>
          <w:tcPr>
            <w:tcW w:w="536"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Times New Roman" w:cs="Times New Roman"/>
                <w:color w:val="0000FF"/>
                <w:spacing w:val="-1"/>
                <w:position w:val="12"/>
                <w:sz w:val="21"/>
                <w:szCs w:val="21"/>
              </w:rPr>
              <w:t>2022.12.03</w:t>
            </w:r>
          </w:p>
        </w:tc>
        <w:tc>
          <w:tcPr>
            <w:tcW w:w="536"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Times New Roman" w:cs="Times New Roman"/>
                <w:color w:val="0000FF"/>
                <w:spacing w:val="-1"/>
                <w:position w:val="12"/>
                <w:sz w:val="21"/>
                <w:szCs w:val="21"/>
              </w:rPr>
              <w:t>2022.12.04</w:t>
            </w:r>
          </w:p>
        </w:tc>
        <w:tc>
          <w:tcPr>
            <w:tcW w:w="536"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Times New Roman" w:cs="Times New Roman"/>
                <w:color w:val="0000FF"/>
                <w:spacing w:val="-1"/>
                <w:position w:val="12"/>
                <w:sz w:val="21"/>
                <w:szCs w:val="21"/>
              </w:rPr>
              <w:t>2022.12.05</w:t>
            </w:r>
          </w:p>
        </w:tc>
        <w:tc>
          <w:tcPr>
            <w:tcW w:w="536"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Times New Roman" w:cs="Times New Roman"/>
                <w:color w:val="0000FF"/>
                <w:spacing w:val="-1"/>
                <w:position w:val="12"/>
                <w:sz w:val="21"/>
                <w:szCs w:val="21"/>
              </w:rPr>
              <w:t>2022.12.03</w:t>
            </w:r>
          </w:p>
        </w:tc>
        <w:tc>
          <w:tcPr>
            <w:tcW w:w="536"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Times New Roman" w:cs="Times New Roman"/>
                <w:color w:val="0000FF"/>
                <w:spacing w:val="-1"/>
                <w:position w:val="12"/>
                <w:sz w:val="21"/>
                <w:szCs w:val="21"/>
              </w:rPr>
              <w:t>2022.12.04</w:t>
            </w:r>
          </w:p>
        </w:tc>
        <w:tc>
          <w:tcPr>
            <w:tcW w:w="536" w:type="pct"/>
            <w:shd w:val="clear" w:color="auto" w:fill="auto"/>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Times New Roman" w:cs="Times New Roman"/>
                <w:color w:val="0000FF"/>
                <w:spacing w:val="-1"/>
                <w:position w:val="12"/>
                <w:sz w:val="21"/>
                <w:szCs w:val="21"/>
              </w:rPr>
              <w:t>2022.12.05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5" w:hRule="atLeast"/>
          <w:jc w:val="center"/>
        </w:trPr>
        <w:tc>
          <w:tcPr>
            <w:tcW w:w="44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钙</w:t>
            </w:r>
          </w:p>
        </w:tc>
        <w:tc>
          <w:tcPr>
            <w:tcW w:w="34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75.4</w:t>
            </w: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75.7</w:t>
            </w:r>
          </w:p>
        </w:tc>
        <w:tc>
          <w:tcPr>
            <w:tcW w:w="49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75.8</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142</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142</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141</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39.8</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39.4</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00" w:hRule="atLeast"/>
          <w:jc w:val="center"/>
        </w:trPr>
        <w:tc>
          <w:tcPr>
            <w:tcW w:w="44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镁</w:t>
            </w:r>
          </w:p>
        </w:tc>
        <w:tc>
          <w:tcPr>
            <w:tcW w:w="34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49.8</w:t>
            </w: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49.9</w:t>
            </w:r>
          </w:p>
        </w:tc>
        <w:tc>
          <w:tcPr>
            <w:tcW w:w="49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49.7</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67.8</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68.2</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67.8</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18.6</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19</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5" w:hRule="atLeast"/>
          <w:jc w:val="center"/>
        </w:trPr>
        <w:tc>
          <w:tcPr>
            <w:tcW w:w="44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钠</w:t>
            </w:r>
          </w:p>
        </w:tc>
        <w:tc>
          <w:tcPr>
            <w:tcW w:w="34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32.6</w:t>
            </w: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34.9</w:t>
            </w:r>
          </w:p>
        </w:tc>
        <w:tc>
          <w:tcPr>
            <w:tcW w:w="49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32.6</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114</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118</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118</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37.1</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37.7</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5" w:hRule="atLeast"/>
          <w:jc w:val="center"/>
        </w:trPr>
        <w:tc>
          <w:tcPr>
            <w:tcW w:w="44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钾</w:t>
            </w:r>
          </w:p>
        </w:tc>
        <w:tc>
          <w:tcPr>
            <w:tcW w:w="34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4.47</w:t>
            </w: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2.84</w:t>
            </w:r>
          </w:p>
        </w:tc>
        <w:tc>
          <w:tcPr>
            <w:tcW w:w="49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2.95</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14.4</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14.5</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14.7</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2.16</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2.23</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5" w:hRule="atLeast"/>
          <w:jc w:val="center"/>
        </w:trPr>
        <w:tc>
          <w:tcPr>
            <w:tcW w:w="44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碳酸根</w:t>
            </w:r>
          </w:p>
        </w:tc>
        <w:tc>
          <w:tcPr>
            <w:tcW w:w="34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2.5</w:t>
            </w: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2.5</w:t>
            </w:r>
          </w:p>
        </w:tc>
        <w:tc>
          <w:tcPr>
            <w:tcW w:w="49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2.5</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＜5</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＜5</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＜5</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＜5</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＜5</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5" w:hRule="atLeast"/>
          <w:jc w:val="center"/>
        </w:trPr>
        <w:tc>
          <w:tcPr>
            <w:tcW w:w="44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碳酸氢根</w:t>
            </w:r>
          </w:p>
        </w:tc>
        <w:tc>
          <w:tcPr>
            <w:tcW w:w="34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515</w:t>
            </w: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511</w:t>
            </w:r>
          </w:p>
        </w:tc>
        <w:tc>
          <w:tcPr>
            <w:tcW w:w="49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516</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488</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492</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486</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262</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270</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265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5" w:hRule="atLeast"/>
          <w:jc w:val="center"/>
        </w:trPr>
        <w:tc>
          <w:tcPr>
            <w:tcW w:w="44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氯离子</w:t>
            </w:r>
          </w:p>
        </w:tc>
        <w:tc>
          <w:tcPr>
            <w:tcW w:w="34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10.2</w:t>
            </w: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10.6</w:t>
            </w:r>
          </w:p>
        </w:tc>
        <w:tc>
          <w:tcPr>
            <w:tcW w:w="49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9</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279</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276</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279</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5.21</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5.2</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5.22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855" w:hRule="atLeast"/>
          <w:jc w:val="center"/>
        </w:trPr>
        <w:tc>
          <w:tcPr>
            <w:tcW w:w="44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top"/>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硫酸根离子</w:t>
            </w:r>
          </w:p>
        </w:tc>
        <w:tc>
          <w:tcPr>
            <w:tcW w:w="34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33.4</w:t>
            </w: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34</w:t>
            </w:r>
          </w:p>
        </w:tc>
        <w:tc>
          <w:tcPr>
            <w:tcW w:w="49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32.2</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49.7</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45.5</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47.6</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18.4</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18.7</w:t>
            </w:r>
          </w:p>
        </w:tc>
        <w:tc>
          <w:tcPr>
            <w:tcW w:w="53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44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E值</w:t>
            </w:r>
          </w:p>
        </w:tc>
        <w:tc>
          <w:tcPr>
            <w:tcW w:w="346"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-0.3012</w:t>
            </w:r>
          </w:p>
        </w:tc>
        <w:tc>
          <w:tcPr>
            <w:tcW w:w="4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0.3486</w:t>
            </w:r>
          </w:p>
        </w:tc>
        <w:tc>
          <w:tcPr>
            <w:tcW w:w="49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-0.2224</w:t>
            </w:r>
          </w:p>
        </w:tc>
        <w:tc>
          <w:tcPr>
            <w:tcW w:w="536"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3.1319</w:t>
            </w:r>
          </w:p>
        </w:tc>
        <w:tc>
          <w:tcPr>
            <w:tcW w:w="536"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4.0222</w:t>
            </w:r>
          </w:p>
        </w:tc>
        <w:tc>
          <w:tcPr>
            <w:tcW w:w="536"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3.7198</w:t>
            </w:r>
          </w:p>
        </w:tc>
        <w:tc>
          <w:tcPr>
            <w:tcW w:w="536"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2.9645</w:t>
            </w:r>
          </w:p>
        </w:tc>
        <w:tc>
          <w:tcPr>
            <w:tcW w:w="536"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1.9817</w:t>
            </w:r>
          </w:p>
        </w:tc>
        <w:tc>
          <w:tcPr>
            <w:tcW w:w="536"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2.1062</w:t>
            </w:r>
          </w:p>
        </w:tc>
      </w:tr>
    </w:tbl>
    <w:p>
      <w:pPr>
        <w:bidi w:val="0"/>
        <w:rPr>
          <w:rFonts w:hint="default"/>
          <w:color w:val="0000FF"/>
        </w:rPr>
      </w:pPr>
      <w:r>
        <w:rPr>
          <w:rFonts w:hint="eastAsia"/>
          <w:color w:val="0000FF"/>
          <w:lang w:val="en-US" w:eastAsia="zh-CN"/>
        </w:rPr>
        <w:t>根据上表计算，沙沟箐村机井、</w:t>
      </w:r>
      <w:r>
        <w:rPr>
          <w:rFonts w:hint="default"/>
          <w:color w:val="0000FF"/>
          <w:lang w:val="en-US" w:eastAsia="zh-CN"/>
        </w:rPr>
        <w:t>引用检测：</w:t>
      </w:r>
      <w:r>
        <w:rPr>
          <w:rFonts w:hint="default"/>
          <w:color w:val="0000FF"/>
        </w:rPr>
        <w:t>1#旧村水井</w:t>
      </w:r>
      <w:r>
        <w:rPr>
          <w:rFonts w:hint="eastAsia"/>
          <w:color w:val="0000FF"/>
          <w:lang w:val="en-US" w:eastAsia="zh-CN"/>
        </w:rPr>
        <w:t>、</w:t>
      </w:r>
      <w:r>
        <w:rPr>
          <w:rFonts w:hint="default"/>
          <w:color w:val="0000FF"/>
        </w:rPr>
        <w:t>引用检测：2#阿拉益村水井</w:t>
      </w:r>
      <w:r>
        <w:rPr>
          <w:rFonts w:hint="default"/>
          <w:color w:val="0000FF"/>
          <w:lang w:val="en-US" w:eastAsia="zh-CN"/>
        </w:rPr>
        <w:t>E值</w:t>
      </w:r>
      <w:r>
        <w:rPr>
          <w:rFonts w:hint="default"/>
          <w:color w:val="0000FF"/>
        </w:rPr>
        <w:t>均小于正负5%，说明地下水监测结果合理。</w:t>
      </w:r>
    </w:p>
    <w:p>
      <w:pPr>
        <w:bidi w:val="0"/>
        <w:rPr>
          <w:rFonts w:hint="default"/>
          <w:color w:val="0000FF"/>
          <w:lang w:val="en-US" w:eastAsia="zh-CN"/>
        </w:rPr>
        <w:sectPr>
          <w:pgSz w:w="16838" w:h="11906" w:orient="landscape"/>
          <w:pgMar w:top="1803" w:right="1440" w:bottom="1803" w:left="1440" w:header="850" w:footer="850" w:gutter="0"/>
          <w:pgBorders>
            <w:top w:val="none" w:sz="0" w:space="0"/>
            <w:left w:val="none" w:sz="0" w:space="0"/>
            <w:bottom w:val="none" w:sz="0" w:space="0"/>
            <w:right w:val="none" w:sz="0" w:space="0"/>
          </w:pgBorders>
          <w:pgNumType w:fmt="decimal"/>
          <w:cols w:space="720" w:num="1"/>
          <w:docGrid w:linePitch="312" w:charSpace="0"/>
        </w:sectPr>
      </w:pPr>
    </w:p>
    <w:p>
      <w:pPr>
        <w:pStyle w:val="4"/>
        <w:numPr>
          <w:ilvl w:val="2"/>
          <w:numId w:val="2"/>
        </w:numPr>
        <w:tabs>
          <w:tab w:val="left" w:pos="420"/>
        </w:tabs>
        <w:bidi w:val="0"/>
        <w:rPr>
          <w:rFonts w:hint="default"/>
          <w:color w:val="auto"/>
          <w:highlight w:val="none"/>
        </w:rPr>
      </w:pPr>
      <w:bookmarkStart w:id="533" w:name="_Toc11576"/>
      <w:bookmarkStart w:id="534" w:name="_Toc12942"/>
      <w:bookmarkStart w:id="535" w:name="_Toc28513"/>
      <w:bookmarkStart w:id="536" w:name="_Toc10135"/>
      <w:bookmarkStart w:id="537" w:name="_Toc26366"/>
      <w:bookmarkStart w:id="538" w:name="_Toc8169"/>
      <w:bookmarkStart w:id="539" w:name="_Toc4351"/>
      <w:bookmarkStart w:id="540" w:name="_Toc14332"/>
      <w:r>
        <w:rPr>
          <w:rFonts w:hint="default"/>
          <w:color w:val="auto"/>
          <w:highlight w:val="none"/>
        </w:rPr>
        <w:t>生态环境质量现状</w:t>
      </w:r>
      <w:bookmarkEnd w:id="533"/>
      <w:bookmarkEnd w:id="534"/>
      <w:bookmarkEnd w:id="535"/>
      <w:bookmarkEnd w:id="536"/>
      <w:bookmarkEnd w:id="537"/>
      <w:bookmarkEnd w:id="538"/>
      <w:bookmarkEnd w:id="539"/>
      <w:bookmarkEnd w:id="540"/>
    </w:p>
    <w:p>
      <w:pPr>
        <w:pStyle w:val="5"/>
        <w:numPr>
          <w:ilvl w:val="3"/>
          <w:numId w:val="19"/>
        </w:numPr>
        <w:bidi w:val="0"/>
        <w:ind w:left="480" w:leftChars="0" w:firstLineChars="0"/>
        <w:rPr>
          <w:rFonts w:hint="default"/>
          <w:color w:val="auto"/>
          <w:highlight w:val="none"/>
          <w:lang w:val="zh-TW" w:eastAsia="zh-CN"/>
        </w:rPr>
      </w:pPr>
      <w:r>
        <w:rPr>
          <w:rFonts w:hint="default"/>
          <w:color w:val="auto"/>
          <w:highlight w:val="none"/>
          <w:lang w:val="zh-TW" w:eastAsia="zh-TW"/>
        </w:rPr>
        <w:t>生态现状调查方法</w:t>
      </w:r>
    </w:p>
    <w:p>
      <w:pPr>
        <w:bidi w:val="0"/>
        <w:ind w:firstLine="482" w:firstLineChars="200"/>
        <w:rPr>
          <w:rFonts w:hint="default"/>
          <w:b/>
          <w:bCs/>
          <w:color w:val="auto"/>
          <w:highlight w:val="none"/>
        </w:rPr>
      </w:pPr>
      <w:r>
        <w:rPr>
          <w:rFonts w:hint="eastAsia"/>
          <w:b/>
          <w:bCs/>
          <w:color w:val="auto"/>
          <w:highlight w:val="none"/>
          <w:lang w:val="zh-TW" w:eastAsia="zh-CN"/>
        </w:rPr>
        <w:t>（</w:t>
      </w:r>
      <w:r>
        <w:rPr>
          <w:rFonts w:hint="eastAsia"/>
          <w:b/>
          <w:bCs/>
          <w:color w:val="auto"/>
          <w:highlight w:val="none"/>
          <w:lang w:val="en-US" w:eastAsia="zh-CN"/>
        </w:rPr>
        <w:t>1</w:t>
      </w:r>
      <w:r>
        <w:rPr>
          <w:rFonts w:hint="eastAsia"/>
          <w:b/>
          <w:bCs/>
          <w:color w:val="auto"/>
          <w:highlight w:val="none"/>
          <w:lang w:val="zh-TW" w:eastAsia="zh-CN"/>
        </w:rPr>
        <w:t>）</w:t>
      </w:r>
      <w:r>
        <w:rPr>
          <w:rFonts w:hint="default"/>
          <w:b/>
          <w:bCs/>
          <w:color w:val="auto"/>
          <w:highlight w:val="none"/>
          <w:lang w:val="zh-TW" w:eastAsia="zh-TW"/>
        </w:rPr>
        <w:t>生态调查方法和时间</w:t>
      </w:r>
    </w:p>
    <w:p>
      <w:pPr>
        <w:pStyle w:val="62"/>
        <w:keepNext w:val="0"/>
        <w:keepLines w:val="0"/>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拟建提水工程占用的面积约为54.39hm²，其中永久征地面积3.7hm²，临时用地面积50.69hm²。本次生态现状调查采用样线和样方调查法详细调查和文献资料法相结合的方式进行，调查总面积约4309.52hm²。</w:t>
      </w:r>
    </w:p>
    <w:p>
      <w:pPr>
        <w:pStyle w:val="62"/>
        <w:keepNext w:val="0"/>
        <w:keepLines w:val="0"/>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①调查时间：</w:t>
      </w:r>
    </w:p>
    <w:p>
      <w:pPr>
        <w:pStyle w:val="62"/>
        <w:keepNext w:val="0"/>
        <w:keepLines w:val="0"/>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工程调查时间为2023年9月13-17日、11月12-14日，2024年1月1-3日。重点针对输水管线周边等区域进行调查。</w:t>
      </w:r>
    </w:p>
    <w:p>
      <w:pPr>
        <w:pStyle w:val="62"/>
        <w:keepNext w:val="0"/>
        <w:keepLines w:val="0"/>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②调查人员：</w:t>
      </w:r>
    </w:p>
    <w:p>
      <w:pPr>
        <w:pStyle w:val="62"/>
        <w:keepNext w:val="0"/>
        <w:keepLines w:val="0"/>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textAlignment w:val="auto"/>
        <w:rPr>
          <w:rStyle w:val="64"/>
          <w:rFonts w:hint="default" w:ascii="Times New Roman" w:hAnsi="Times New Roman" w:eastAsia="宋体" w:cs="Times New Roman"/>
          <w:color w:val="0000FF"/>
          <w:sz w:val="24"/>
          <w:szCs w:val="24"/>
          <w:highlight w:val="none"/>
          <w:lang w:val="zh-TW" w:eastAsia="zh-TW"/>
        </w:rPr>
      </w:pPr>
      <w:r>
        <w:rPr>
          <w:rStyle w:val="64"/>
          <w:rFonts w:hint="default" w:ascii="Times New Roman" w:hAnsi="Times New Roman" w:cs="Times New Roman"/>
          <w:color w:val="0000FF"/>
          <w:sz w:val="24"/>
          <w:szCs w:val="24"/>
          <w:highlight w:val="none"/>
          <w:lang w:val="en-US" w:eastAsia="zh-CN"/>
        </w:rPr>
        <w:t>马晨晨</w:t>
      </w:r>
      <w:r>
        <w:rPr>
          <w:rStyle w:val="64"/>
          <w:rFonts w:hint="default" w:ascii="Times New Roman" w:hAnsi="Times New Roman" w:eastAsia="宋体" w:cs="Times New Roman"/>
          <w:color w:val="0000FF"/>
          <w:sz w:val="24"/>
          <w:szCs w:val="24"/>
          <w:highlight w:val="none"/>
          <w:lang w:val="zh-TW" w:eastAsia="zh-TW"/>
        </w:rPr>
        <w:t>，</w:t>
      </w:r>
      <w:r>
        <w:rPr>
          <w:rStyle w:val="64"/>
          <w:rFonts w:hint="eastAsia" w:ascii="Times New Roman" w:hAnsi="Times New Roman" w:cs="Times New Roman"/>
          <w:color w:val="0000FF"/>
          <w:sz w:val="24"/>
          <w:szCs w:val="24"/>
          <w:highlight w:val="none"/>
          <w:lang w:val="en-US" w:eastAsia="zh-CN"/>
        </w:rPr>
        <w:t>西南林业大学</w:t>
      </w:r>
      <w:r>
        <w:rPr>
          <w:rStyle w:val="64"/>
          <w:rFonts w:hint="default" w:ascii="Times New Roman" w:hAnsi="Times New Roman" w:eastAsia="宋体" w:cs="Times New Roman"/>
          <w:color w:val="0000FF"/>
          <w:sz w:val="24"/>
          <w:szCs w:val="24"/>
          <w:highlight w:val="none"/>
          <w:lang w:val="zh-TW" w:eastAsia="zh-TW"/>
        </w:rPr>
        <w:t>，植物学专业</w:t>
      </w:r>
      <w:r>
        <w:rPr>
          <w:rStyle w:val="64"/>
          <w:rFonts w:hint="eastAsia" w:ascii="Times New Roman" w:hAnsi="Times New Roman" w:cs="Times New Roman"/>
          <w:color w:val="0000FF"/>
          <w:sz w:val="24"/>
          <w:szCs w:val="24"/>
          <w:highlight w:val="none"/>
          <w:lang w:val="en-US" w:eastAsia="zh-CN"/>
        </w:rPr>
        <w:t>硕士研究生</w:t>
      </w:r>
      <w:r>
        <w:rPr>
          <w:rStyle w:val="64"/>
          <w:rFonts w:hint="default" w:ascii="Times New Roman" w:hAnsi="Times New Roman" w:eastAsia="宋体" w:cs="Times New Roman"/>
          <w:color w:val="0000FF"/>
          <w:sz w:val="24"/>
          <w:szCs w:val="24"/>
          <w:highlight w:val="none"/>
          <w:lang w:val="zh-TW" w:eastAsia="zh-TW"/>
        </w:rPr>
        <w:t>，野外调查、数据整理及报告编制；</w:t>
      </w:r>
    </w:p>
    <w:p>
      <w:pPr>
        <w:pStyle w:val="62"/>
        <w:keepNext w:val="0"/>
        <w:keepLines w:val="0"/>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textAlignment w:val="auto"/>
        <w:rPr>
          <w:rStyle w:val="64"/>
          <w:rFonts w:hint="default" w:ascii="Times New Roman" w:hAnsi="Times New Roman" w:cs="Times New Roman"/>
          <w:color w:val="0000FF"/>
          <w:sz w:val="24"/>
          <w:szCs w:val="24"/>
          <w:highlight w:val="none"/>
          <w:lang w:val="en-US" w:eastAsia="zh-CN"/>
        </w:rPr>
      </w:pPr>
      <w:r>
        <w:rPr>
          <w:rStyle w:val="64"/>
          <w:rFonts w:hint="default" w:ascii="Times New Roman" w:hAnsi="Times New Roman" w:cs="Times New Roman"/>
          <w:color w:val="0000FF"/>
          <w:sz w:val="24"/>
          <w:szCs w:val="24"/>
          <w:highlight w:val="none"/>
          <w:lang w:val="en-US" w:eastAsia="zh-CN"/>
        </w:rPr>
        <w:t>杨辉，云南水工源工程设计有限公司</w:t>
      </w:r>
      <w:r>
        <w:rPr>
          <w:rStyle w:val="64"/>
          <w:rFonts w:hint="eastAsia" w:ascii="Times New Roman" w:hAnsi="Times New Roman" w:cs="Times New Roman"/>
          <w:color w:val="0000FF"/>
          <w:sz w:val="24"/>
          <w:szCs w:val="24"/>
          <w:highlight w:val="none"/>
          <w:lang w:val="en-US" w:eastAsia="zh-CN"/>
        </w:rPr>
        <w:t>，</w:t>
      </w:r>
      <w:r>
        <w:rPr>
          <w:rStyle w:val="64"/>
          <w:rFonts w:hint="default" w:ascii="Times New Roman" w:hAnsi="Times New Roman" w:cs="Times New Roman"/>
          <w:color w:val="0000FF"/>
          <w:sz w:val="24"/>
          <w:szCs w:val="24"/>
          <w:highlight w:val="none"/>
          <w:lang w:val="en-US" w:eastAsia="zh-CN"/>
        </w:rPr>
        <w:t>工程师，环境科学，野外调查、报告编制。</w:t>
      </w:r>
    </w:p>
    <w:p>
      <w:pPr>
        <w:shd w:val="clear"/>
        <w:bidi w:val="0"/>
        <w:ind w:firstLine="482" w:firstLineChars="200"/>
        <w:rPr>
          <w:rFonts w:hint="eastAsia"/>
          <w:b/>
          <w:bCs/>
          <w:color w:val="auto"/>
          <w:highlight w:val="none"/>
          <w:lang w:val="zh-TW" w:eastAsia="zh-CN"/>
        </w:rPr>
      </w:pPr>
    </w:p>
    <w:p>
      <w:pPr>
        <w:shd w:val="clear"/>
        <w:bidi w:val="0"/>
        <w:ind w:firstLine="482" w:firstLineChars="200"/>
        <w:rPr>
          <w:rFonts w:hint="default"/>
          <w:b/>
          <w:bCs/>
          <w:color w:val="auto"/>
          <w:highlight w:val="none"/>
          <w:lang w:val="zh-TW" w:eastAsia="zh-CN"/>
        </w:rPr>
      </w:pPr>
      <w:r>
        <w:rPr>
          <w:rFonts w:hint="eastAsia"/>
          <w:b/>
          <w:bCs/>
          <w:color w:val="auto"/>
          <w:highlight w:val="none"/>
          <w:lang w:val="zh-TW" w:eastAsia="zh-CN"/>
        </w:rPr>
        <w:t>（</w:t>
      </w:r>
      <w:r>
        <w:rPr>
          <w:rFonts w:hint="eastAsia"/>
          <w:b/>
          <w:bCs/>
          <w:color w:val="auto"/>
          <w:highlight w:val="none"/>
          <w:lang w:val="en-US" w:eastAsia="zh-CN"/>
        </w:rPr>
        <w:t>2</w:t>
      </w:r>
      <w:r>
        <w:rPr>
          <w:rFonts w:hint="eastAsia"/>
          <w:b/>
          <w:bCs/>
          <w:color w:val="auto"/>
          <w:highlight w:val="none"/>
          <w:lang w:val="zh-TW" w:eastAsia="zh-CN"/>
        </w:rPr>
        <w:t>）</w:t>
      </w:r>
      <w:r>
        <w:rPr>
          <w:rFonts w:hint="default"/>
          <w:b/>
          <w:bCs/>
          <w:color w:val="auto"/>
          <w:highlight w:val="none"/>
          <w:lang w:val="zh-TW" w:eastAsia="zh-TW"/>
        </w:rPr>
        <w:t>现场调查方法及内容</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植被及维管植物调查依据《云南省环境影响评价维管植物及植被现状调查技术要求》（试行）和《环境影响评价技术导则生态影响》（HJ19-2022）中的相关要求开展。</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①调查区域的筛选与确定</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为避免遗漏重要植被类型，首先在调查开展前，收集相关的地方植物志、科考报告、文献、高清遥感影像、林业调查数据、国土三调等基础资料，充分掌握评价区域的地理位置、水热条件、地形地貌、植被覆盖等基本情况。其次应用GIS技术判读调查范围内植被分布情况。最后结合高清遥感图像和调查范围实际情况，选取具有代表性的斑块作为实地调查区域。</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②样方调查与数据统计</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植物群落调查结果统计表参照《环境影响评价技术导则生态影响》（HJ19-2022）中的</w:t>
      </w:r>
      <w:r>
        <w:rPr>
          <w:rStyle w:val="64"/>
          <w:rFonts w:hint="eastAsia" w:cs="宋体"/>
          <w:color w:val="auto"/>
          <w:sz w:val="24"/>
          <w:szCs w:val="24"/>
          <w:highlight w:val="none"/>
          <w:lang w:val="zh-TW" w:eastAsia="zh-CN"/>
        </w:rPr>
        <w:t>“</w:t>
      </w:r>
      <w:r>
        <w:rPr>
          <w:rStyle w:val="64"/>
          <w:rFonts w:hint="eastAsia" w:ascii="宋体" w:hAnsi="宋体" w:eastAsia="宋体" w:cs="宋体"/>
          <w:color w:val="auto"/>
          <w:sz w:val="24"/>
          <w:szCs w:val="24"/>
          <w:highlight w:val="none"/>
          <w:lang w:val="zh-TW" w:eastAsia="zh-TW"/>
        </w:rPr>
        <w:t>表B.1</w:t>
      </w:r>
      <w:r>
        <w:rPr>
          <w:rStyle w:val="64"/>
          <w:rFonts w:hint="eastAsia" w:cs="宋体"/>
          <w:color w:val="auto"/>
          <w:sz w:val="24"/>
          <w:szCs w:val="24"/>
          <w:highlight w:val="none"/>
          <w:lang w:val="zh-TW" w:eastAsia="zh-CN"/>
        </w:rPr>
        <w:t>”</w:t>
      </w:r>
      <w:r>
        <w:rPr>
          <w:rStyle w:val="64"/>
          <w:rFonts w:hint="eastAsia" w:ascii="宋体" w:hAnsi="宋体" w:eastAsia="宋体" w:cs="宋体"/>
          <w:color w:val="auto"/>
          <w:sz w:val="24"/>
          <w:szCs w:val="24"/>
          <w:highlight w:val="none"/>
          <w:lang w:val="zh-TW" w:eastAsia="zh-TW"/>
        </w:rPr>
        <w:t>。</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③植被类型的划分</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就实地调查得到的群丛样方记录表，按照相应的植被分类方法和体系对其进行划分。云南植被类型广义上分为自然植被和人工植被，其中自然植被主要类型（即植被型和植被亚型）的划分见表4.2.5-4，人工植被的类型则直接采用其群丛名称。根据上述划分结果，进一步梳理出植被分类系统表。</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依据《云南植被》中采用的分类系统，并参考《中国植被》和《云南森林》等重要植被专著，遵循群落学-生态学的分类原则。在植被分类过程中主要依据群落的种类组成，群落的生态外貌和结构，群落的动态和生态地理分布等方面特征。根据上述原则，本报告在植被分类过程中采用3个主级分类单位，即植被型（高级分类单位）、群系（中级分类单位）和群丛（低级分类单位），各级再根据实际增设亚级或辅助单位。</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植被高级分类单位一植被型：以群落生态外貌特征为依据，群落外貌和结构主要决定于优势种或标志种以及与之伴生的相关植物的生活型。一般群落主要结构单元中的优势种生活型相同或相似，水热条件要求一致的植物群落联合为植被型。植被型一般与气候带和垂直带相吻合，但由于地形地貌及土壤等因子作用，常常会形</w:t>
      </w:r>
      <w:r>
        <w:rPr>
          <w:rStyle w:val="64"/>
          <w:rFonts w:hint="eastAsia" w:asciiTheme="minorEastAsia" w:hAnsiTheme="minorEastAsia" w:eastAsiaTheme="minorEastAsia" w:cstheme="minorEastAsia"/>
          <w:color w:val="auto"/>
          <w:sz w:val="24"/>
          <w:szCs w:val="24"/>
          <w:highlight w:val="none"/>
          <w:lang w:val="zh-TW" w:eastAsia="zh-TW"/>
        </w:rPr>
        <w:t>成</w:t>
      </w:r>
      <w:r>
        <w:rPr>
          <w:rStyle w:val="64"/>
          <w:rFonts w:hint="eastAsia" w:asciiTheme="minorEastAsia" w:hAnsiTheme="minorEastAsia" w:eastAsiaTheme="minorEastAsia" w:cstheme="minorEastAsia"/>
          <w:color w:val="auto"/>
          <w:sz w:val="24"/>
          <w:szCs w:val="24"/>
          <w:highlight w:val="none"/>
          <w:lang w:val="zh-TW" w:eastAsia="zh-CN"/>
        </w:rPr>
        <w:t>“</w:t>
      </w:r>
      <w:r>
        <w:rPr>
          <w:rStyle w:val="64"/>
          <w:rFonts w:hint="eastAsia" w:asciiTheme="minorEastAsia" w:hAnsiTheme="minorEastAsia" w:eastAsiaTheme="minorEastAsia" w:cstheme="minorEastAsia"/>
          <w:color w:val="auto"/>
          <w:sz w:val="24"/>
          <w:szCs w:val="24"/>
          <w:highlight w:val="none"/>
          <w:lang w:val="zh-TW" w:eastAsia="zh-TW"/>
        </w:rPr>
        <w:t>隐域</w:t>
      </w:r>
      <w:r>
        <w:rPr>
          <w:rStyle w:val="64"/>
          <w:rFonts w:hint="eastAsia" w:asciiTheme="minorEastAsia" w:hAnsiTheme="minorEastAsia" w:eastAsiaTheme="minorEastAsia" w:cstheme="minorEastAsia"/>
          <w:color w:val="auto"/>
          <w:sz w:val="24"/>
          <w:szCs w:val="24"/>
          <w:highlight w:val="none"/>
          <w:lang w:val="zh-TW" w:eastAsia="zh-CN"/>
        </w:rPr>
        <w:t>”</w:t>
      </w:r>
      <w:r>
        <w:rPr>
          <w:rStyle w:val="64"/>
          <w:rFonts w:hint="eastAsia" w:asciiTheme="minorEastAsia" w:hAnsiTheme="minorEastAsia" w:eastAsiaTheme="minorEastAsia" w:cstheme="minorEastAsia"/>
          <w:color w:val="auto"/>
          <w:sz w:val="24"/>
          <w:szCs w:val="24"/>
          <w:highlight w:val="none"/>
          <w:lang w:val="zh-TW" w:eastAsia="zh-TW"/>
        </w:rPr>
        <w:t>植</w:t>
      </w:r>
      <w:r>
        <w:rPr>
          <w:rStyle w:val="64"/>
          <w:rFonts w:hint="default" w:ascii="Times New Roman" w:hAnsi="Times New Roman" w:eastAsia="宋体" w:cs="Times New Roman"/>
          <w:color w:val="auto"/>
          <w:sz w:val="24"/>
          <w:szCs w:val="24"/>
          <w:highlight w:val="none"/>
          <w:lang w:val="zh-TW" w:eastAsia="zh-TW"/>
        </w:rPr>
        <w:t>被。</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植被中级分类单位一群系；在群落结构和外貌特征相同的前提下，以主要层优势种（建群种）或共建种为依据。群落的基本特征取决于群落主要层次的优势种或标志种，采用优势种或标志种为植被类型分类的基本原则，能够简明快速地判定植被类型。因此群系的命名以优势种、建群种和标志种来命名。</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植被基本分类单位一群丛；是植被分类中的最基本的分类单位。凡属于同一植物群丛的各个具体植物群落应具有共同</w:t>
      </w:r>
      <w:r>
        <w:rPr>
          <w:rStyle w:val="64"/>
          <w:rFonts w:hint="eastAsia" w:ascii="Times New Roman" w:hAnsi="Times New Roman" w:cs="Times New Roman"/>
          <w:color w:val="auto"/>
          <w:sz w:val="24"/>
          <w:szCs w:val="24"/>
          <w:highlight w:val="none"/>
          <w:lang w:val="zh-TW" w:eastAsia="zh-CN"/>
        </w:rPr>
        <w:t>生长</w:t>
      </w:r>
      <w:r>
        <w:rPr>
          <w:rStyle w:val="64"/>
          <w:rFonts w:hint="default" w:ascii="Times New Roman" w:hAnsi="Times New Roman" w:eastAsia="宋体" w:cs="Times New Roman"/>
          <w:color w:val="auto"/>
          <w:sz w:val="24"/>
          <w:szCs w:val="24"/>
          <w:highlight w:val="none"/>
          <w:lang w:val="zh-TW" w:eastAsia="zh-TW"/>
        </w:rPr>
        <w:t>的植物种类组成和标志群丛的共同植物种类，群落的结构特征，生态特征，层片配置，季相变化和群落生态外貌相同；以及处于相似的生境，在群落动态方面则是处于相同的演替阶段。另外群丛应该具有一定的分布区。</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0000FF"/>
          <w:sz w:val="24"/>
          <w:szCs w:val="24"/>
          <w:highlight w:val="none"/>
          <w:lang w:val="zh-TW" w:eastAsia="zh-TW"/>
        </w:rPr>
      </w:pPr>
      <w:r>
        <w:rPr>
          <w:rStyle w:val="64"/>
          <w:rFonts w:hint="default" w:ascii="Times New Roman" w:hAnsi="Times New Roman" w:eastAsia="宋体" w:cs="Times New Roman"/>
          <w:color w:val="0000FF"/>
          <w:sz w:val="24"/>
          <w:szCs w:val="24"/>
          <w:highlight w:val="none"/>
          <w:lang w:val="zh-TW" w:eastAsia="zh-TW"/>
        </w:rPr>
        <w:t>④植物样方、样线设置</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0000FF"/>
          <w:sz w:val="24"/>
          <w:szCs w:val="24"/>
          <w:highlight w:val="none"/>
          <w:lang w:val="zh-TW" w:eastAsia="zh-TW"/>
        </w:rPr>
      </w:pPr>
      <w:r>
        <w:rPr>
          <w:rStyle w:val="64"/>
          <w:rFonts w:hint="default" w:ascii="Times New Roman" w:hAnsi="Times New Roman" w:eastAsia="宋体" w:cs="Times New Roman"/>
          <w:color w:val="0000FF"/>
          <w:sz w:val="24"/>
          <w:szCs w:val="24"/>
          <w:highlight w:val="none"/>
          <w:lang w:val="zh-TW" w:eastAsia="zh-TW"/>
        </w:rPr>
        <w:t>调查评价区内植被类型及植物物种，重点关注珍稀濒危保护物种、特有种以及具有重要经济和科研价值的物种。陆生植物和植被采用路线调查和样方统计相结合的办法，采取线路调查方法确定种类，样方法调查植物群落。</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0000FF"/>
          <w:sz w:val="24"/>
          <w:szCs w:val="24"/>
          <w:highlight w:val="none"/>
          <w:lang w:val="zh-TW" w:eastAsia="zh-TW"/>
        </w:rPr>
      </w:pPr>
      <w:r>
        <w:rPr>
          <w:rStyle w:val="64"/>
          <w:rFonts w:hint="default" w:ascii="Times New Roman" w:hAnsi="Times New Roman" w:eastAsia="宋体" w:cs="Times New Roman"/>
          <w:color w:val="0000FF"/>
          <w:sz w:val="24"/>
          <w:szCs w:val="24"/>
          <w:highlight w:val="none"/>
          <w:lang w:val="zh-TW" w:eastAsia="zh-TW"/>
        </w:rPr>
        <w:t>样方面积大小不小于群落最小样方面积，一般森林群落的样方中，样方大小阔叶林面积为600m</w:t>
      </w:r>
      <w:r>
        <w:rPr>
          <w:rStyle w:val="64"/>
          <w:rFonts w:hint="default" w:ascii="Times New Roman" w:hAnsi="Times New Roman" w:eastAsia="宋体" w:cs="Times New Roman"/>
          <w:color w:val="0000FF"/>
          <w:sz w:val="24"/>
          <w:szCs w:val="24"/>
          <w:highlight w:val="none"/>
          <w:vertAlign w:val="superscript"/>
          <w:lang w:val="zh-TW" w:eastAsia="zh-TW"/>
        </w:rPr>
        <w:t>2</w:t>
      </w:r>
      <w:r>
        <w:rPr>
          <w:rStyle w:val="64"/>
          <w:rFonts w:hint="default" w:ascii="Times New Roman" w:hAnsi="Times New Roman" w:eastAsia="宋体" w:cs="Times New Roman"/>
          <w:color w:val="0000FF"/>
          <w:sz w:val="24"/>
          <w:szCs w:val="24"/>
          <w:highlight w:val="none"/>
          <w:lang w:val="zh-TW" w:eastAsia="zh-TW"/>
        </w:rPr>
        <w:t>，针叶林面积为400m</w:t>
      </w:r>
      <w:r>
        <w:rPr>
          <w:rStyle w:val="64"/>
          <w:rFonts w:hint="default" w:ascii="Times New Roman" w:hAnsi="Times New Roman" w:eastAsia="宋体" w:cs="Times New Roman"/>
          <w:color w:val="0000FF"/>
          <w:sz w:val="24"/>
          <w:szCs w:val="24"/>
          <w:highlight w:val="none"/>
          <w:vertAlign w:val="superscript"/>
          <w:lang w:val="zh-TW" w:eastAsia="zh-TW"/>
        </w:rPr>
        <w:t>2</w:t>
      </w:r>
      <w:r>
        <w:rPr>
          <w:rStyle w:val="64"/>
          <w:rFonts w:hint="default" w:ascii="Times New Roman" w:hAnsi="Times New Roman" w:eastAsia="宋体" w:cs="Times New Roman"/>
          <w:color w:val="0000FF"/>
          <w:sz w:val="24"/>
          <w:szCs w:val="24"/>
          <w:highlight w:val="none"/>
          <w:lang w:val="zh-TW" w:eastAsia="zh-TW"/>
        </w:rPr>
        <w:t>，灌丛、草地、湿地群落的样方面积100m</w:t>
      </w:r>
      <w:r>
        <w:rPr>
          <w:rStyle w:val="64"/>
          <w:rFonts w:hint="default" w:ascii="Times New Roman" w:hAnsi="Times New Roman" w:eastAsia="宋体" w:cs="Times New Roman"/>
          <w:color w:val="0000FF"/>
          <w:sz w:val="24"/>
          <w:szCs w:val="24"/>
          <w:highlight w:val="none"/>
          <w:vertAlign w:val="superscript"/>
          <w:lang w:val="zh-TW" w:eastAsia="zh-TW"/>
        </w:rPr>
        <w:t>2</w:t>
      </w:r>
      <w:r>
        <w:rPr>
          <w:rStyle w:val="64"/>
          <w:rFonts w:hint="default" w:ascii="Times New Roman" w:hAnsi="Times New Roman" w:eastAsia="宋体" w:cs="Times New Roman"/>
          <w:color w:val="0000FF"/>
          <w:sz w:val="24"/>
          <w:szCs w:val="24"/>
          <w:highlight w:val="none"/>
          <w:lang w:val="zh-TW" w:eastAsia="zh-TW"/>
        </w:rPr>
        <w:t>。根据现场踏查情况，</w:t>
      </w:r>
      <w:r>
        <w:rPr>
          <w:rStyle w:val="64"/>
          <w:rFonts w:hint="eastAsia" w:ascii="Times New Roman" w:hAnsi="Times New Roman" w:cs="Times New Roman"/>
          <w:color w:val="0000FF"/>
          <w:sz w:val="24"/>
          <w:szCs w:val="24"/>
          <w:highlight w:val="none"/>
          <w:lang w:val="en-US" w:eastAsia="zh-CN"/>
        </w:rPr>
        <w:t>按照调查区域分布的植被类型，</w:t>
      </w:r>
      <w:r>
        <w:rPr>
          <w:rStyle w:val="64"/>
          <w:rFonts w:hint="default" w:ascii="Times New Roman" w:hAnsi="Times New Roman" w:eastAsia="宋体" w:cs="Times New Roman"/>
          <w:color w:val="0000FF"/>
          <w:sz w:val="24"/>
          <w:szCs w:val="24"/>
          <w:highlight w:val="none"/>
          <w:lang w:val="zh-TW" w:eastAsia="zh-TW"/>
        </w:rPr>
        <w:t>选取典型</w:t>
      </w:r>
      <w:r>
        <w:rPr>
          <w:rStyle w:val="64"/>
          <w:rFonts w:hint="eastAsia" w:ascii="Times New Roman" w:hAnsi="Times New Roman" w:cs="Times New Roman"/>
          <w:color w:val="0000FF"/>
          <w:sz w:val="24"/>
          <w:szCs w:val="24"/>
          <w:highlight w:val="none"/>
          <w:lang w:val="en-US" w:eastAsia="zh-CN"/>
        </w:rPr>
        <w:t>自然</w:t>
      </w:r>
      <w:r>
        <w:rPr>
          <w:rStyle w:val="64"/>
          <w:rFonts w:hint="default" w:ascii="Times New Roman" w:hAnsi="Times New Roman" w:eastAsia="宋体" w:cs="Times New Roman"/>
          <w:color w:val="0000FF"/>
          <w:sz w:val="24"/>
          <w:szCs w:val="24"/>
          <w:highlight w:val="none"/>
          <w:lang w:val="zh-TW" w:eastAsia="zh-TW"/>
        </w:rPr>
        <w:t>群落布设样方，样方设置涵盖调查范围内不同的植被类型及生境类型，</w:t>
      </w:r>
      <w:r>
        <w:rPr>
          <w:rStyle w:val="64"/>
          <w:rFonts w:hint="eastAsia" w:ascii="Times New Roman" w:hAnsi="Times New Roman" w:cs="Times New Roman"/>
          <w:color w:val="0000FF"/>
          <w:sz w:val="24"/>
          <w:szCs w:val="24"/>
          <w:highlight w:val="none"/>
          <w:lang w:val="en-US" w:eastAsia="zh-CN"/>
        </w:rPr>
        <w:t>其中农田系统较单一，</w:t>
      </w:r>
      <w:r>
        <w:rPr>
          <w:rStyle w:val="64"/>
          <w:rFonts w:hint="default" w:ascii="Times New Roman" w:hAnsi="Times New Roman" w:eastAsia="宋体" w:cs="Times New Roman"/>
          <w:color w:val="0000FF"/>
          <w:sz w:val="24"/>
          <w:szCs w:val="24"/>
          <w:highlight w:val="none"/>
          <w:lang w:val="zh-TW" w:eastAsia="zh-TW"/>
        </w:rPr>
        <w:t>未作样地表述。</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eastAsia" w:ascii="Times New Roman" w:hAnsi="Times New Roman" w:cs="Times New Roman"/>
          <w:color w:val="0000FF"/>
          <w:sz w:val="24"/>
          <w:szCs w:val="24"/>
          <w:highlight w:val="none"/>
          <w:lang w:val="en-US" w:eastAsia="zh-CN"/>
        </w:rPr>
        <w:t>本次调查共</w:t>
      </w:r>
      <w:r>
        <w:rPr>
          <w:rStyle w:val="64"/>
          <w:rFonts w:hint="default" w:ascii="Times New Roman" w:hAnsi="Times New Roman" w:eastAsia="宋体" w:cs="Times New Roman"/>
          <w:color w:val="0000FF"/>
          <w:sz w:val="24"/>
          <w:szCs w:val="24"/>
          <w:highlight w:val="none"/>
          <w:lang w:val="zh-TW" w:eastAsia="zh-TW"/>
        </w:rPr>
        <w:t>设置样方12个，</w:t>
      </w:r>
      <w:r>
        <w:rPr>
          <w:rStyle w:val="64"/>
          <w:rFonts w:hint="eastAsia" w:ascii="Times New Roman" w:hAnsi="Times New Roman" w:cs="Times New Roman"/>
          <w:color w:val="0000FF"/>
          <w:sz w:val="24"/>
          <w:szCs w:val="24"/>
          <w:highlight w:val="none"/>
          <w:lang w:val="en-US" w:eastAsia="zh-CN"/>
        </w:rPr>
        <w:t>包括</w:t>
      </w:r>
      <w:r>
        <w:rPr>
          <w:rStyle w:val="64"/>
          <w:rFonts w:hint="default" w:ascii="Times New Roman" w:hAnsi="Times New Roman" w:eastAsia="宋体" w:cs="Times New Roman"/>
          <w:color w:val="0000FF"/>
          <w:sz w:val="24"/>
          <w:szCs w:val="24"/>
          <w:highlight w:val="none"/>
          <w:lang w:val="zh-TW" w:eastAsia="zh-TW"/>
        </w:rPr>
        <w:t>干热性稀树灌木草丛3个、干热河谷灌丛6个和暖温性针叶林3个（样方设置见植被样方设置明细表）</w:t>
      </w:r>
      <w:r>
        <w:rPr>
          <w:rStyle w:val="64"/>
          <w:rFonts w:hint="eastAsia" w:ascii="Times New Roman" w:hAnsi="Times New Roman" w:cs="Times New Roman"/>
          <w:color w:val="0000FF"/>
          <w:sz w:val="24"/>
          <w:szCs w:val="24"/>
          <w:highlight w:val="none"/>
          <w:lang w:val="zh-TW" w:eastAsia="zh-CN"/>
        </w:rPr>
        <w:t>，</w:t>
      </w:r>
      <w:r>
        <w:rPr>
          <w:rStyle w:val="64"/>
          <w:rFonts w:hint="default" w:ascii="Times New Roman" w:hAnsi="Times New Roman" w:eastAsia="宋体" w:cs="Times New Roman"/>
          <w:color w:val="0000FF"/>
          <w:sz w:val="24"/>
          <w:szCs w:val="24"/>
          <w:highlight w:val="none"/>
          <w:lang w:val="zh-TW" w:eastAsia="zh-TW"/>
        </w:rPr>
        <w:t>植被调查的同时，记下植物物种的组成、高度、盖度和多度。</w:t>
      </w:r>
      <w:r>
        <w:rPr>
          <w:rStyle w:val="64"/>
          <w:rFonts w:hint="eastAsia" w:ascii="Times New Roman" w:hAnsi="Times New Roman" w:cs="Times New Roman"/>
          <w:color w:val="0000FF"/>
          <w:sz w:val="24"/>
          <w:szCs w:val="24"/>
          <w:highlight w:val="none"/>
          <w:lang w:val="en-US" w:eastAsia="zh-CN"/>
        </w:rPr>
        <w:t>样方设置数量能够满足导则对生态二级调查相关要求。</w:t>
      </w:r>
    </w:p>
    <w:p>
      <w:pPr>
        <w:pStyle w:val="62"/>
        <w:pageBreakBefore w:val="0"/>
        <w:widowControl w:val="0"/>
        <w:shd w:val="clear" w:color="auto"/>
        <w:kinsoku/>
        <w:wordWrap/>
        <w:overflowPunct/>
        <w:topLinePunct w:val="0"/>
        <w:autoSpaceDE/>
        <w:autoSpaceDN/>
        <w:bidi w:val="0"/>
        <w:adjustRightInd/>
        <w:snapToGrid/>
        <w:spacing w:before="0" w:beforeLines="0" w:after="0" w:afterLines="0" w:line="240" w:lineRule="auto"/>
        <w:ind w:right="0"/>
        <w:jc w:val="center"/>
        <w:textAlignment w:val="auto"/>
        <w:rPr>
          <w:rStyle w:val="64"/>
          <w:rFonts w:hint="default" w:ascii="Times New Roman" w:hAnsi="Times New Roman" w:cs="Times New Roman"/>
          <w:b/>
          <w:bCs/>
          <w:color w:val="auto"/>
          <w:sz w:val="24"/>
          <w:szCs w:val="24"/>
          <w:highlight w:val="none"/>
          <w:lang w:val="en-US" w:eastAsia="zh-CN"/>
        </w:rPr>
      </w:pPr>
      <w:r>
        <w:rPr>
          <w:rStyle w:val="64"/>
          <w:rFonts w:hint="default" w:ascii="Times New Roman" w:hAnsi="Times New Roman" w:cs="Times New Roman"/>
          <w:b/>
          <w:bCs/>
          <w:color w:val="auto"/>
          <w:sz w:val="24"/>
          <w:szCs w:val="24"/>
          <w:highlight w:val="none"/>
          <w:lang w:val="en-US" w:eastAsia="zh-CN"/>
        </w:rPr>
        <w:t>表4.2</w:t>
      </w:r>
      <w:r>
        <w:rPr>
          <w:rStyle w:val="64"/>
          <w:rFonts w:hint="eastAsia" w:ascii="Times New Roman" w:hAnsi="Times New Roman" w:cs="Times New Roman"/>
          <w:b/>
          <w:bCs/>
          <w:color w:val="auto"/>
          <w:sz w:val="24"/>
          <w:szCs w:val="24"/>
          <w:highlight w:val="none"/>
          <w:lang w:val="en-US" w:eastAsia="zh-CN"/>
        </w:rPr>
        <w:t>.5</w:t>
      </w:r>
      <w:r>
        <w:rPr>
          <w:rStyle w:val="64"/>
          <w:rFonts w:hint="default" w:ascii="Times New Roman" w:hAnsi="Times New Roman" w:cs="Times New Roman"/>
          <w:b/>
          <w:bCs/>
          <w:color w:val="auto"/>
          <w:sz w:val="24"/>
          <w:szCs w:val="24"/>
          <w:highlight w:val="none"/>
          <w:lang w:val="en-US" w:eastAsia="zh-CN"/>
        </w:rPr>
        <w:t>-1 评价区样方设置一览表</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43"/>
        <w:gridCol w:w="1398"/>
        <w:gridCol w:w="2917"/>
        <w:gridCol w:w="1923"/>
        <w:gridCol w:w="1060"/>
        <w:gridCol w:w="5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blHeader/>
        </w:trPr>
        <w:tc>
          <w:tcPr>
            <w:tcW w:w="410" w:type="pct"/>
            <w:shd w:val="clear" w:color="auto" w:fill="auto"/>
            <w:noWrap/>
            <w:vAlign w:val="center"/>
          </w:tcPr>
          <w:p>
            <w:pPr>
              <w:keepNext w:val="0"/>
              <w:keepLines w:val="0"/>
              <w:pageBreakBefore w:val="0"/>
              <w:widowControl/>
              <w:shd w:val="clear"/>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i w:val="0"/>
                <w:iCs w:val="0"/>
                <w:color w:val="auto"/>
                <w:sz w:val="21"/>
                <w:szCs w:val="21"/>
                <w:highlight w:val="none"/>
                <w:u w:val="none"/>
                <w:lang w:val="en-US" w:eastAsia="zh-CN"/>
              </w:rPr>
            </w:pPr>
            <w:r>
              <w:rPr>
                <w:rFonts w:hint="default" w:ascii="Times New Roman" w:hAnsi="Times New Roman" w:eastAsia="宋体" w:cs="Times New Roman"/>
                <w:b/>
                <w:bCs/>
                <w:i w:val="0"/>
                <w:iCs w:val="0"/>
                <w:color w:val="auto"/>
                <w:sz w:val="21"/>
                <w:szCs w:val="21"/>
                <w:highlight w:val="none"/>
                <w:u w:val="none"/>
                <w:lang w:val="en-US" w:eastAsia="zh-CN"/>
              </w:rPr>
              <w:t>样方号</w:t>
            </w:r>
          </w:p>
        </w:tc>
        <w:tc>
          <w:tcPr>
            <w:tcW w:w="917"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植被类型</w:t>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0000FF"/>
                <w:kern w:val="0"/>
                <w:sz w:val="21"/>
                <w:szCs w:val="21"/>
                <w:highlight w:val="none"/>
                <w:u w:val="none"/>
                <w:lang w:val="en-US" w:eastAsia="zh-CN" w:bidi="ar"/>
              </w:rPr>
            </w:pPr>
            <w:r>
              <w:rPr>
                <w:rFonts w:hint="eastAsia" w:cs="Times New Roman"/>
                <w:b/>
                <w:bCs/>
                <w:i w:val="0"/>
                <w:iCs w:val="0"/>
                <w:color w:val="0000FF"/>
                <w:kern w:val="0"/>
                <w:sz w:val="21"/>
                <w:szCs w:val="21"/>
                <w:highlight w:val="none"/>
                <w:u w:val="none"/>
                <w:lang w:val="en-US" w:eastAsia="zh-CN" w:bidi="ar"/>
              </w:rPr>
              <w:t>样方照片</w:t>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群系</w:t>
            </w:r>
          </w:p>
        </w:tc>
        <w:tc>
          <w:tcPr>
            <w:tcW w:w="753"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坐标</w:t>
            </w:r>
          </w:p>
        </w:tc>
        <w:tc>
          <w:tcPr>
            <w:tcW w:w="348"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海拔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10"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样方01</w:t>
            </w:r>
          </w:p>
        </w:tc>
        <w:tc>
          <w:tcPr>
            <w:tcW w:w="917"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干热河谷灌丛</w:t>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color w:val="0000FF"/>
              </w:rPr>
              <w:drawing>
                <wp:inline distT="0" distB="0" distL="114300" distR="114300">
                  <wp:extent cx="2617470" cy="1732280"/>
                  <wp:effectExtent l="0" t="0" r="11430" b="127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65"/>
                          <a:stretch>
                            <a:fillRect/>
                          </a:stretch>
                        </pic:blipFill>
                        <pic:spPr>
                          <a:xfrm>
                            <a:off x="0" y="0"/>
                            <a:ext cx="2617470" cy="1732280"/>
                          </a:xfrm>
                          <a:prstGeom prst="rect">
                            <a:avLst/>
                          </a:prstGeom>
                          <a:noFill/>
                          <a:ln>
                            <a:noFill/>
                          </a:ln>
                        </pic:spPr>
                      </pic:pic>
                    </a:graphicData>
                  </a:graphic>
                </wp:inline>
              </w:drawing>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锥连栎、光叶高山栎灌丛</w:t>
            </w:r>
          </w:p>
        </w:tc>
        <w:tc>
          <w:tcPr>
            <w:tcW w:w="753"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101.92335921°/</w:t>
            </w:r>
          </w:p>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26.10996502°</w:t>
            </w:r>
          </w:p>
        </w:tc>
        <w:tc>
          <w:tcPr>
            <w:tcW w:w="348"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2004m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10"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样方02</w:t>
            </w:r>
          </w:p>
        </w:tc>
        <w:tc>
          <w:tcPr>
            <w:tcW w:w="917"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暖温性针叶林</w:t>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color w:val="0000FF"/>
              </w:rPr>
              <w:drawing>
                <wp:inline distT="0" distB="0" distL="114300" distR="114300">
                  <wp:extent cx="2563495" cy="1694180"/>
                  <wp:effectExtent l="0" t="0" r="8255" b="127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66"/>
                          <a:stretch>
                            <a:fillRect/>
                          </a:stretch>
                        </pic:blipFill>
                        <pic:spPr>
                          <a:xfrm>
                            <a:off x="0" y="0"/>
                            <a:ext cx="2563495" cy="1694180"/>
                          </a:xfrm>
                          <a:prstGeom prst="rect">
                            <a:avLst/>
                          </a:prstGeom>
                          <a:noFill/>
                          <a:ln>
                            <a:noFill/>
                          </a:ln>
                        </pic:spPr>
                      </pic:pic>
                    </a:graphicData>
                  </a:graphic>
                </wp:inline>
              </w:drawing>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云南松、滇油杉林</w:t>
            </w:r>
          </w:p>
        </w:tc>
        <w:tc>
          <w:tcPr>
            <w:tcW w:w="753"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101.92865502°/</w:t>
            </w:r>
          </w:p>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26.09542018°</w:t>
            </w:r>
          </w:p>
        </w:tc>
        <w:tc>
          <w:tcPr>
            <w:tcW w:w="348"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1888m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10"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样方03</w:t>
            </w:r>
          </w:p>
        </w:tc>
        <w:tc>
          <w:tcPr>
            <w:tcW w:w="917"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干热河谷灌丛</w:t>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color w:val="0000FF"/>
              </w:rPr>
              <w:drawing>
                <wp:inline distT="0" distB="0" distL="114300" distR="114300">
                  <wp:extent cx="2582545" cy="1568450"/>
                  <wp:effectExtent l="0" t="0" r="8255" b="1270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67"/>
                          <a:stretch>
                            <a:fillRect/>
                          </a:stretch>
                        </pic:blipFill>
                        <pic:spPr>
                          <a:xfrm>
                            <a:off x="0" y="0"/>
                            <a:ext cx="2582545" cy="1568450"/>
                          </a:xfrm>
                          <a:prstGeom prst="rect">
                            <a:avLst/>
                          </a:prstGeom>
                          <a:noFill/>
                          <a:ln>
                            <a:noFill/>
                          </a:ln>
                        </pic:spPr>
                      </pic:pic>
                    </a:graphicData>
                  </a:graphic>
                </wp:inline>
              </w:drawing>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锥连栎、光叶高山栎灌丛</w:t>
            </w:r>
          </w:p>
        </w:tc>
        <w:tc>
          <w:tcPr>
            <w:tcW w:w="753"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101.93431354°/</w:t>
            </w:r>
          </w:p>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26.09007093°</w:t>
            </w:r>
          </w:p>
        </w:tc>
        <w:tc>
          <w:tcPr>
            <w:tcW w:w="348"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1875m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10"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样方04</w:t>
            </w:r>
          </w:p>
        </w:tc>
        <w:tc>
          <w:tcPr>
            <w:tcW w:w="917"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干热性稀树灌木草丛</w:t>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color w:val="0000FF"/>
              </w:rPr>
              <w:drawing>
                <wp:inline distT="0" distB="0" distL="114300" distR="114300">
                  <wp:extent cx="2359660" cy="1549400"/>
                  <wp:effectExtent l="0" t="0" r="2540" b="1270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68"/>
                          <a:stretch>
                            <a:fillRect/>
                          </a:stretch>
                        </pic:blipFill>
                        <pic:spPr>
                          <a:xfrm>
                            <a:off x="0" y="0"/>
                            <a:ext cx="2359660" cy="1549400"/>
                          </a:xfrm>
                          <a:prstGeom prst="rect">
                            <a:avLst/>
                          </a:prstGeom>
                          <a:noFill/>
                          <a:ln>
                            <a:noFill/>
                          </a:ln>
                        </pic:spPr>
                      </pic:pic>
                    </a:graphicData>
                  </a:graphic>
                </wp:inline>
              </w:drawing>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含余甘子、扭黄茅的中草草丛</w:t>
            </w:r>
          </w:p>
        </w:tc>
        <w:tc>
          <w:tcPr>
            <w:tcW w:w="753"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101.85242538°/</w:t>
            </w:r>
          </w:p>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26.02897605°</w:t>
            </w:r>
          </w:p>
        </w:tc>
        <w:tc>
          <w:tcPr>
            <w:tcW w:w="348"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1484m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10"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样方05</w:t>
            </w:r>
          </w:p>
        </w:tc>
        <w:tc>
          <w:tcPr>
            <w:tcW w:w="917"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干热河谷灌丛</w:t>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color w:val="0000FF"/>
              </w:rPr>
              <w:drawing>
                <wp:inline distT="0" distB="0" distL="114300" distR="114300">
                  <wp:extent cx="2597150" cy="1713230"/>
                  <wp:effectExtent l="0" t="0" r="12700" b="127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69"/>
                          <a:stretch>
                            <a:fillRect/>
                          </a:stretch>
                        </pic:blipFill>
                        <pic:spPr>
                          <a:xfrm>
                            <a:off x="0" y="0"/>
                            <a:ext cx="2597150" cy="1713230"/>
                          </a:xfrm>
                          <a:prstGeom prst="rect">
                            <a:avLst/>
                          </a:prstGeom>
                          <a:noFill/>
                          <a:ln>
                            <a:noFill/>
                          </a:ln>
                        </pic:spPr>
                      </pic:pic>
                    </a:graphicData>
                  </a:graphic>
                </wp:inline>
              </w:drawing>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华西小石积、车桑子灌丛</w:t>
            </w:r>
          </w:p>
        </w:tc>
        <w:tc>
          <w:tcPr>
            <w:tcW w:w="753"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101.87551243°/</w:t>
            </w:r>
          </w:p>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26.05069371°</w:t>
            </w:r>
          </w:p>
        </w:tc>
        <w:tc>
          <w:tcPr>
            <w:tcW w:w="348"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1855m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10"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样方08</w:t>
            </w:r>
          </w:p>
        </w:tc>
        <w:tc>
          <w:tcPr>
            <w:tcW w:w="917"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干热性稀树灌木草丛</w:t>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color w:val="0000FF"/>
              </w:rPr>
              <w:drawing>
                <wp:inline distT="0" distB="0" distL="114300" distR="114300">
                  <wp:extent cx="2574290" cy="1708785"/>
                  <wp:effectExtent l="0" t="0" r="16510" b="571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70"/>
                          <a:stretch>
                            <a:fillRect/>
                          </a:stretch>
                        </pic:blipFill>
                        <pic:spPr>
                          <a:xfrm>
                            <a:off x="0" y="0"/>
                            <a:ext cx="2574290" cy="1708785"/>
                          </a:xfrm>
                          <a:prstGeom prst="rect">
                            <a:avLst/>
                          </a:prstGeom>
                          <a:noFill/>
                          <a:ln>
                            <a:noFill/>
                          </a:ln>
                        </pic:spPr>
                      </pic:pic>
                    </a:graphicData>
                  </a:graphic>
                </wp:inline>
              </w:drawing>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含余甘子、扭黄茅的中草草丛</w:t>
            </w:r>
          </w:p>
        </w:tc>
        <w:tc>
          <w:tcPr>
            <w:tcW w:w="753"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101.86463675°/</w:t>
            </w:r>
          </w:p>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26.05762523°</w:t>
            </w:r>
          </w:p>
        </w:tc>
        <w:tc>
          <w:tcPr>
            <w:tcW w:w="348"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1878m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10"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样方09</w:t>
            </w:r>
          </w:p>
        </w:tc>
        <w:tc>
          <w:tcPr>
            <w:tcW w:w="917"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干热河谷灌丛</w:t>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color w:val="0000FF"/>
              </w:rPr>
              <w:drawing>
                <wp:inline distT="0" distB="0" distL="114300" distR="114300">
                  <wp:extent cx="2640330" cy="1727200"/>
                  <wp:effectExtent l="0" t="0" r="7620" b="635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71"/>
                          <a:stretch>
                            <a:fillRect/>
                          </a:stretch>
                        </pic:blipFill>
                        <pic:spPr>
                          <a:xfrm>
                            <a:off x="0" y="0"/>
                            <a:ext cx="2640330" cy="1727200"/>
                          </a:xfrm>
                          <a:prstGeom prst="rect">
                            <a:avLst/>
                          </a:prstGeom>
                          <a:noFill/>
                          <a:ln>
                            <a:noFill/>
                          </a:ln>
                        </pic:spPr>
                      </pic:pic>
                    </a:graphicData>
                  </a:graphic>
                </wp:inline>
              </w:drawing>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华西小石积、车桑子灌丛</w:t>
            </w:r>
          </w:p>
        </w:tc>
        <w:tc>
          <w:tcPr>
            <w:tcW w:w="753"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101.90583479°/</w:t>
            </w:r>
          </w:p>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26.07495456°</w:t>
            </w:r>
          </w:p>
        </w:tc>
        <w:tc>
          <w:tcPr>
            <w:tcW w:w="348"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1913m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10"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样方10</w:t>
            </w:r>
          </w:p>
        </w:tc>
        <w:tc>
          <w:tcPr>
            <w:tcW w:w="917"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暖温性针叶林</w:t>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color w:val="0000FF"/>
              </w:rPr>
              <w:drawing>
                <wp:inline distT="0" distB="0" distL="114300" distR="114300">
                  <wp:extent cx="2629535" cy="1730375"/>
                  <wp:effectExtent l="0" t="0" r="18415" b="317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72"/>
                          <a:stretch>
                            <a:fillRect/>
                          </a:stretch>
                        </pic:blipFill>
                        <pic:spPr>
                          <a:xfrm>
                            <a:off x="0" y="0"/>
                            <a:ext cx="2629535" cy="1730375"/>
                          </a:xfrm>
                          <a:prstGeom prst="rect">
                            <a:avLst/>
                          </a:prstGeom>
                          <a:noFill/>
                          <a:ln>
                            <a:noFill/>
                          </a:ln>
                        </pic:spPr>
                      </pic:pic>
                    </a:graphicData>
                  </a:graphic>
                </wp:inline>
              </w:drawing>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云南松、滇油杉林</w:t>
            </w:r>
          </w:p>
        </w:tc>
        <w:tc>
          <w:tcPr>
            <w:tcW w:w="753"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101.90343183°/</w:t>
            </w:r>
          </w:p>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26.04901029°</w:t>
            </w:r>
          </w:p>
        </w:tc>
        <w:tc>
          <w:tcPr>
            <w:tcW w:w="348"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1797m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10"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样方11</w:t>
            </w:r>
          </w:p>
        </w:tc>
        <w:tc>
          <w:tcPr>
            <w:tcW w:w="917"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暖温性针叶林</w:t>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color w:val="0000FF"/>
              </w:rPr>
              <w:drawing>
                <wp:inline distT="0" distB="0" distL="114300" distR="114300">
                  <wp:extent cx="2637790" cy="1737995"/>
                  <wp:effectExtent l="0" t="0" r="10160" b="1460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73"/>
                          <a:stretch>
                            <a:fillRect/>
                          </a:stretch>
                        </pic:blipFill>
                        <pic:spPr>
                          <a:xfrm>
                            <a:off x="0" y="0"/>
                            <a:ext cx="2637790" cy="1737995"/>
                          </a:xfrm>
                          <a:prstGeom prst="rect">
                            <a:avLst/>
                          </a:prstGeom>
                          <a:noFill/>
                          <a:ln>
                            <a:noFill/>
                          </a:ln>
                        </pic:spPr>
                      </pic:pic>
                    </a:graphicData>
                  </a:graphic>
                </wp:inline>
              </w:drawing>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云南松、滇油杉林</w:t>
            </w:r>
          </w:p>
        </w:tc>
        <w:tc>
          <w:tcPr>
            <w:tcW w:w="753"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101.91780761°/</w:t>
            </w:r>
          </w:p>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26.01990884°</w:t>
            </w:r>
          </w:p>
        </w:tc>
        <w:tc>
          <w:tcPr>
            <w:tcW w:w="348"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1910m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10"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样方12</w:t>
            </w:r>
          </w:p>
        </w:tc>
        <w:tc>
          <w:tcPr>
            <w:tcW w:w="917"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干热性稀树灌木草丛</w:t>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color w:val="0000FF"/>
              </w:rPr>
              <w:drawing>
                <wp:inline distT="0" distB="0" distL="114300" distR="114300">
                  <wp:extent cx="2726055" cy="1676400"/>
                  <wp:effectExtent l="0" t="0" r="17145"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74"/>
                          <a:stretch>
                            <a:fillRect/>
                          </a:stretch>
                        </pic:blipFill>
                        <pic:spPr>
                          <a:xfrm>
                            <a:off x="0" y="0"/>
                            <a:ext cx="2726055" cy="1676400"/>
                          </a:xfrm>
                          <a:prstGeom prst="rect">
                            <a:avLst/>
                          </a:prstGeom>
                          <a:noFill/>
                          <a:ln>
                            <a:noFill/>
                          </a:ln>
                        </pic:spPr>
                      </pic:pic>
                    </a:graphicData>
                  </a:graphic>
                </wp:inline>
              </w:drawing>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含余甘子、扭黄茅的中草草丛</w:t>
            </w:r>
          </w:p>
        </w:tc>
        <w:tc>
          <w:tcPr>
            <w:tcW w:w="753"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101.88118534°/</w:t>
            </w:r>
          </w:p>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26.03520689°</w:t>
            </w:r>
          </w:p>
        </w:tc>
        <w:tc>
          <w:tcPr>
            <w:tcW w:w="348"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1578m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10"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样方13</w:t>
            </w:r>
          </w:p>
        </w:tc>
        <w:tc>
          <w:tcPr>
            <w:tcW w:w="917"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干热河谷灌丛</w:t>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color w:val="0000FF"/>
              </w:rPr>
              <w:drawing>
                <wp:inline distT="0" distB="0" distL="114300" distR="114300">
                  <wp:extent cx="2577465" cy="1698625"/>
                  <wp:effectExtent l="0" t="0" r="13335" b="1587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75"/>
                          <a:stretch>
                            <a:fillRect/>
                          </a:stretch>
                        </pic:blipFill>
                        <pic:spPr>
                          <a:xfrm>
                            <a:off x="0" y="0"/>
                            <a:ext cx="2577465" cy="1698625"/>
                          </a:xfrm>
                          <a:prstGeom prst="rect">
                            <a:avLst/>
                          </a:prstGeom>
                          <a:noFill/>
                          <a:ln>
                            <a:noFill/>
                          </a:ln>
                        </pic:spPr>
                      </pic:pic>
                    </a:graphicData>
                  </a:graphic>
                </wp:inline>
              </w:drawing>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华西小石积、车桑子灌丛</w:t>
            </w:r>
          </w:p>
        </w:tc>
        <w:tc>
          <w:tcPr>
            <w:tcW w:w="753"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101.8620145°/</w:t>
            </w:r>
          </w:p>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26.04141645°</w:t>
            </w:r>
          </w:p>
        </w:tc>
        <w:tc>
          <w:tcPr>
            <w:tcW w:w="348"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1690m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410"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样方14</w:t>
            </w:r>
          </w:p>
        </w:tc>
        <w:tc>
          <w:tcPr>
            <w:tcW w:w="917"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干热河谷灌丛</w:t>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color w:val="0000FF"/>
              </w:rPr>
              <w:drawing>
                <wp:inline distT="0" distB="0" distL="114300" distR="114300">
                  <wp:extent cx="2688590" cy="1771650"/>
                  <wp:effectExtent l="0" t="0" r="1651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76"/>
                          <a:stretch>
                            <a:fillRect/>
                          </a:stretch>
                        </pic:blipFill>
                        <pic:spPr>
                          <a:xfrm>
                            <a:off x="0" y="0"/>
                            <a:ext cx="2688590" cy="1771650"/>
                          </a:xfrm>
                          <a:prstGeom prst="rect">
                            <a:avLst/>
                          </a:prstGeom>
                          <a:noFill/>
                          <a:ln>
                            <a:noFill/>
                          </a:ln>
                        </pic:spPr>
                      </pic:pic>
                    </a:graphicData>
                  </a:graphic>
                </wp:inline>
              </w:drawing>
            </w:r>
          </w:p>
        </w:tc>
        <w:tc>
          <w:tcPr>
            <w:tcW w:w="1284"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锥连栎、光叶高山栎灌丛</w:t>
            </w:r>
          </w:p>
        </w:tc>
        <w:tc>
          <w:tcPr>
            <w:tcW w:w="753"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101.91353905°/</w:t>
            </w:r>
          </w:p>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26.02158065°</w:t>
            </w:r>
          </w:p>
        </w:tc>
        <w:tc>
          <w:tcPr>
            <w:tcW w:w="348" w:type="pct"/>
            <w:shd w:val="clear" w:color="auto" w:fill="auto"/>
            <w:noWrap/>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1861m</w:t>
            </w:r>
          </w:p>
        </w:tc>
      </w:tr>
    </w:tbl>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2" w:firstLineChars="200"/>
        <w:jc w:val="both"/>
        <w:textAlignment w:val="auto"/>
        <w:rPr>
          <w:rFonts w:hint="default" w:ascii="Times New Roman" w:hAnsi="Times New Roman" w:eastAsia="宋体" w:cs="Times New Roman"/>
          <w:b/>
          <w:bCs/>
          <w:color w:val="auto"/>
          <w:sz w:val="24"/>
          <w:szCs w:val="24"/>
          <w:highlight w:val="none"/>
        </w:rPr>
      </w:pPr>
      <w:r>
        <w:rPr>
          <w:rStyle w:val="64"/>
          <w:rFonts w:hint="eastAsia" w:ascii="Times New Roman" w:hAnsi="Times New Roman" w:cs="Times New Roman"/>
          <w:b/>
          <w:bCs/>
          <w:color w:val="auto"/>
          <w:sz w:val="24"/>
          <w:szCs w:val="24"/>
          <w:highlight w:val="none"/>
          <w:lang w:val="en-US" w:eastAsia="zh-CN"/>
        </w:rPr>
        <w:t>⑤</w:t>
      </w:r>
      <w:r>
        <w:rPr>
          <w:rStyle w:val="64"/>
          <w:rFonts w:hint="default" w:ascii="Times New Roman" w:hAnsi="Times New Roman" w:eastAsia="宋体" w:cs="Times New Roman"/>
          <w:b/>
          <w:bCs/>
          <w:color w:val="auto"/>
          <w:sz w:val="24"/>
          <w:szCs w:val="24"/>
          <w:highlight w:val="none"/>
          <w:lang w:val="zh-TW" w:eastAsia="zh-TW"/>
        </w:rPr>
        <w:t>植物种类调查</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Style w:val="64"/>
          <w:rFonts w:hint="default" w:ascii="Times New Roman" w:hAnsi="Times New Roman" w:eastAsia="宋体" w:cs="Times New Roman"/>
          <w:color w:val="auto"/>
          <w:sz w:val="24"/>
          <w:szCs w:val="24"/>
          <w:highlight w:val="none"/>
          <w:lang w:val="zh-TW" w:eastAsia="zh-TW"/>
        </w:rPr>
        <w:t>在调查过程中，确定评价区内的植物种类、经济植物的种类及资源状况、珍稀濒危植物的种类及生存状况等。在植物生长旺盛的典型地段按照每条样线不少于3km长度预设3条调查线路；同时根据生境类型（不同植被类型等）划分调查类型区，在不同类型区内预设调查线路，实地调查采取样线调查与重点调查相结合的方法，对于没有原生植被的区域采取路线调查，在重点区域以及植被状况良好的区域实行重点调查；对资源植物和珍稀濒危植物调查采取野外调查和民间访问、市场调查相结合的方法进行。在每条调查线路上随时记录沿途观察到的植物种类、生活型和物候期等信息；野外难以识别的物种，则采集植物标本，拍摄植物及其生境照片，待调查结束后将相关材料带回室内进行鉴定；记录线路起点和终点的地理位置信息（包括经纬度、海拔）；将上述相关信息记录于野生维管植物线路调查记录表（见附录5）。重要物种相关信息调查记录参照《环境影响评价技术导则生态影响》（HJ19-2022）。</w:t>
      </w:r>
    </w:p>
    <w:p>
      <w:pPr>
        <w:shd w:val="clear"/>
        <w:bidi w:val="0"/>
        <w:ind w:firstLine="480" w:firstLineChars="200"/>
        <w:rPr>
          <w:rFonts w:hint="default"/>
          <w:color w:val="auto"/>
          <w:highlight w:val="none"/>
          <w:lang w:val="zh-TW" w:eastAsia="zh-CN"/>
        </w:rPr>
      </w:pPr>
      <w:r>
        <w:rPr>
          <w:rFonts w:hint="eastAsia"/>
          <w:color w:val="auto"/>
          <w:highlight w:val="none"/>
          <w:lang w:val="zh-TW" w:eastAsia="zh-CN"/>
        </w:rPr>
        <w:t>（</w:t>
      </w:r>
      <w:r>
        <w:rPr>
          <w:rFonts w:hint="eastAsia"/>
          <w:color w:val="auto"/>
          <w:highlight w:val="none"/>
          <w:lang w:val="en-US" w:eastAsia="zh-CN"/>
        </w:rPr>
        <w:t>3</w:t>
      </w:r>
      <w:r>
        <w:rPr>
          <w:rFonts w:hint="eastAsia"/>
          <w:color w:val="auto"/>
          <w:highlight w:val="none"/>
          <w:lang w:val="zh-TW" w:eastAsia="zh-CN"/>
        </w:rPr>
        <w:t>）</w:t>
      </w:r>
      <w:r>
        <w:rPr>
          <w:rFonts w:hint="default"/>
          <w:color w:val="auto"/>
          <w:highlight w:val="none"/>
          <w:lang w:val="zh-TW" w:eastAsia="zh-TW"/>
        </w:rPr>
        <w:t>土地利用现状调查</w:t>
      </w:r>
    </w:p>
    <w:p>
      <w:pPr>
        <w:pStyle w:val="62"/>
        <w:keepNext w:val="0"/>
        <w:keepLines w:val="0"/>
        <w:pageBreakBefore w:val="0"/>
        <w:widowControl w:val="0"/>
        <w:shd w:val="clear"/>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参照</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en-US" w:eastAsia="zh-CN"/>
        </w:rPr>
        <w:t>土地利用现状分类</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en-US" w:eastAsia="zh-CN"/>
        </w:rPr>
        <w:t>GB/T21010-2017</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zh-TW" w:eastAsia="zh-TW"/>
        </w:rPr>
        <w:t>，根据实地踏勘和卫星遥感影像解译，</w:t>
      </w:r>
      <w:r>
        <w:rPr>
          <w:rStyle w:val="64"/>
          <w:rFonts w:hint="default" w:ascii="Times New Roman" w:hAnsi="Times New Roman" w:eastAsia="宋体" w:cs="Times New Roman"/>
          <w:color w:val="auto"/>
          <w:sz w:val="24"/>
          <w:szCs w:val="24"/>
          <w:highlight w:val="none"/>
          <w:lang w:val="en-US" w:eastAsia="zh-CN"/>
        </w:rPr>
        <w:t>结合收集的项目区国土三调资料，</w:t>
      </w:r>
      <w:r>
        <w:rPr>
          <w:rStyle w:val="64"/>
          <w:rFonts w:hint="default" w:ascii="Times New Roman" w:hAnsi="Times New Roman" w:eastAsia="宋体" w:cs="Times New Roman"/>
          <w:color w:val="auto"/>
          <w:sz w:val="24"/>
          <w:szCs w:val="24"/>
          <w:highlight w:val="none"/>
          <w:lang w:val="zh-TW" w:eastAsia="zh-TW"/>
        </w:rPr>
        <w:t>将评价区土地利用划分为</w:t>
      </w:r>
      <w:r>
        <w:rPr>
          <w:rStyle w:val="64"/>
          <w:rFonts w:hint="default" w:ascii="Times New Roman" w:hAnsi="Times New Roman" w:eastAsia="宋体" w:cs="Times New Roman"/>
          <w:color w:val="auto"/>
          <w:sz w:val="24"/>
          <w:szCs w:val="24"/>
          <w:highlight w:val="none"/>
          <w:lang w:val="en-US" w:eastAsia="zh-CN"/>
        </w:rPr>
        <w:t>耕地</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en-US" w:eastAsia="zh-CN"/>
        </w:rPr>
        <w:t>园地</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en-US" w:eastAsia="zh-CN"/>
        </w:rPr>
        <w:t>林地</w:t>
      </w:r>
      <w:r>
        <w:rPr>
          <w:rStyle w:val="64"/>
          <w:rFonts w:hint="default" w:ascii="Times New Roman" w:hAnsi="Times New Roman" w:eastAsia="宋体" w:cs="Times New Roman"/>
          <w:color w:val="auto"/>
          <w:sz w:val="24"/>
          <w:szCs w:val="24"/>
          <w:highlight w:val="none"/>
          <w:lang w:val="zh-TW" w:eastAsia="zh-TW"/>
        </w:rPr>
        <w:t>、草地、</w:t>
      </w:r>
      <w:r>
        <w:rPr>
          <w:rStyle w:val="64"/>
          <w:rFonts w:hint="default" w:ascii="Times New Roman" w:hAnsi="Times New Roman" w:eastAsia="宋体" w:cs="Times New Roman"/>
          <w:color w:val="auto"/>
          <w:sz w:val="24"/>
          <w:szCs w:val="24"/>
          <w:highlight w:val="none"/>
          <w:lang w:val="en-US" w:eastAsia="zh-CN"/>
        </w:rPr>
        <w:t>商服用地</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en-US" w:eastAsia="zh-CN"/>
        </w:rPr>
        <w:t>工矿用地、住宅用地、公共管理与服务用地、特殊用地、交通运输用地、水域及水利设施用地</w:t>
      </w:r>
      <w:r>
        <w:rPr>
          <w:rStyle w:val="64"/>
          <w:rFonts w:hint="default" w:ascii="Times New Roman" w:hAnsi="Times New Roman" w:eastAsia="宋体" w:cs="Times New Roman"/>
          <w:color w:val="auto"/>
          <w:sz w:val="24"/>
          <w:szCs w:val="24"/>
          <w:highlight w:val="none"/>
          <w:lang w:val="zh-TW" w:eastAsia="zh-TW"/>
        </w:rPr>
        <w:t>和</w:t>
      </w:r>
      <w:r>
        <w:rPr>
          <w:rStyle w:val="64"/>
          <w:rFonts w:hint="default" w:ascii="Times New Roman" w:hAnsi="Times New Roman" w:eastAsia="宋体" w:cs="Times New Roman"/>
          <w:color w:val="auto"/>
          <w:sz w:val="24"/>
          <w:szCs w:val="24"/>
          <w:highlight w:val="none"/>
          <w:lang w:val="en-US" w:eastAsia="zh-CN"/>
        </w:rPr>
        <w:t>其他土地</w:t>
      </w:r>
      <w:r>
        <w:rPr>
          <w:rStyle w:val="64"/>
          <w:rFonts w:hint="default" w:ascii="Times New Roman" w:hAnsi="Times New Roman" w:eastAsia="宋体" w:cs="Times New Roman"/>
          <w:color w:val="auto"/>
          <w:sz w:val="24"/>
          <w:szCs w:val="24"/>
          <w:highlight w:val="none"/>
          <w:lang w:val="zh-TW" w:eastAsia="zh-TW"/>
        </w:rPr>
        <w:t>等</w:t>
      </w:r>
      <w:r>
        <w:rPr>
          <w:rStyle w:val="64"/>
          <w:rFonts w:hint="default" w:ascii="Times New Roman" w:hAnsi="Times New Roman" w:eastAsia="宋体" w:cs="Times New Roman"/>
          <w:color w:val="auto"/>
          <w:sz w:val="24"/>
          <w:szCs w:val="24"/>
          <w:highlight w:val="none"/>
          <w:lang w:val="en-US" w:eastAsia="zh-CN"/>
        </w:rPr>
        <w:t>12</w:t>
      </w:r>
      <w:r>
        <w:rPr>
          <w:rStyle w:val="64"/>
          <w:rFonts w:hint="default" w:ascii="Times New Roman" w:hAnsi="Times New Roman" w:eastAsia="宋体" w:cs="Times New Roman"/>
          <w:color w:val="auto"/>
          <w:sz w:val="24"/>
          <w:szCs w:val="24"/>
          <w:highlight w:val="none"/>
          <w:lang w:val="zh-TW" w:eastAsia="zh-TW"/>
        </w:rPr>
        <w:t>种类型。本项目评价区土地利用现状见下表。</w:t>
      </w:r>
    </w:p>
    <w:p>
      <w:pPr>
        <w:pStyle w:val="62"/>
        <w:keepNext w:val="0"/>
        <w:keepLines w:val="0"/>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2" w:firstLineChars="200"/>
        <w:jc w:val="center"/>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b/>
          <w:bCs/>
          <w:color w:val="auto"/>
          <w:sz w:val="24"/>
          <w:szCs w:val="24"/>
          <w:highlight w:val="none"/>
          <w:lang w:val="zh-TW" w:eastAsia="zh-TW"/>
        </w:rPr>
        <w:t>表</w:t>
      </w:r>
      <w:r>
        <w:rPr>
          <w:rStyle w:val="64"/>
          <w:rFonts w:hint="eastAsia" w:ascii="Times New Roman" w:hAnsi="Times New Roman" w:cs="Times New Roman"/>
          <w:b/>
          <w:bCs/>
          <w:color w:val="auto"/>
          <w:sz w:val="24"/>
          <w:szCs w:val="24"/>
          <w:highlight w:val="none"/>
          <w:lang w:val="en-US" w:eastAsia="zh-CN"/>
        </w:rPr>
        <w:t>4.2.5</w:t>
      </w:r>
      <w:r>
        <w:rPr>
          <w:rStyle w:val="64"/>
          <w:rFonts w:hint="default" w:ascii="Times New Roman" w:hAnsi="Times New Roman" w:eastAsia="宋体" w:cs="Times New Roman"/>
          <w:b/>
          <w:bCs/>
          <w:color w:val="auto"/>
          <w:sz w:val="24"/>
          <w:szCs w:val="24"/>
          <w:highlight w:val="none"/>
          <w:lang w:val="en-US" w:eastAsia="en-US"/>
        </w:rPr>
        <w:t>-</w:t>
      </w:r>
      <w:r>
        <w:rPr>
          <w:rStyle w:val="64"/>
          <w:rFonts w:hint="eastAsia" w:ascii="Times New Roman" w:hAnsi="Times New Roman" w:cs="Times New Roman"/>
          <w:b/>
          <w:bCs/>
          <w:color w:val="auto"/>
          <w:sz w:val="24"/>
          <w:szCs w:val="24"/>
          <w:highlight w:val="none"/>
          <w:lang w:val="en-US" w:eastAsia="zh-CN"/>
        </w:rPr>
        <w:t xml:space="preserve">2  </w:t>
      </w:r>
      <w:r>
        <w:rPr>
          <w:rStyle w:val="64"/>
          <w:rFonts w:hint="default" w:ascii="Times New Roman" w:hAnsi="Times New Roman" w:eastAsia="宋体" w:cs="Times New Roman"/>
          <w:b/>
          <w:bCs/>
          <w:color w:val="auto"/>
          <w:sz w:val="24"/>
          <w:szCs w:val="24"/>
          <w:highlight w:val="none"/>
          <w:lang w:val="zh-TW" w:eastAsia="zh-TW"/>
        </w:rPr>
        <w:t>评价区土地利用现状统计</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716"/>
        <w:gridCol w:w="3843"/>
        <w:gridCol w:w="1568"/>
        <w:gridCol w:w="13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2" w:hRule="atLeast"/>
          <w:jc w:val="center"/>
        </w:trPr>
        <w:tc>
          <w:tcPr>
            <w:tcW w:w="1007"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一级地类</w:t>
            </w: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二级地类</w:t>
            </w:r>
          </w:p>
        </w:tc>
        <w:tc>
          <w:tcPr>
            <w:tcW w:w="92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面积（hm²）</w:t>
            </w:r>
          </w:p>
        </w:tc>
        <w:tc>
          <w:tcPr>
            <w:tcW w:w="816"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007" w:type="pct"/>
            <w:vMerge w:val="restar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耕地</w:t>
            </w: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水田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69.38</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水浇地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4.25</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旱地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1056.52</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24.52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vMerge w:val="restar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园地</w:t>
            </w: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果园</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287.04</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6.66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其他园地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6.72</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vMerge w:val="restar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林地</w:t>
            </w: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乔木林地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678.64</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灌木林地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1042.29</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24.19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其他林地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164.04</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3.81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007"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草地</w:t>
            </w: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其他草地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805.93</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18.70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商服用地</w:t>
            </w: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商业服务业设施用地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2.44</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vMerge w:val="restar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工矿仓储用地</w:t>
            </w: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工业用地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0.03</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采矿用地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4.81</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007"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住宅用地</w:t>
            </w: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农村宅基地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56.04</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vMerge w:val="restar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公共管理与公共服务用地</w:t>
            </w: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机关团体新闻出版用地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2.16</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科教文卫用地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0.71</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公用设施用地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2.47</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007"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特殊用地</w:t>
            </w: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特殊用地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2.01</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vMerge w:val="restar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交通运输用地</w:t>
            </w: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公路用地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21.76</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城镇村道路用地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1.08</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农村道路</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35.78</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管道运输用地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0.24</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vMerge w:val="restar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水域及水利设施用地</w:t>
            </w: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河流水面</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23.44</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水库水面</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8.55</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坑塘水面</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19.13</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沟渠</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2.39</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水工建筑用地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2.13</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vMerge w:val="restar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其它用地</w:t>
            </w: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设施农用地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5.65</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裸土地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0.33</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vMerge w:val="continue"/>
            <w:shd w:val="clear" w:color="auto" w:fill="auto"/>
            <w:vAlign w:val="center"/>
          </w:tcPr>
          <w:p>
            <w:pPr>
              <w:pStyle w:val="42"/>
              <w:shd w:val="clear"/>
              <w:bidi w:val="0"/>
              <w:rPr>
                <w:rFonts w:hint="default"/>
                <w:color w:val="auto"/>
                <w:highlight w:val="none"/>
              </w:rPr>
            </w:pPr>
          </w:p>
        </w:tc>
        <w:tc>
          <w:tcPr>
            <w:tcW w:w="2255"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裸岩石砾地</w:t>
            </w: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3.56</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jc w:val="center"/>
        </w:trPr>
        <w:tc>
          <w:tcPr>
            <w:tcW w:w="1007"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总计</w:t>
            </w:r>
          </w:p>
        </w:tc>
        <w:tc>
          <w:tcPr>
            <w:tcW w:w="2255" w:type="pct"/>
            <w:shd w:val="clear" w:color="auto" w:fill="auto"/>
            <w:noWrap/>
            <w:vAlign w:val="center"/>
          </w:tcPr>
          <w:p>
            <w:pPr>
              <w:pStyle w:val="42"/>
              <w:shd w:val="clear"/>
              <w:bidi w:val="0"/>
              <w:rPr>
                <w:rFonts w:hint="default"/>
                <w:color w:val="auto"/>
                <w:highlight w:val="none"/>
              </w:rPr>
            </w:pPr>
          </w:p>
        </w:tc>
        <w:tc>
          <w:tcPr>
            <w:tcW w:w="920"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4309.52</w:t>
            </w:r>
          </w:p>
        </w:tc>
        <w:tc>
          <w:tcPr>
            <w:tcW w:w="816" w:type="pct"/>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100.00</w:t>
            </w:r>
          </w:p>
        </w:tc>
      </w:tr>
    </w:tbl>
    <w:p>
      <w:pPr>
        <w:pStyle w:val="62"/>
        <w:shd w:val="clear"/>
        <w:spacing w:before="63" w:beforeLines="0" w:after="0" w:afterLines="0" w:line="485" w:lineRule="exact"/>
        <w:ind w:firstLine="600"/>
        <w:jc w:val="both"/>
        <w:rPr>
          <w:rFonts w:hint="default" w:ascii="Times New Roman" w:hAnsi="Times New Roman" w:eastAsia="宋体" w:cs="Times New Roman"/>
          <w:color w:val="auto"/>
          <w:sz w:val="24"/>
          <w:szCs w:val="24"/>
          <w:highlight w:val="none"/>
          <w:lang w:val="en-US"/>
        </w:rPr>
      </w:pPr>
      <w:r>
        <w:rPr>
          <w:rStyle w:val="71"/>
          <w:rFonts w:hint="default" w:ascii="Times New Roman" w:hAnsi="Times New Roman" w:eastAsia="宋体" w:cs="Times New Roman"/>
          <w:color w:val="auto"/>
          <w:sz w:val="24"/>
          <w:szCs w:val="24"/>
          <w:highlight w:val="none"/>
          <w:lang w:val="zh-TW" w:eastAsia="zh-TW"/>
        </w:rPr>
        <w:t>耕地：评价区耕地有水田</w:t>
      </w:r>
      <w:r>
        <w:rPr>
          <w:rStyle w:val="71"/>
          <w:rFonts w:hint="default" w:ascii="Times New Roman" w:hAnsi="Times New Roman" w:eastAsia="宋体" w:cs="Times New Roman"/>
          <w:color w:val="auto"/>
          <w:sz w:val="24"/>
          <w:szCs w:val="24"/>
          <w:highlight w:val="none"/>
          <w:lang w:val="zh-TW" w:eastAsia="zh-CN"/>
        </w:rPr>
        <w:t>、</w:t>
      </w:r>
      <w:r>
        <w:rPr>
          <w:rStyle w:val="71"/>
          <w:rFonts w:hint="default" w:ascii="Times New Roman" w:hAnsi="Times New Roman" w:eastAsia="宋体" w:cs="Times New Roman"/>
          <w:color w:val="auto"/>
          <w:sz w:val="24"/>
          <w:szCs w:val="24"/>
          <w:highlight w:val="none"/>
          <w:lang w:val="en-US" w:eastAsia="zh-CN"/>
        </w:rPr>
        <w:t>水浇地</w:t>
      </w:r>
      <w:r>
        <w:rPr>
          <w:rStyle w:val="71"/>
          <w:rFonts w:hint="default" w:ascii="Times New Roman" w:hAnsi="Times New Roman" w:eastAsia="宋体" w:cs="Times New Roman"/>
          <w:color w:val="auto"/>
          <w:sz w:val="24"/>
          <w:szCs w:val="24"/>
          <w:highlight w:val="none"/>
          <w:lang w:val="zh-TW" w:eastAsia="zh-TW"/>
        </w:rPr>
        <w:t>和旱地</w:t>
      </w:r>
      <w:r>
        <w:rPr>
          <w:rStyle w:val="71"/>
          <w:rFonts w:hint="default" w:ascii="Times New Roman" w:hAnsi="Times New Roman" w:eastAsia="宋体" w:cs="Times New Roman"/>
          <w:color w:val="auto"/>
          <w:sz w:val="24"/>
          <w:szCs w:val="24"/>
          <w:highlight w:val="none"/>
          <w:lang w:val="en-US" w:eastAsia="zh-CN"/>
        </w:rPr>
        <w:t>3</w:t>
      </w:r>
      <w:r>
        <w:rPr>
          <w:rStyle w:val="71"/>
          <w:rFonts w:hint="default" w:ascii="Times New Roman" w:hAnsi="Times New Roman" w:eastAsia="宋体" w:cs="Times New Roman"/>
          <w:color w:val="auto"/>
          <w:sz w:val="24"/>
          <w:szCs w:val="24"/>
          <w:highlight w:val="none"/>
          <w:lang w:val="zh-TW" w:eastAsia="zh-TW"/>
        </w:rPr>
        <w:t>种类型，总面积为</w:t>
      </w:r>
      <w:r>
        <w:rPr>
          <w:rStyle w:val="71"/>
          <w:rFonts w:hint="default" w:ascii="Times New Roman" w:hAnsi="Times New Roman" w:eastAsia="宋体" w:cs="Times New Roman"/>
          <w:color w:val="auto"/>
          <w:sz w:val="24"/>
          <w:szCs w:val="24"/>
          <w:highlight w:val="none"/>
          <w:lang w:val="en-US" w:eastAsia="zh-CN"/>
        </w:rPr>
        <w:t>1130.15</w:t>
      </w:r>
      <w:r>
        <w:rPr>
          <w:rStyle w:val="73"/>
          <w:rFonts w:hint="default" w:ascii="Times New Roman" w:hAnsi="Times New Roman" w:eastAsia="宋体" w:cs="Times New Roman"/>
          <w:color w:val="auto"/>
          <w:sz w:val="24"/>
          <w:szCs w:val="24"/>
          <w:highlight w:val="none"/>
          <w:lang w:eastAsia="zh-CN"/>
        </w:rPr>
        <w:t>hm²</w:t>
      </w:r>
      <w:r>
        <w:rPr>
          <w:rStyle w:val="71"/>
          <w:rFonts w:hint="default" w:ascii="Times New Roman" w:hAnsi="Times New Roman" w:eastAsia="宋体" w:cs="Times New Roman"/>
          <w:color w:val="auto"/>
          <w:sz w:val="24"/>
          <w:szCs w:val="24"/>
          <w:highlight w:val="none"/>
          <w:lang w:val="en-US" w:eastAsia="en-US"/>
        </w:rPr>
        <w:t>，</w:t>
      </w:r>
      <w:r>
        <w:rPr>
          <w:rStyle w:val="71"/>
          <w:rFonts w:hint="default" w:ascii="Times New Roman" w:hAnsi="Times New Roman" w:eastAsia="宋体" w:cs="Times New Roman"/>
          <w:color w:val="auto"/>
          <w:sz w:val="24"/>
          <w:szCs w:val="24"/>
          <w:highlight w:val="none"/>
          <w:lang w:val="zh-TW" w:eastAsia="zh-TW"/>
        </w:rPr>
        <w:t>占评价区土地总面积的</w:t>
      </w:r>
      <w:r>
        <w:rPr>
          <w:rStyle w:val="71"/>
          <w:rFonts w:hint="default" w:ascii="Times New Roman" w:hAnsi="Times New Roman" w:eastAsia="宋体" w:cs="Times New Roman"/>
          <w:color w:val="auto"/>
          <w:sz w:val="24"/>
          <w:szCs w:val="24"/>
          <w:highlight w:val="none"/>
          <w:lang w:val="en-US" w:eastAsia="zh-CN"/>
        </w:rPr>
        <w:t>26.22</w:t>
      </w:r>
      <w:r>
        <w:rPr>
          <w:rStyle w:val="71"/>
          <w:rFonts w:hint="default" w:ascii="Times New Roman" w:hAnsi="Times New Roman" w:eastAsia="宋体" w:cs="Times New Roman"/>
          <w:color w:val="auto"/>
          <w:sz w:val="24"/>
          <w:szCs w:val="24"/>
          <w:highlight w:val="none"/>
          <w:lang w:val="zh-TW" w:eastAsia="zh-TW"/>
        </w:rPr>
        <w:t>%。</w:t>
      </w:r>
      <w:r>
        <w:rPr>
          <w:rStyle w:val="71"/>
          <w:rFonts w:hint="default" w:ascii="Times New Roman" w:hAnsi="Times New Roman" w:eastAsia="宋体" w:cs="Times New Roman"/>
          <w:color w:val="auto"/>
          <w:sz w:val="24"/>
          <w:szCs w:val="24"/>
          <w:highlight w:val="none"/>
          <w:lang w:val="en-US" w:eastAsia="zh-CN"/>
        </w:rPr>
        <w:t>其中旱地面积最大</w:t>
      </w:r>
      <w:r>
        <w:rPr>
          <w:rStyle w:val="64"/>
          <w:rFonts w:hint="default" w:ascii="Times New Roman" w:hAnsi="Times New Roman" w:eastAsia="宋体" w:cs="Times New Roman"/>
          <w:color w:val="auto"/>
          <w:sz w:val="24"/>
          <w:szCs w:val="24"/>
          <w:highlight w:val="none"/>
          <w:lang w:val="en-US" w:eastAsia="zh-CN"/>
        </w:rPr>
        <w:t>1056.52</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24.53</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zh-TW" w:eastAsia="zh-TW"/>
        </w:rPr>
        <w:t>呈片状主要分布于评价区村寨周边，主要种植玉米、烟草和蔬菜等</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zh-TW" w:eastAsia="zh-TW"/>
        </w:rPr>
        <w:t>水田面积</w:t>
      </w:r>
      <w:r>
        <w:rPr>
          <w:rStyle w:val="64"/>
          <w:rFonts w:hint="default" w:ascii="Times New Roman" w:hAnsi="Times New Roman" w:eastAsia="宋体" w:cs="Times New Roman"/>
          <w:color w:val="auto"/>
          <w:sz w:val="24"/>
          <w:szCs w:val="24"/>
          <w:highlight w:val="none"/>
          <w:lang w:val="en-US" w:eastAsia="zh-CN"/>
        </w:rPr>
        <w:t>69.38</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1</w:t>
      </w:r>
      <w:r>
        <w:rPr>
          <w:rStyle w:val="64"/>
          <w:rFonts w:hint="default" w:ascii="Times New Roman" w:hAnsi="Times New Roman" w:eastAsia="宋体" w:cs="Times New Roman"/>
          <w:color w:val="auto"/>
          <w:sz w:val="24"/>
          <w:szCs w:val="24"/>
          <w:highlight w:val="none"/>
          <w:lang w:val="zh-TW" w:eastAsia="zh-TW"/>
        </w:rPr>
        <w:t>.61%</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zh-TW" w:eastAsia="zh-TW"/>
        </w:rPr>
        <w:t>呈片状主要分布于评价区村寨周边，主要位于水利条件较好的河沟边</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zh-TW" w:eastAsia="zh-TW"/>
        </w:rPr>
        <w:t>主要种植水稻</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en-US" w:eastAsia="zh-CN"/>
        </w:rPr>
        <w:t>水浇地面积很小，仅4.25</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0.</w:t>
      </w:r>
      <w:r>
        <w:rPr>
          <w:rStyle w:val="64"/>
          <w:rFonts w:hint="default" w:ascii="Times New Roman" w:hAnsi="Times New Roman" w:eastAsia="宋体" w:cs="Times New Roman"/>
          <w:color w:val="auto"/>
          <w:sz w:val="24"/>
          <w:szCs w:val="24"/>
          <w:highlight w:val="none"/>
          <w:lang w:val="zh-TW" w:eastAsia="zh-TW"/>
        </w:rPr>
        <w:t>1%</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en-US" w:eastAsia="zh-CN"/>
        </w:rPr>
        <w:t>在评价区零星分布。</w:t>
      </w:r>
    </w:p>
    <w:p>
      <w:pPr>
        <w:pStyle w:val="62"/>
        <w:shd w:val="clear"/>
        <w:spacing w:before="0" w:beforeLines="0" w:after="0" w:afterLines="0" w:line="485" w:lineRule="exact"/>
        <w:ind w:firstLine="600"/>
        <w:jc w:val="both"/>
        <w:rPr>
          <w:rStyle w:val="64"/>
          <w:rFonts w:hint="default" w:ascii="Times New Roman" w:hAnsi="Times New Roman" w:eastAsia="宋体" w:cs="Times New Roman"/>
          <w:color w:val="auto"/>
          <w:sz w:val="24"/>
          <w:szCs w:val="24"/>
          <w:highlight w:val="none"/>
          <w:lang w:val="en-US" w:eastAsia="zh-CN"/>
        </w:rPr>
      </w:pPr>
      <w:r>
        <w:rPr>
          <w:rStyle w:val="64"/>
          <w:rFonts w:hint="default" w:ascii="Times New Roman" w:hAnsi="Times New Roman" w:eastAsia="宋体" w:cs="Times New Roman"/>
          <w:color w:val="auto"/>
          <w:sz w:val="24"/>
          <w:szCs w:val="24"/>
          <w:highlight w:val="none"/>
          <w:lang w:val="en-US" w:eastAsia="zh-CN"/>
        </w:rPr>
        <w:t>园地：评价区园地有果园和其它园地2种类型，总面积293.76</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6.82</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en-US" w:eastAsia="zh-CN"/>
        </w:rPr>
        <w:t>其中果园287.04</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6.66</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en-US" w:eastAsia="zh-CN"/>
        </w:rPr>
        <w:t>主要种植芒果等经济水果；其它园地6.72</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0.16</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en-US" w:eastAsia="zh-CN"/>
        </w:rPr>
        <w:t>分布面积较小。</w:t>
      </w:r>
    </w:p>
    <w:p>
      <w:pPr>
        <w:pStyle w:val="62"/>
        <w:shd w:val="clear"/>
        <w:spacing w:before="0" w:beforeLines="0" w:after="0" w:afterLines="0" w:line="485" w:lineRule="exact"/>
        <w:ind w:firstLine="600"/>
        <w:jc w:val="both"/>
        <w:rPr>
          <w:rFonts w:hint="default" w:ascii="Times New Roman" w:hAnsi="Times New Roman" w:eastAsia="宋体" w:cs="Times New Roman"/>
          <w:color w:val="auto"/>
          <w:sz w:val="24"/>
          <w:szCs w:val="24"/>
          <w:highlight w:val="none"/>
          <w:lang w:val="en-US" w:eastAsia="zh-CN"/>
        </w:rPr>
      </w:pPr>
      <w:r>
        <w:rPr>
          <w:rStyle w:val="64"/>
          <w:rFonts w:hint="default" w:ascii="Times New Roman" w:hAnsi="Times New Roman" w:eastAsia="宋体" w:cs="Times New Roman"/>
          <w:color w:val="auto"/>
          <w:sz w:val="24"/>
          <w:szCs w:val="24"/>
          <w:highlight w:val="none"/>
          <w:lang w:val="zh-TW" w:eastAsia="zh-TW"/>
        </w:rPr>
        <w:t>林地：评价区的林地主要是</w:t>
      </w:r>
      <w:r>
        <w:rPr>
          <w:rStyle w:val="64"/>
          <w:rFonts w:hint="default" w:ascii="Times New Roman" w:hAnsi="Times New Roman" w:eastAsia="宋体" w:cs="Times New Roman"/>
          <w:color w:val="auto"/>
          <w:sz w:val="24"/>
          <w:szCs w:val="24"/>
          <w:highlight w:val="none"/>
          <w:lang w:val="en-US" w:eastAsia="zh-CN"/>
        </w:rPr>
        <w:t>乔木</w:t>
      </w:r>
      <w:r>
        <w:rPr>
          <w:rStyle w:val="64"/>
          <w:rFonts w:hint="default" w:ascii="Times New Roman" w:hAnsi="Times New Roman" w:eastAsia="宋体" w:cs="Times New Roman"/>
          <w:color w:val="auto"/>
          <w:sz w:val="24"/>
          <w:szCs w:val="24"/>
          <w:highlight w:val="none"/>
          <w:lang w:val="zh-TW" w:eastAsia="zh-TW"/>
        </w:rPr>
        <w:t>林地、灌木林地和</w:t>
      </w:r>
      <w:r>
        <w:rPr>
          <w:rStyle w:val="64"/>
          <w:rFonts w:hint="default" w:ascii="Times New Roman" w:hAnsi="Times New Roman" w:eastAsia="宋体" w:cs="Times New Roman"/>
          <w:color w:val="auto"/>
          <w:sz w:val="24"/>
          <w:szCs w:val="24"/>
          <w:highlight w:val="none"/>
          <w:lang w:val="en-US" w:eastAsia="zh-CN"/>
        </w:rPr>
        <w:t>其他</w:t>
      </w:r>
      <w:r>
        <w:rPr>
          <w:rStyle w:val="64"/>
          <w:rFonts w:hint="default" w:ascii="Times New Roman" w:hAnsi="Times New Roman" w:eastAsia="宋体" w:cs="Times New Roman"/>
          <w:color w:val="auto"/>
          <w:sz w:val="24"/>
          <w:szCs w:val="24"/>
          <w:highlight w:val="none"/>
          <w:lang w:val="zh-TW" w:eastAsia="zh-TW"/>
        </w:rPr>
        <w:t>林地</w:t>
      </w:r>
      <w:r>
        <w:rPr>
          <w:rStyle w:val="64"/>
          <w:rFonts w:hint="default" w:ascii="Times New Roman" w:hAnsi="Times New Roman" w:eastAsia="宋体" w:cs="Times New Roman"/>
          <w:color w:val="auto"/>
          <w:sz w:val="24"/>
          <w:szCs w:val="24"/>
          <w:highlight w:val="none"/>
          <w:lang w:val="en-US" w:eastAsia="zh-CN"/>
        </w:rPr>
        <w:t>3种</w:t>
      </w:r>
      <w:r>
        <w:rPr>
          <w:rStyle w:val="64"/>
          <w:rFonts w:hint="default" w:ascii="Times New Roman" w:hAnsi="Times New Roman" w:eastAsia="宋体" w:cs="Times New Roman"/>
          <w:color w:val="auto"/>
          <w:sz w:val="24"/>
          <w:szCs w:val="24"/>
          <w:highlight w:val="none"/>
          <w:lang w:val="zh-TW" w:eastAsia="zh-TW"/>
        </w:rPr>
        <w:t>，分布于评价区的山坡</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zh-TW" w:eastAsia="zh-TW"/>
        </w:rPr>
        <w:t>面积总计</w:t>
      </w:r>
      <w:r>
        <w:rPr>
          <w:rStyle w:val="64"/>
          <w:rFonts w:hint="default" w:ascii="Times New Roman" w:hAnsi="Times New Roman" w:eastAsia="宋体" w:cs="Times New Roman"/>
          <w:color w:val="auto"/>
          <w:sz w:val="24"/>
          <w:szCs w:val="24"/>
          <w:highlight w:val="none"/>
          <w:lang w:val="en-US" w:eastAsia="zh-CN"/>
        </w:rPr>
        <w:t>1844.97</w:t>
      </w:r>
      <w:r>
        <w:rPr>
          <w:rStyle w:val="65"/>
          <w:rFonts w:hint="default" w:ascii="Times New Roman" w:hAnsi="Times New Roman" w:eastAsia="宋体" w:cs="Times New Roman"/>
          <w:color w:val="auto"/>
          <w:sz w:val="24"/>
          <w:szCs w:val="24"/>
          <w:highlight w:val="none"/>
          <w:lang w:eastAsia="zh-CN"/>
        </w:rPr>
        <w:t>hm²</w:t>
      </w:r>
      <w:r>
        <w:rPr>
          <w:rStyle w:val="74"/>
          <w:rFonts w:hint="default" w:ascii="Times New Roman" w:hAnsi="Times New Roman" w:eastAsia="宋体" w:cs="Times New Roman"/>
          <w:b w:val="0"/>
          <w:bCs/>
          <w:color w:val="auto"/>
          <w:sz w:val="24"/>
          <w:szCs w:val="24"/>
          <w:highlight w:val="none"/>
          <w:lang w:val="en-US" w:eastAsia="zh-CN"/>
        </w:rPr>
        <w:t>，</w:t>
      </w:r>
      <w:r>
        <w:rPr>
          <w:rStyle w:val="64"/>
          <w:rFonts w:hint="default" w:ascii="Times New Roman" w:hAnsi="Times New Roman" w:eastAsia="宋体" w:cs="Times New Roman"/>
          <w:color w:val="auto"/>
          <w:sz w:val="24"/>
          <w:szCs w:val="24"/>
          <w:highlight w:val="none"/>
          <w:lang w:val="zh-TW" w:eastAsia="zh-TW"/>
        </w:rPr>
        <w:t>占评价区土地面积的4</w:t>
      </w:r>
      <w:r>
        <w:rPr>
          <w:rStyle w:val="64"/>
          <w:rFonts w:hint="default" w:ascii="Times New Roman" w:hAnsi="Times New Roman" w:eastAsia="宋体" w:cs="Times New Roman"/>
          <w:color w:val="auto"/>
          <w:sz w:val="24"/>
          <w:szCs w:val="24"/>
          <w:highlight w:val="none"/>
          <w:lang w:val="en-US" w:eastAsia="zh-CN"/>
        </w:rPr>
        <w:t>3.74</w:t>
      </w:r>
      <w:r>
        <w:rPr>
          <w:rStyle w:val="64"/>
          <w:rFonts w:hint="default" w:ascii="Times New Roman" w:hAnsi="Times New Roman" w:eastAsia="宋体" w:cs="Times New Roman"/>
          <w:color w:val="auto"/>
          <w:sz w:val="24"/>
          <w:szCs w:val="24"/>
          <w:highlight w:val="none"/>
          <w:lang w:val="zh-TW" w:eastAsia="zh-TW"/>
        </w:rPr>
        <w:t>%</w:t>
      </w:r>
      <w:r>
        <w:rPr>
          <w:rStyle w:val="75"/>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zh-TW" w:eastAsia="zh-TW"/>
        </w:rPr>
        <w:t>对水土保持具有极其重要的作用。</w:t>
      </w:r>
      <w:r>
        <w:rPr>
          <w:rStyle w:val="64"/>
          <w:rFonts w:hint="default" w:ascii="Times New Roman" w:hAnsi="Times New Roman" w:eastAsia="宋体" w:cs="Times New Roman"/>
          <w:color w:val="auto"/>
          <w:sz w:val="24"/>
          <w:szCs w:val="24"/>
          <w:highlight w:val="none"/>
          <w:lang w:val="en-US" w:eastAsia="zh-CN"/>
        </w:rPr>
        <w:t>其中总乔木林地678.64</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15.75</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en-US" w:eastAsia="zh-CN"/>
        </w:rPr>
        <w:t>灌木林地1042.29</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24.19</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en-US" w:eastAsia="zh-CN"/>
        </w:rPr>
        <w:t>其他林地164.04</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3.8</w:t>
      </w:r>
      <w:r>
        <w:rPr>
          <w:rStyle w:val="64"/>
          <w:rFonts w:hint="default" w:ascii="Times New Roman" w:hAnsi="Times New Roman" w:eastAsia="宋体" w:cs="Times New Roman"/>
          <w:color w:val="auto"/>
          <w:sz w:val="24"/>
          <w:szCs w:val="24"/>
          <w:highlight w:val="none"/>
          <w:lang w:val="zh-TW" w:eastAsia="zh-TW"/>
        </w:rPr>
        <w:t>1%</w:t>
      </w:r>
    </w:p>
    <w:p>
      <w:pPr>
        <w:pStyle w:val="62"/>
        <w:shd w:val="clear"/>
        <w:spacing w:before="0" w:beforeLines="0" w:after="0" w:afterLines="0" w:line="485" w:lineRule="exact"/>
        <w:ind w:firstLine="600"/>
        <w:jc w:val="both"/>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草地：呈斑块状主要分布于评价区林缘与草坡。面积为</w:t>
      </w:r>
      <w:r>
        <w:rPr>
          <w:rStyle w:val="64"/>
          <w:rFonts w:hint="default" w:ascii="Times New Roman" w:hAnsi="Times New Roman" w:eastAsia="宋体" w:cs="Times New Roman"/>
          <w:color w:val="auto"/>
          <w:sz w:val="24"/>
          <w:szCs w:val="24"/>
          <w:highlight w:val="none"/>
          <w:lang w:val="en-US" w:eastAsia="zh-CN"/>
        </w:rPr>
        <w:t>805.93</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18.7%，</w:t>
      </w:r>
      <w:r>
        <w:rPr>
          <w:rStyle w:val="64"/>
          <w:rFonts w:hint="default" w:ascii="Times New Roman" w:hAnsi="Times New Roman" w:eastAsia="宋体" w:cs="Times New Roman"/>
          <w:color w:val="auto"/>
          <w:sz w:val="24"/>
          <w:szCs w:val="24"/>
          <w:highlight w:val="none"/>
          <w:lang w:val="zh-TW" w:eastAsia="zh-TW"/>
        </w:rPr>
        <w:t>基本为荒草地，生产力较低。</w:t>
      </w:r>
    </w:p>
    <w:p>
      <w:pPr>
        <w:pStyle w:val="62"/>
        <w:shd w:val="clear"/>
        <w:spacing w:before="0" w:beforeLines="0" w:after="0" w:afterLines="0" w:line="485" w:lineRule="exact"/>
        <w:ind w:firstLine="600"/>
        <w:jc w:val="both"/>
        <w:rPr>
          <w:rStyle w:val="64"/>
          <w:rFonts w:hint="default" w:ascii="Times New Roman" w:hAnsi="Times New Roman" w:eastAsia="宋体" w:cs="Times New Roman"/>
          <w:color w:val="auto"/>
          <w:sz w:val="24"/>
          <w:szCs w:val="24"/>
          <w:highlight w:val="none"/>
          <w:lang w:val="zh-TW" w:eastAsia="zh-CN"/>
        </w:rPr>
      </w:pPr>
      <w:r>
        <w:rPr>
          <w:rStyle w:val="64"/>
          <w:rFonts w:hint="default" w:ascii="Times New Roman" w:hAnsi="Times New Roman" w:eastAsia="宋体" w:cs="Times New Roman"/>
          <w:color w:val="auto"/>
          <w:sz w:val="24"/>
          <w:szCs w:val="24"/>
          <w:highlight w:val="none"/>
          <w:lang w:val="en-US" w:eastAsia="zh-CN"/>
        </w:rPr>
        <w:t>其他各类土地面积均较小，其中商服用地2.44</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0.06</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en-US" w:eastAsia="zh-CN"/>
        </w:rPr>
        <w:t>；矿仓储用地4.84</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0.11</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en-US" w:eastAsia="zh-CN"/>
        </w:rPr>
        <w:t>住宅用地56.04</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1.3</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en-US" w:eastAsia="zh-CN"/>
        </w:rPr>
        <w:t>公共管理与公共服务用地5.34</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0.13</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en-US" w:eastAsia="zh-CN"/>
        </w:rPr>
        <w:t>特殊用地2.01</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0.05</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en-US" w:eastAsia="zh-CN"/>
        </w:rPr>
        <w:t>交通运输用地总面积58.86</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0.87</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en-US" w:eastAsia="zh-CN"/>
        </w:rPr>
        <w:t>水域及水利设施用地55.64</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1.29</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zh-TW" w:eastAsia="zh-CN"/>
        </w:rPr>
        <w:t>；</w:t>
      </w:r>
      <w:r>
        <w:rPr>
          <w:rStyle w:val="64"/>
          <w:rFonts w:hint="default" w:ascii="Times New Roman" w:hAnsi="Times New Roman" w:eastAsia="宋体" w:cs="Times New Roman"/>
          <w:color w:val="auto"/>
          <w:sz w:val="24"/>
          <w:szCs w:val="24"/>
          <w:highlight w:val="none"/>
          <w:lang w:val="en-US" w:eastAsia="zh-CN"/>
        </w:rPr>
        <w:t>其他用地9.54</w:t>
      </w:r>
      <w:r>
        <w:rPr>
          <w:rStyle w:val="65"/>
          <w:rFonts w:hint="default" w:ascii="Times New Roman" w:hAnsi="Times New Roman" w:eastAsia="宋体" w:cs="Times New Roman"/>
          <w:color w:val="auto"/>
          <w:sz w:val="24"/>
          <w:szCs w:val="24"/>
          <w:highlight w:val="none"/>
          <w:lang w:eastAsia="zh-CN"/>
        </w:rPr>
        <w:t>hm²</w:t>
      </w:r>
      <w:r>
        <w:rPr>
          <w:rStyle w:val="64"/>
          <w:rFonts w:hint="default" w:ascii="Times New Roman" w:hAnsi="Times New Roman" w:eastAsia="宋体" w:cs="Times New Roman"/>
          <w:color w:val="auto"/>
          <w:sz w:val="24"/>
          <w:szCs w:val="24"/>
          <w:highlight w:val="none"/>
          <w:lang w:val="en-US" w:eastAsia="en-US"/>
        </w:rPr>
        <w:t>，</w:t>
      </w:r>
      <w:r>
        <w:rPr>
          <w:rStyle w:val="64"/>
          <w:rFonts w:hint="default" w:ascii="Times New Roman" w:hAnsi="Times New Roman" w:eastAsia="宋体" w:cs="Times New Roman"/>
          <w:color w:val="auto"/>
          <w:sz w:val="24"/>
          <w:szCs w:val="24"/>
          <w:highlight w:val="none"/>
          <w:lang w:val="zh-TW" w:eastAsia="zh-TW"/>
        </w:rPr>
        <w:t>占评价区土地总面积的</w:t>
      </w:r>
      <w:r>
        <w:rPr>
          <w:rStyle w:val="64"/>
          <w:rFonts w:hint="default" w:ascii="Times New Roman" w:hAnsi="Times New Roman" w:eastAsia="宋体" w:cs="Times New Roman"/>
          <w:color w:val="auto"/>
          <w:sz w:val="24"/>
          <w:szCs w:val="24"/>
          <w:highlight w:val="none"/>
          <w:lang w:val="en-US" w:eastAsia="zh-CN"/>
        </w:rPr>
        <w:t>0.08</w:t>
      </w:r>
      <w:r>
        <w:rPr>
          <w:rStyle w:val="64"/>
          <w:rFonts w:hint="default" w:ascii="Times New Roman" w:hAnsi="Times New Roman" w:eastAsia="宋体" w:cs="Times New Roman"/>
          <w:color w:val="auto"/>
          <w:sz w:val="24"/>
          <w:szCs w:val="24"/>
          <w:highlight w:val="none"/>
          <w:lang w:val="zh-TW" w:eastAsia="zh-TW"/>
        </w:rPr>
        <w:t>%</w:t>
      </w:r>
      <w:r>
        <w:rPr>
          <w:rStyle w:val="64"/>
          <w:rFonts w:hint="default" w:ascii="Times New Roman" w:hAnsi="Times New Roman" w:eastAsia="宋体" w:cs="Times New Roman"/>
          <w:color w:val="auto"/>
          <w:sz w:val="24"/>
          <w:szCs w:val="24"/>
          <w:highlight w:val="none"/>
          <w:lang w:val="zh-TW" w:eastAsia="zh-CN"/>
        </w:rPr>
        <w:t>。</w:t>
      </w:r>
    </w:p>
    <w:p>
      <w:pPr>
        <w:pStyle w:val="5"/>
        <w:numPr>
          <w:ilvl w:val="3"/>
          <w:numId w:val="2"/>
        </w:numPr>
        <w:shd w:val="clear"/>
        <w:bidi w:val="0"/>
        <w:ind w:left="480" w:leftChars="0" w:firstLineChars="0"/>
        <w:rPr>
          <w:rFonts w:hint="default"/>
          <w:color w:val="auto"/>
          <w:highlight w:val="none"/>
        </w:rPr>
      </w:pPr>
      <w:r>
        <w:rPr>
          <w:rFonts w:hint="default"/>
          <w:color w:val="auto"/>
          <w:highlight w:val="none"/>
          <w:lang w:val="en-US" w:eastAsia="zh-CN"/>
        </w:rPr>
        <w:t>植被及植物资源现状</w:t>
      </w:r>
    </w:p>
    <w:p>
      <w:pPr>
        <w:shd w:val="clear"/>
        <w:bidi w:val="0"/>
        <w:ind w:firstLine="482" w:firstLineChars="200"/>
        <w:rPr>
          <w:rFonts w:hint="default" w:ascii="Times New Roman" w:hAnsi="Times New Roman" w:eastAsia="宋体" w:cs="Times New Roman"/>
          <w:b/>
          <w:bCs/>
          <w:color w:val="auto"/>
          <w:szCs w:val="24"/>
          <w:highlight w:val="none"/>
          <w:lang w:val="en-US" w:eastAsia="zh-CN"/>
        </w:rPr>
      </w:pPr>
      <w:r>
        <w:rPr>
          <w:rFonts w:hint="eastAsia"/>
          <w:b/>
          <w:bCs/>
          <w:color w:val="auto"/>
          <w:highlight w:val="none"/>
          <w:lang w:val="zh-TW" w:eastAsia="zh-CN"/>
        </w:rPr>
        <w:t>（</w:t>
      </w:r>
      <w:r>
        <w:rPr>
          <w:rFonts w:hint="eastAsia"/>
          <w:b/>
          <w:bCs/>
          <w:color w:val="auto"/>
          <w:highlight w:val="none"/>
          <w:lang w:val="en-US" w:eastAsia="zh-CN"/>
        </w:rPr>
        <w:t>1</w:t>
      </w:r>
      <w:r>
        <w:rPr>
          <w:rFonts w:hint="eastAsia"/>
          <w:b/>
          <w:bCs/>
          <w:color w:val="auto"/>
          <w:highlight w:val="none"/>
          <w:lang w:val="zh-TW" w:eastAsia="zh-CN"/>
        </w:rPr>
        <w:t>）</w:t>
      </w:r>
      <w:r>
        <w:rPr>
          <w:rFonts w:hint="default"/>
          <w:b/>
          <w:bCs/>
          <w:color w:val="auto"/>
          <w:highlight w:val="none"/>
          <w:lang w:val="zh-TW" w:eastAsia="zh-TW"/>
        </w:rPr>
        <w:t>植被</w:t>
      </w:r>
      <w:r>
        <w:rPr>
          <w:rFonts w:hint="default"/>
          <w:b/>
          <w:bCs/>
          <w:color w:val="auto"/>
          <w:highlight w:val="none"/>
          <w:lang w:val="en-US" w:eastAsia="zh-CN"/>
        </w:rPr>
        <w:t>现状</w:t>
      </w:r>
    </w:p>
    <w:p>
      <w:pPr>
        <w:pStyle w:val="62"/>
        <w:pageBreakBefore w:val="0"/>
        <w:widowControl w:val="0"/>
        <w:shd w:val="clear"/>
        <w:kinsoku/>
        <w:wordWrap/>
        <w:overflowPunct/>
        <w:topLinePunct w:val="0"/>
        <w:autoSpaceDE/>
        <w:autoSpaceDN/>
        <w:bidi w:val="0"/>
        <w:adjustRightInd/>
        <w:snapToGrid/>
        <w:spacing w:before="0" w:beforeLines="0" w:after="0" w:afterLines="0" w:line="360" w:lineRule="auto"/>
        <w:ind w:left="0" w:right="0" w:firstLine="482" w:firstLineChars="200"/>
        <w:jc w:val="both"/>
        <w:textAlignment w:val="auto"/>
        <w:rPr>
          <w:rFonts w:hint="default" w:ascii="Times New Roman" w:hAnsi="Times New Roman" w:eastAsia="宋体" w:cs="Times New Roman"/>
          <w:b/>
          <w:bCs/>
          <w:color w:val="auto"/>
          <w:sz w:val="24"/>
          <w:szCs w:val="24"/>
          <w:highlight w:val="none"/>
        </w:rPr>
      </w:pPr>
      <w:r>
        <w:rPr>
          <w:rStyle w:val="64"/>
          <w:rFonts w:hint="eastAsia" w:ascii="Times New Roman" w:hAnsi="Times New Roman" w:cs="Times New Roman"/>
          <w:b/>
          <w:bCs/>
          <w:color w:val="auto"/>
          <w:sz w:val="24"/>
          <w:szCs w:val="24"/>
          <w:highlight w:val="none"/>
          <w:lang w:val="en-US" w:eastAsia="zh-CN"/>
        </w:rPr>
        <w:t>1）</w:t>
      </w:r>
      <w:r>
        <w:rPr>
          <w:rStyle w:val="64"/>
          <w:rFonts w:hint="default" w:ascii="Times New Roman" w:hAnsi="Times New Roman" w:eastAsia="宋体" w:cs="Times New Roman"/>
          <w:b/>
          <w:bCs/>
          <w:color w:val="auto"/>
          <w:sz w:val="24"/>
          <w:szCs w:val="24"/>
          <w:highlight w:val="none"/>
          <w:lang w:val="zh-TW" w:eastAsia="zh-TW"/>
        </w:rPr>
        <w:t>评价区植被类型</w:t>
      </w:r>
    </w:p>
    <w:p>
      <w:pPr>
        <w:pStyle w:val="62"/>
        <w:pageBreakBefore w:val="0"/>
        <w:widowControl w:val="0"/>
        <w:shd w:val="clear"/>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zh-TW" w:eastAsia="zh-TW"/>
        </w:rPr>
      </w:pPr>
      <w:r>
        <w:rPr>
          <w:rStyle w:val="64"/>
          <w:rFonts w:hint="default" w:ascii="Times New Roman" w:hAnsi="Times New Roman" w:eastAsia="宋体" w:cs="Times New Roman"/>
          <w:color w:val="auto"/>
          <w:sz w:val="24"/>
          <w:szCs w:val="24"/>
          <w:highlight w:val="none"/>
          <w:lang w:val="zh-TW" w:eastAsia="zh-TW"/>
        </w:rPr>
        <w:t>根据《云南植被》，工程区植被区划属（II）亚热带常绿阔叶林区——（IIA）西部半湿润常绿阔叶林亚区——（IIAii）高原亚热带北部常绿阔叶林地带——（IIAii-1）滇中、滇东高原半湿润常绿阔叶林、云南松林区——（IIAii-1b）滇中、北中山峡谷云南松林、高山栎类林亚区，地带性植被是半湿润常绿阔叶林，并伴有常绿硬叶阔叶林分布。从实地调查的情况看，因年雨量少而干季漫长，且受到人为活动的长期影响，评价区绝大多数的原始暖温性针叶林、半湿润常绿阔叶林、硬叶常绿栎林、干热性稀树灌木草丛、干热灌丛己经遭到破坏而消失，多数变为次生的干热性灌丛、暖温性针叶林、干热性稀树灌木草丛等，还有一部分被开垦为耕地活种植人工林，这些次生植被其种类组成趋于简单，次生物种增加，群落高度下降，生物多样性</w:t>
      </w:r>
      <w:r>
        <w:rPr>
          <w:rStyle w:val="64"/>
          <w:rFonts w:hint="eastAsia" w:ascii="Times New Roman" w:hAnsi="Times New Roman" w:cs="Times New Roman"/>
          <w:color w:val="auto"/>
          <w:sz w:val="24"/>
          <w:szCs w:val="24"/>
          <w:highlight w:val="none"/>
          <w:lang w:val="zh-TW" w:eastAsia="zh-CN"/>
        </w:rPr>
        <w:t>已经</w:t>
      </w:r>
      <w:r>
        <w:rPr>
          <w:rStyle w:val="64"/>
          <w:rFonts w:hint="default" w:ascii="Times New Roman" w:hAnsi="Times New Roman" w:eastAsia="宋体" w:cs="Times New Roman"/>
          <w:color w:val="auto"/>
          <w:sz w:val="24"/>
          <w:szCs w:val="24"/>
          <w:highlight w:val="none"/>
          <w:lang w:val="zh-TW" w:eastAsia="zh-TW"/>
        </w:rPr>
        <w:t>明显降低。</w:t>
      </w:r>
    </w:p>
    <w:p>
      <w:pPr>
        <w:pStyle w:val="62"/>
        <w:pageBreakBefore w:val="0"/>
        <w:widowControl w:val="0"/>
        <w:shd w:val="clear"/>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Style w:val="64"/>
          <w:rFonts w:hint="default" w:ascii="Times New Roman" w:hAnsi="Times New Roman" w:eastAsia="宋体" w:cs="Times New Roman"/>
          <w:color w:val="auto"/>
          <w:sz w:val="24"/>
          <w:szCs w:val="24"/>
          <w:highlight w:val="none"/>
          <w:lang w:val="zh-TW" w:eastAsia="zh-TW"/>
        </w:rPr>
        <w:t>根据现场踏勘与调查，依据《中国植被》、《云南植被》等专著中确定的植被分类的依据和原则，实地调查表明，目前评价区的自然植被类型包括3个植被型、3个植被亚型、4个群系。包括了本区主要的植被类型，干热性稀树灌木草丛和干热灌丛植被发育较好，有一定的代表性，具体有干热性稀树灌木草丛、干热河谷灌丛和干热河谷硬叶常绿阔叶林3种植被亚型；植被分类系统详见下表。</w:t>
      </w:r>
    </w:p>
    <w:p>
      <w:pPr>
        <w:pStyle w:val="40"/>
        <w:shd w:val="clear"/>
        <w:bidi w:val="0"/>
        <w:rPr>
          <w:rFonts w:hint="eastAsia" w:eastAsia="宋体"/>
          <w:color w:val="auto"/>
          <w:highlight w:val="none"/>
          <w:lang w:val="en-US" w:eastAsia="zh-CN"/>
        </w:rPr>
      </w:pPr>
      <w:r>
        <w:rPr>
          <w:rFonts w:hint="default"/>
          <w:color w:val="auto"/>
          <w:highlight w:val="none"/>
          <w:lang w:val="zh-TW" w:eastAsia="zh-TW"/>
        </w:rPr>
        <w:t>表</w:t>
      </w:r>
      <w:r>
        <w:rPr>
          <w:rFonts w:hint="eastAsia"/>
          <w:color w:val="auto"/>
          <w:highlight w:val="none"/>
          <w:lang w:val="en-US" w:eastAsia="zh-CN"/>
        </w:rPr>
        <w:t xml:space="preserve">4.2.5-3  </w:t>
      </w:r>
      <w:r>
        <w:rPr>
          <w:rFonts w:hint="default"/>
          <w:color w:val="auto"/>
          <w:highlight w:val="none"/>
          <w:lang w:val="zh-TW" w:eastAsia="zh-TW"/>
        </w:rPr>
        <w:t>评价区植被分类系统</w:t>
      </w:r>
      <w:r>
        <w:rPr>
          <w:rFonts w:hint="eastAsia"/>
          <w:color w:val="auto"/>
          <w:highlight w:val="none"/>
          <w:lang w:val="en-US" w:eastAsia="zh-CN"/>
        </w:rPr>
        <w:t xml:space="preserve"> </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0"/>
        <w:gridCol w:w="1486"/>
        <w:gridCol w:w="1789"/>
        <w:gridCol w:w="4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622" w:type="pct"/>
            <w:tcBorders>
              <w:tl2br w:val="nil"/>
              <w:tr2bl w:val="nil"/>
            </w:tcBorders>
            <w:noWrap w:val="0"/>
            <w:vAlign w:val="center"/>
          </w:tcPr>
          <w:p>
            <w:pPr>
              <w:pStyle w:val="42"/>
              <w:shd w:val="clear"/>
              <w:bidi w:val="0"/>
              <w:jc w:val="both"/>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植被型</w:t>
            </w:r>
          </w:p>
        </w:tc>
        <w:tc>
          <w:tcPr>
            <w:tcW w:w="872" w:type="pct"/>
            <w:tcBorders>
              <w:tl2br w:val="nil"/>
              <w:tr2bl w:val="nil"/>
            </w:tcBorders>
            <w:noWrap w:val="0"/>
            <w:vAlign w:val="center"/>
          </w:tcPr>
          <w:p>
            <w:pPr>
              <w:pStyle w:val="42"/>
              <w:shd w:val="clear"/>
              <w:bidi w:val="0"/>
              <w:jc w:val="both"/>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植被亚型</w:t>
            </w:r>
          </w:p>
        </w:tc>
        <w:tc>
          <w:tcPr>
            <w:tcW w:w="1050" w:type="pct"/>
            <w:tcBorders>
              <w:tl2br w:val="nil"/>
              <w:tr2bl w:val="nil"/>
            </w:tcBorders>
            <w:noWrap w:val="0"/>
            <w:vAlign w:val="center"/>
          </w:tcPr>
          <w:p>
            <w:pPr>
              <w:pStyle w:val="42"/>
              <w:shd w:val="clear"/>
              <w:bidi w:val="0"/>
              <w:jc w:val="both"/>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群系</w:t>
            </w:r>
          </w:p>
        </w:tc>
        <w:tc>
          <w:tcPr>
            <w:tcW w:w="2455" w:type="pct"/>
            <w:tcBorders>
              <w:tl2br w:val="nil"/>
              <w:tr2bl w:val="nil"/>
            </w:tcBorders>
            <w:noWrap w:val="0"/>
            <w:vAlign w:val="center"/>
          </w:tcPr>
          <w:p>
            <w:pPr>
              <w:pStyle w:val="42"/>
              <w:shd w:val="clear"/>
              <w:bidi w:val="0"/>
              <w:jc w:val="both"/>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群落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622" w:type="pct"/>
            <w:tcBorders>
              <w:tl2br w:val="nil"/>
              <w:tr2bl w:val="nil"/>
            </w:tcBorders>
            <w:noWrap w:val="0"/>
            <w:vAlign w:val="center"/>
          </w:tcPr>
          <w:p>
            <w:pPr>
              <w:pStyle w:val="42"/>
              <w:shd w:val="clear"/>
              <w:bidi w:val="0"/>
              <w:jc w:val="both"/>
              <w:rPr>
                <w:rFonts w:hint="default" w:ascii="Times New Roman" w:hAnsi="Times New Roman" w:eastAsia="宋体" w:cs="Times New Roman"/>
                <w:color w:val="0000FF"/>
                <w:kern w:val="0"/>
                <w:sz w:val="21"/>
                <w:szCs w:val="21"/>
                <w:highlight w:val="none"/>
                <w:lang w:val="en-US" w:eastAsia="zh-CN" w:bidi="ar-SA"/>
              </w:rPr>
            </w:pPr>
            <w:r>
              <w:rPr>
                <w:rFonts w:hint="default" w:ascii="Times New Roman" w:hAnsi="Times New Roman" w:eastAsia="宋体" w:cs="Times New Roman"/>
                <w:color w:val="0000FF"/>
                <w:sz w:val="21"/>
                <w:szCs w:val="21"/>
                <w:highlight w:val="none"/>
                <w:lang w:val="en-US" w:eastAsia="zh-CN"/>
              </w:rPr>
              <w:t>I.暖性针叶林</w:t>
            </w:r>
          </w:p>
        </w:tc>
        <w:tc>
          <w:tcPr>
            <w:tcW w:w="872" w:type="pct"/>
            <w:tcBorders>
              <w:tl2br w:val="nil"/>
              <w:tr2bl w:val="nil"/>
            </w:tcBorders>
            <w:noWrap w:val="0"/>
            <w:vAlign w:val="center"/>
          </w:tcPr>
          <w:p>
            <w:pPr>
              <w:pStyle w:val="42"/>
              <w:shd w:val="clear"/>
              <w:bidi w:val="0"/>
              <w:jc w:val="both"/>
              <w:rPr>
                <w:rFonts w:hint="default" w:ascii="Times New Roman" w:hAnsi="Times New Roman" w:eastAsia="宋体" w:cs="Times New Roman"/>
                <w:color w:val="0000FF"/>
                <w:kern w:val="0"/>
                <w:sz w:val="21"/>
                <w:szCs w:val="21"/>
                <w:highlight w:val="none"/>
                <w:lang w:val="en-US" w:eastAsia="zh-CN" w:bidi="ar-SA"/>
              </w:rPr>
            </w:pPr>
            <w:r>
              <w:rPr>
                <w:rFonts w:hint="default" w:ascii="Times New Roman" w:hAnsi="Times New Roman" w:eastAsia="宋体" w:cs="Times New Roman"/>
                <w:color w:val="0000FF"/>
                <w:sz w:val="21"/>
                <w:szCs w:val="21"/>
                <w:highlight w:val="none"/>
                <w:lang w:val="en-US" w:eastAsia="zh-CN"/>
              </w:rPr>
              <w:t>（I）暖温性针叶林</w:t>
            </w:r>
          </w:p>
        </w:tc>
        <w:tc>
          <w:tcPr>
            <w:tcW w:w="1050" w:type="pct"/>
            <w:tcBorders>
              <w:tl2br w:val="nil"/>
              <w:tr2bl w:val="nil"/>
            </w:tcBorders>
            <w:noWrap w:val="0"/>
            <w:vAlign w:val="center"/>
          </w:tcPr>
          <w:p>
            <w:pPr>
              <w:pStyle w:val="42"/>
              <w:shd w:val="clear"/>
              <w:bidi w:val="0"/>
              <w:jc w:val="both"/>
              <w:rPr>
                <w:rFonts w:hint="default" w:ascii="Times New Roman" w:hAnsi="Times New Roman" w:eastAsia="宋体" w:cs="Times New Roman"/>
                <w:color w:val="0000FF"/>
                <w:kern w:val="0"/>
                <w:sz w:val="21"/>
                <w:szCs w:val="21"/>
                <w:highlight w:val="none"/>
                <w:lang w:val="en-US" w:eastAsia="zh-CN" w:bidi="ar-SA"/>
              </w:rPr>
            </w:pPr>
            <w:r>
              <w:rPr>
                <w:rFonts w:hint="default" w:ascii="Times New Roman" w:hAnsi="Times New Roman" w:eastAsia="宋体" w:cs="Times New Roman"/>
                <w:color w:val="0000FF"/>
                <w:kern w:val="0"/>
                <w:sz w:val="21"/>
                <w:szCs w:val="21"/>
                <w:highlight w:val="none"/>
                <w:lang w:val="en-US" w:eastAsia="zh-CN" w:bidi="ar-SA"/>
              </w:rPr>
              <w:t>1.云南松林</w:t>
            </w:r>
          </w:p>
        </w:tc>
        <w:tc>
          <w:tcPr>
            <w:tcW w:w="2455" w:type="pct"/>
            <w:tcBorders>
              <w:tl2br w:val="nil"/>
              <w:tr2bl w:val="nil"/>
            </w:tcBorders>
            <w:noWrap w:val="0"/>
            <w:vAlign w:val="center"/>
          </w:tcPr>
          <w:p>
            <w:pPr>
              <w:pStyle w:val="42"/>
              <w:shd w:val="clear"/>
              <w:bidi w:val="0"/>
              <w:ind w:firstLine="0" w:firstLineChars="0"/>
              <w:jc w:val="both"/>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云南松、滇油杉林（</w:t>
            </w:r>
            <w:r>
              <w:rPr>
                <w:rFonts w:hint="default" w:ascii="Times New Roman" w:hAnsi="Times New Roman" w:eastAsia="宋体" w:cs="Times New Roman"/>
                <w:i/>
                <w:iCs/>
                <w:color w:val="0000FF"/>
                <w:sz w:val="21"/>
                <w:szCs w:val="21"/>
                <w:highlight w:val="none"/>
                <w:lang w:val="en-US" w:eastAsia="zh-CN"/>
              </w:rPr>
              <w:t>Form. Pinus yunnanensis, Keteleeria evelyniana</w:t>
            </w:r>
            <w:r>
              <w:rPr>
                <w:rFonts w:hint="default" w:ascii="Times New Roman" w:hAnsi="Times New Roman" w:eastAsia="宋体" w:cs="Times New Roman"/>
                <w:color w:val="0000FF"/>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2" w:type="pct"/>
            <w:tcBorders>
              <w:tl2br w:val="nil"/>
              <w:tr2bl w:val="nil"/>
            </w:tcBorders>
            <w:noWrap w:val="0"/>
            <w:vAlign w:val="center"/>
          </w:tcPr>
          <w:p>
            <w:pPr>
              <w:pStyle w:val="42"/>
              <w:shd w:val="clear"/>
              <w:bidi w:val="0"/>
              <w:jc w:val="both"/>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II.稀树灌木草丛</w:t>
            </w:r>
          </w:p>
        </w:tc>
        <w:tc>
          <w:tcPr>
            <w:tcW w:w="872" w:type="pct"/>
            <w:tcBorders>
              <w:tl2br w:val="nil"/>
              <w:tr2bl w:val="nil"/>
            </w:tcBorders>
            <w:noWrap w:val="0"/>
            <w:vAlign w:val="center"/>
          </w:tcPr>
          <w:p>
            <w:pPr>
              <w:pStyle w:val="42"/>
              <w:shd w:val="clear"/>
              <w:bidi w:val="0"/>
              <w:jc w:val="both"/>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（II）干热性稀树灌木草丛</w:t>
            </w:r>
          </w:p>
        </w:tc>
        <w:tc>
          <w:tcPr>
            <w:tcW w:w="1050" w:type="pct"/>
            <w:tcBorders>
              <w:tl2br w:val="nil"/>
              <w:tr2bl w:val="nil"/>
            </w:tcBorders>
            <w:noWrap w:val="0"/>
            <w:vAlign w:val="center"/>
          </w:tcPr>
          <w:p>
            <w:pPr>
              <w:pStyle w:val="42"/>
              <w:shd w:val="clear"/>
              <w:bidi w:val="0"/>
              <w:jc w:val="both"/>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2..含余甘子、扭黄茅的中草草丛</w:t>
            </w:r>
          </w:p>
        </w:tc>
        <w:tc>
          <w:tcPr>
            <w:tcW w:w="2455" w:type="pct"/>
            <w:tcBorders>
              <w:tl2br w:val="nil"/>
              <w:tr2bl w:val="nil"/>
            </w:tcBorders>
            <w:noWrap w:val="0"/>
            <w:vAlign w:val="center"/>
          </w:tcPr>
          <w:p>
            <w:pPr>
              <w:pStyle w:val="42"/>
              <w:shd w:val="clear"/>
              <w:bidi w:val="0"/>
              <w:ind w:firstLine="0" w:firstLineChars="0"/>
              <w:jc w:val="both"/>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余甘子、扭黄茅草丛（</w:t>
            </w:r>
            <w:r>
              <w:rPr>
                <w:rFonts w:hint="default" w:ascii="Times New Roman" w:hAnsi="Times New Roman" w:eastAsia="宋体" w:cs="Times New Roman"/>
                <w:i/>
                <w:iCs/>
                <w:color w:val="0000FF"/>
                <w:sz w:val="21"/>
                <w:szCs w:val="21"/>
                <w:highlight w:val="none"/>
                <w:lang w:val="en-US" w:eastAsia="zh-CN"/>
              </w:rPr>
              <w:t>Form. Phyllanthus emblica，Heteropogon contortus</w:t>
            </w:r>
            <w:r>
              <w:rPr>
                <w:rFonts w:hint="default" w:ascii="Times New Roman" w:hAnsi="Times New Roman" w:eastAsia="宋体" w:cs="Times New Roman"/>
                <w:color w:val="0000FF"/>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622" w:type="pct"/>
            <w:vMerge w:val="restart"/>
            <w:tcBorders>
              <w:tl2br w:val="nil"/>
              <w:tr2bl w:val="nil"/>
            </w:tcBorders>
            <w:noWrap w:val="0"/>
            <w:vAlign w:val="center"/>
          </w:tcPr>
          <w:p>
            <w:pPr>
              <w:pStyle w:val="42"/>
              <w:shd w:val="clear"/>
              <w:bidi w:val="0"/>
              <w:jc w:val="left"/>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III</w:t>
            </w:r>
            <w:r>
              <w:rPr>
                <w:rFonts w:hint="eastAsia" w:ascii="Times New Roman" w:hAnsi="Times New Roman" w:eastAsia="宋体" w:cs="Times New Roman"/>
                <w:color w:val="0000FF"/>
                <w:sz w:val="21"/>
                <w:szCs w:val="21"/>
                <w:highlight w:val="none"/>
                <w:lang w:val="en-US" w:eastAsia="zh-CN"/>
              </w:rPr>
              <w:t>.</w:t>
            </w:r>
            <w:r>
              <w:rPr>
                <w:rFonts w:hint="default" w:ascii="Times New Roman" w:hAnsi="Times New Roman" w:eastAsia="宋体" w:cs="Times New Roman"/>
                <w:color w:val="0000FF"/>
                <w:sz w:val="21"/>
                <w:szCs w:val="21"/>
                <w:highlight w:val="none"/>
                <w:lang w:val="en-US" w:eastAsia="zh-CN"/>
              </w:rPr>
              <w:t>灌丛</w:t>
            </w:r>
          </w:p>
        </w:tc>
        <w:tc>
          <w:tcPr>
            <w:tcW w:w="872" w:type="pct"/>
            <w:vMerge w:val="restart"/>
            <w:tcBorders>
              <w:tl2br w:val="nil"/>
              <w:tr2bl w:val="nil"/>
            </w:tcBorders>
            <w:noWrap w:val="0"/>
            <w:vAlign w:val="center"/>
          </w:tcPr>
          <w:p>
            <w:pPr>
              <w:pStyle w:val="42"/>
              <w:shd w:val="clear"/>
              <w:bidi w:val="0"/>
              <w:jc w:val="both"/>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（III）干热性灌丛</w:t>
            </w:r>
          </w:p>
        </w:tc>
        <w:tc>
          <w:tcPr>
            <w:tcW w:w="1050" w:type="pct"/>
            <w:tcBorders>
              <w:tl2br w:val="nil"/>
              <w:tr2bl w:val="nil"/>
            </w:tcBorders>
            <w:noWrap w:val="0"/>
            <w:vAlign w:val="center"/>
          </w:tcPr>
          <w:p>
            <w:pPr>
              <w:pStyle w:val="42"/>
              <w:shd w:val="clear"/>
              <w:bidi w:val="0"/>
              <w:jc w:val="both"/>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3.锥连栎灌丛</w:t>
            </w:r>
          </w:p>
        </w:tc>
        <w:tc>
          <w:tcPr>
            <w:tcW w:w="2455" w:type="pct"/>
            <w:tcBorders>
              <w:tl2br w:val="nil"/>
              <w:tr2bl w:val="nil"/>
            </w:tcBorders>
            <w:noWrap w:val="0"/>
            <w:vAlign w:val="center"/>
          </w:tcPr>
          <w:p>
            <w:pPr>
              <w:pStyle w:val="42"/>
              <w:shd w:val="clear"/>
              <w:bidi w:val="0"/>
              <w:ind w:firstLine="0" w:firstLineChars="0"/>
              <w:jc w:val="both"/>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锥连栎、光叶高山栎灌丛（</w:t>
            </w:r>
            <w:r>
              <w:rPr>
                <w:rFonts w:hint="default" w:ascii="Times New Roman" w:hAnsi="Times New Roman" w:eastAsia="宋体" w:cs="Times New Roman"/>
                <w:i/>
                <w:iCs/>
                <w:color w:val="0000FF"/>
                <w:sz w:val="21"/>
                <w:szCs w:val="21"/>
                <w:highlight w:val="none"/>
                <w:lang w:val="en-US" w:eastAsia="zh-CN"/>
              </w:rPr>
              <w:t>From.Quercus franchetii，Quercus pseudosemecarpifolia</w:t>
            </w:r>
            <w:r>
              <w:rPr>
                <w:rFonts w:hint="default" w:ascii="Times New Roman" w:hAnsi="Times New Roman" w:eastAsia="宋体" w:cs="Times New Roman"/>
                <w:color w:val="0000FF"/>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2" w:type="pct"/>
            <w:vMerge w:val="continue"/>
            <w:tcBorders>
              <w:tl2br w:val="nil"/>
              <w:tr2bl w:val="nil"/>
            </w:tcBorders>
            <w:noWrap w:val="0"/>
            <w:vAlign w:val="center"/>
          </w:tcPr>
          <w:p>
            <w:pPr>
              <w:pStyle w:val="42"/>
              <w:shd w:val="clear"/>
              <w:bidi w:val="0"/>
              <w:jc w:val="both"/>
              <w:rPr>
                <w:rFonts w:hint="default" w:ascii="Times New Roman" w:hAnsi="Times New Roman" w:eastAsia="宋体" w:cs="Times New Roman"/>
                <w:color w:val="0000FF"/>
                <w:sz w:val="21"/>
                <w:szCs w:val="21"/>
                <w:highlight w:val="none"/>
                <w:lang w:val="en-US" w:eastAsia="zh-CN"/>
              </w:rPr>
            </w:pPr>
          </w:p>
        </w:tc>
        <w:tc>
          <w:tcPr>
            <w:tcW w:w="872" w:type="pct"/>
            <w:vMerge w:val="continue"/>
            <w:tcBorders>
              <w:tl2br w:val="nil"/>
              <w:tr2bl w:val="nil"/>
            </w:tcBorders>
            <w:noWrap w:val="0"/>
            <w:vAlign w:val="center"/>
          </w:tcPr>
          <w:p>
            <w:pPr>
              <w:pStyle w:val="42"/>
              <w:shd w:val="clear"/>
              <w:bidi w:val="0"/>
              <w:jc w:val="both"/>
              <w:rPr>
                <w:rFonts w:hint="default" w:ascii="Times New Roman" w:hAnsi="Times New Roman" w:eastAsia="宋体" w:cs="Times New Roman"/>
                <w:color w:val="0000FF"/>
                <w:sz w:val="21"/>
                <w:szCs w:val="21"/>
                <w:highlight w:val="none"/>
                <w:lang w:val="en-US" w:eastAsia="zh-CN"/>
              </w:rPr>
            </w:pPr>
          </w:p>
        </w:tc>
        <w:tc>
          <w:tcPr>
            <w:tcW w:w="1050" w:type="pct"/>
            <w:tcBorders>
              <w:tl2br w:val="nil"/>
              <w:tr2bl w:val="nil"/>
            </w:tcBorders>
            <w:noWrap w:val="0"/>
            <w:vAlign w:val="center"/>
          </w:tcPr>
          <w:p>
            <w:pPr>
              <w:pStyle w:val="42"/>
              <w:shd w:val="clear"/>
              <w:bidi w:val="0"/>
              <w:jc w:val="both"/>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4.华西小石积灌丛</w:t>
            </w:r>
          </w:p>
        </w:tc>
        <w:tc>
          <w:tcPr>
            <w:tcW w:w="2455" w:type="pct"/>
            <w:tcBorders>
              <w:tl2br w:val="nil"/>
              <w:tr2bl w:val="nil"/>
            </w:tcBorders>
            <w:noWrap w:val="0"/>
            <w:vAlign w:val="center"/>
          </w:tcPr>
          <w:p>
            <w:pPr>
              <w:pStyle w:val="42"/>
              <w:shd w:val="clear"/>
              <w:bidi w:val="0"/>
              <w:ind w:firstLine="0" w:firstLineChars="0"/>
              <w:jc w:val="both"/>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华西小石积、车桑子灌丛（</w:t>
            </w:r>
            <w:r>
              <w:rPr>
                <w:rFonts w:hint="default" w:ascii="Times New Roman" w:hAnsi="Times New Roman" w:eastAsia="宋体" w:cs="Times New Roman"/>
                <w:i/>
                <w:iCs/>
                <w:color w:val="0000FF"/>
                <w:sz w:val="21"/>
                <w:szCs w:val="21"/>
                <w:highlight w:val="none"/>
                <w:lang w:val="en-US" w:eastAsia="zh-CN"/>
              </w:rPr>
              <w:t>From.Osteomeles schwerinae，Phyllanthus emblica</w:t>
            </w:r>
            <w:r>
              <w:rPr>
                <w:rFonts w:hint="default" w:ascii="Times New Roman" w:hAnsi="Times New Roman" w:eastAsia="宋体" w:cs="Times New Roman"/>
                <w:color w:val="0000FF"/>
                <w:sz w:val="21"/>
                <w:szCs w:val="21"/>
                <w:highlight w:val="none"/>
                <w:lang w:val="en-US" w:eastAsia="zh-CN"/>
              </w:rPr>
              <w:t>）</w:t>
            </w:r>
          </w:p>
        </w:tc>
      </w:tr>
    </w:tbl>
    <w:p>
      <w:pPr>
        <w:keepNext w:val="0"/>
        <w:keepLines w:val="0"/>
        <w:widowControl/>
        <w:numPr>
          <w:ilvl w:val="0"/>
          <w:numId w:val="20"/>
        </w:numPr>
        <w:suppressLineNumbers w:val="0"/>
        <w:shd w:val="clear"/>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II、III、…植被型；(I)、(II)、(III)、…植被亚型；1.、2.、3.、…群系。</w:t>
      </w:r>
    </w:p>
    <w:p>
      <w:pPr>
        <w:pStyle w:val="40"/>
        <w:shd w:val="clear"/>
        <w:bidi w:val="0"/>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highlight w:val="none"/>
          <w:lang w:val="zh-TW" w:eastAsia="zh-TW"/>
        </w:rPr>
        <w:t>表</w:t>
      </w:r>
      <w:r>
        <w:rPr>
          <w:rFonts w:hint="eastAsia" w:ascii="Times New Roman" w:hAnsi="Times New Roman" w:eastAsia="宋体" w:cs="Times New Roman"/>
          <w:color w:val="auto"/>
          <w:highlight w:val="none"/>
          <w:lang w:val="en-US" w:eastAsia="zh-CN"/>
        </w:rPr>
        <w:t>4.2.5</w:t>
      </w:r>
      <w:r>
        <w:rPr>
          <w:rFonts w:hint="default" w:ascii="Times New Roman" w:hAnsi="Times New Roman" w:eastAsia="宋体" w:cs="Times New Roman"/>
          <w:color w:val="auto"/>
          <w:highlight w:val="none"/>
          <w:lang w:val="en-US" w:eastAsia="en-US"/>
        </w:rPr>
        <w:t>-</w:t>
      </w:r>
      <w:r>
        <w:rPr>
          <w:rFonts w:hint="eastAsia" w:cs="Times New Roman"/>
          <w:color w:val="auto"/>
          <w:highlight w:val="none"/>
          <w:lang w:val="en-US" w:eastAsia="zh-CN"/>
        </w:rPr>
        <w:t>4</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val="zh-TW" w:eastAsia="zh-TW"/>
        </w:rPr>
        <w:t>评价区植被</w:t>
      </w:r>
      <w:r>
        <w:rPr>
          <w:rFonts w:hint="default" w:ascii="Times New Roman" w:hAnsi="Times New Roman" w:eastAsia="宋体" w:cs="Times New Roman"/>
          <w:color w:val="auto"/>
          <w:highlight w:val="none"/>
          <w:lang w:val="en-US" w:eastAsia="zh-CN"/>
        </w:rPr>
        <w:t>类型面积一览表</w:t>
      </w:r>
      <w:r>
        <w:rPr>
          <w:rFonts w:hint="eastAsia" w:cs="Times New Roman"/>
          <w:color w:val="auto"/>
          <w:highlight w:val="none"/>
          <w:lang w:val="en-US" w:eastAsia="zh-CN"/>
        </w:rPr>
        <w:t xml:space="preserve"> </w:t>
      </w:r>
    </w:p>
    <w:tbl>
      <w:tblPr>
        <w:tblStyle w:val="29"/>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58"/>
        <w:gridCol w:w="1301"/>
        <w:gridCol w:w="1234"/>
        <w:gridCol w:w="3527"/>
        <w:gridCol w:w="960"/>
        <w:gridCol w:w="8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4" w:hRule="atLeast"/>
        </w:trPr>
        <w:tc>
          <w:tcPr>
            <w:tcW w:w="386"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属性</w:t>
            </w:r>
          </w:p>
        </w:tc>
        <w:tc>
          <w:tcPr>
            <w:tcW w:w="763" w:type="pct"/>
            <w:shd w:val="clear" w:color="auto" w:fill="auto"/>
            <w:vAlign w:val="center"/>
          </w:tcPr>
          <w:p>
            <w:pPr>
              <w:pStyle w:val="42"/>
              <w:shd w:val="clear"/>
              <w:bidi w:val="0"/>
              <w:rPr>
                <w:rFonts w:hint="default"/>
                <w:color w:val="auto"/>
                <w:highlight w:val="none"/>
                <w:lang w:val="en-US" w:eastAsia="zh-CN"/>
              </w:rPr>
            </w:pPr>
            <w:r>
              <w:rPr>
                <w:rFonts w:hint="default"/>
                <w:color w:val="auto"/>
                <w:highlight w:val="none"/>
                <w:lang w:val="en-US" w:eastAsia="zh-CN"/>
              </w:rPr>
              <w:t>植被</w:t>
            </w:r>
          </w:p>
          <w:p>
            <w:pPr>
              <w:pStyle w:val="42"/>
              <w:shd w:val="clear"/>
              <w:bidi w:val="0"/>
              <w:rPr>
                <w:rFonts w:hint="default"/>
                <w:color w:val="auto"/>
                <w:highlight w:val="none"/>
              </w:rPr>
            </w:pPr>
            <w:r>
              <w:rPr>
                <w:rFonts w:hint="default"/>
                <w:color w:val="auto"/>
                <w:highlight w:val="none"/>
                <w:lang w:val="en-US" w:eastAsia="zh-CN"/>
              </w:rPr>
              <w:t>亚型</w:t>
            </w:r>
          </w:p>
        </w:tc>
        <w:tc>
          <w:tcPr>
            <w:tcW w:w="724"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群系</w:t>
            </w:r>
          </w:p>
        </w:tc>
        <w:tc>
          <w:tcPr>
            <w:tcW w:w="2070"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分布</w:t>
            </w:r>
          </w:p>
        </w:tc>
        <w:tc>
          <w:tcPr>
            <w:tcW w:w="563"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面积</w:t>
            </w:r>
          </w:p>
        </w:tc>
        <w:tc>
          <w:tcPr>
            <w:tcW w:w="491"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5" w:hRule="atLeast"/>
        </w:trPr>
        <w:tc>
          <w:tcPr>
            <w:tcW w:w="386" w:type="pct"/>
            <w:vMerge w:val="restar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自然植被</w:t>
            </w:r>
          </w:p>
        </w:tc>
        <w:tc>
          <w:tcPr>
            <w:tcW w:w="763"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暖温性针叶林</w:t>
            </w:r>
          </w:p>
        </w:tc>
        <w:tc>
          <w:tcPr>
            <w:tcW w:w="724"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云南松、滇油杉林</w:t>
            </w:r>
          </w:p>
        </w:tc>
        <w:tc>
          <w:tcPr>
            <w:tcW w:w="2070"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输水线路两侧受人类活动扰动较大，较湿润的山坡阴面海拔1800m以上。</w:t>
            </w:r>
          </w:p>
        </w:tc>
        <w:tc>
          <w:tcPr>
            <w:tcW w:w="563"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138.22</w:t>
            </w:r>
          </w:p>
        </w:tc>
        <w:tc>
          <w:tcPr>
            <w:tcW w:w="491"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3.21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0" w:hRule="atLeast"/>
        </w:trPr>
        <w:tc>
          <w:tcPr>
            <w:tcW w:w="386" w:type="pct"/>
            <w:vMerge w:val="continue"/>
            <w:shd w:val="clear" w:color="auto" w:fill="auto"/>
            <w:vAlign w:val="center"/>
          </w:tcPr>
          <w:p>
            <w:pPr>
              <w:pStyle w:val="42"/>
              <w:shd w:val="clear"/>
              <w:bidi w:val="0"/>
              <w:rPr>
                <w:rFonts w:hint="default"/>
                <w:color w:val="auto"/>
                <w:highlight w:val="none"/>
              </w:rPr>
            </w:pPr>
          </w:p>
        </w:tc>
        <w:tc>
          <w:tcPr>
            <w:tcW w:w="763" w:type="pct"/>
            <w:vMerge w:val="restar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干热河谷灌丛</w:t>
            </w:r>
          </w:p>
        </w:tc>
        <w:tc>
          <w:tcPr>
            <w:tcW w:w="724"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锥连栎、光叶高山栎灌丛</w:t>
            </w:r>
          </w:p>
        </w:tc>
        <w:tc>
          <w:tcPr>
            <w:tcW w:w="2070"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分布于金沙江河谷两岸山地沟谷处，海拔1400-1800m</w:t>
            </w:r>
          </w:p>
        </w:tc>
        <w:tc>
          <w:tcPr>
            <w:tcW w:w="563"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299.21</w:t>
            </w:r>
          </w:p>
        </w:tc>
        <w:tc>
          <w:tcPr>
            <w:tcW w:w="491"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6.94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386" w:type="pct"/>
            <w:vMerge w:val="continue"/>
            <w:shd w:val="clear" w:color="auto" w:fill="auto"/>
            <w:vAlign w:val="center"/>
          </w:tcPr>
          <w:p>
            <w:pPr>
              <w:pStyle w:val="42"/>
              <w:shd w:val="clear"/>
              <w:bidi w:val="0"/>
              <w:rPr>
                <w:rFonts w:hint="default"/>
                <w:color w:val="auto"/>
                <w:highlight w:val="none"/>
              </w:rPr>
            </w:pPr>
          </w:p>
        </w:tc>
        <w:tc>
          <w:tcPr>
            <w:tcW w:w="763" w:type="pct"/>
            <w:vMerge w:val="continue"/>
            <w:shd w:val="clear" w:color="auto" w:fill="auto"/>
            <w:vAlign w:val="center"/>
          </w:tcPr>
          <w:p>
            <w:pPr>
              <w:pStyle w:val="42"/>
              <w:shd w:val="clear"/>
              <w:bidi w:val="0"/>
              <w:rPr>
                <w:rFonts w:hint="default"/>
                <w:color w:val="auto"/>
                <w:highlight w:val="none"/>
              </w:rPr>
            </w:pPr>
          </w:p>
        </w:tc>
        <w:tc>
          <w:tcPr>
            <w:tcW w:w="724"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华西小石积、车桑子灌丛</w:t>
            </w:r>
          </w:p>
        </w:tc>
        <w:tc>
          <w:tcPr>
            <w:tcW w:w="2070"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分布于金沙江河谷两岸山地，海拔范围约为800~1300m</w:t>
            </w:r>
          </w:p>
        </w:tc>
        <w:tc>
          <w:tcPr>
            <w:tcW w:w="563"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1190.43</w:t>
            </w:r>
          </w:p>
        </w:tc>
        <w:tc>
          <w:tcPr>
            <w:tcW w:w="491"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27.62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12" w:hRule="atLeast"/>
        </w:trPr>
        <w:tc>
          <w:tcPr>
            <w:tcW w:w="386" w:type="pct"/>
            <w:vMerge w:val="continue"/>
            <w:shd w:val="clear" w:color="auto" w:fill="auto"/>
            <w:vAlign w:val="center"/>
          </w:tcPr>
          <w:p>
            <w:pPr>
              <w:pStyle w:val="42"/>
              <w:shd w:val="clear"/>
              <w:bidi w:val="0"/>
              <w:rPr>
                <w:rFonts w:hint="default"/>
                <w:color w:val="auto"/>
                <w:highlight w:val="none"/>
              </w:rPr>
            </w:pPr>
          </w:p>
        </w:tc>
        <w:tc>
          <w:tcPr>
            <w:tcW w:w="763"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干热性稀树灌木草丛</w:t>
            </w:r>
          </w:p>
        </w:tc>
        <w:tc>
          <w:tcPr>
            <w:tcW w:w="724"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含余甘子、扭黄茅的中草草丛</w:t>
            </w:r>
          </w:p>
        </w:tc>
        <w:tc>
          <w:tcPr>
            <w:tcW w:w="2070"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输水线路两侧受人类活动扰动较大的山体坡地，海拔1600~2100m</w:t>
            </w:r>
          </w:p>
        </w:tc>
        <w:tc>
          <w:tcPr>
            <w:tcW w:w="563"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809.82</w:t>
            </w:r>
          </w:p>
        </w:tc>
        <w:tc>
          <w:tcPr>
            <w:tcW w:w="491"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18.79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386" w:type="pct"/>
            <w:vMerge w:val="continue"/>
            <w:shd w:val="clear" w:color="auto" w:fill="auto"/>
            <w:vAlign w:val="center"/>
          </w:tcPr>
          <w:p>
            <w:pPr>
              <w:pStyle w:val="42"/>
              <w:shd w:val="clear"/>
              <w:bidi w:val="0"/>
              <w:rPr>
                <w:rFonts w:hint="default"/>
                <w:color w:val="auto"/>
                <w:highlight w:val="none"/>
              </w:rPr>
            </w:pPr>
          </w:p>
        </w:tc>
        <w:tc>
          <w:tcPr>
            <w:tcW w:w="3558" w:type="pct"/>
            <w:gridSpan w:val="3"/>
            <w:shd w:val="clear" w:color="auto" w:fill="auto"/>
            <w:vAlign w:val="center"/>
          </w:tcPr>
          <w:p>
            <w:pPr>
              <w:pStyle w:val="42"/>
              <w:shd w:val="clear"/>
              <w:bidi w:val="0"/>
              <w:rPr>
                <w:rFonts w:hint="default"/>
                <w:color w:val="auto"/>
                <w:highlight w:val="none"/>
                <w:lang w:val="en-US" w:eastAsia="zh-CN"/>
              </w:rPr>
            </w:pPr>
            <w:r>
              <w:rPr>
                <w:rFonts w:hint="default"/>
                <w:color w:val="auto"/>
                <w:highlight w:val="none"/>
                <w:lang w:val="en-US" w:eastAsia="zh-CN"/>
              </w:rPr>
              <w:t>小计</w:t>
            </w:r>
          </w:p>
        </w:tc>
        <w:tc>
          <w:tcPr>
            <w:tcW w:w="563"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2437.68</w:t>
            </w:r>
          </w:p>
        </w:tc>
        <w:tc>
          <w:tcPr>
            <w:tcW w:w="491"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56.57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386" w:type="pct"/>
            <w:vMerge w:val="restar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人工植被</w:t>
            </w:r>
          </w:p>
        </w:tc>
        <w:tc>
          <w:tcPr>
            <w:tcW w:w="763" w:type="pct"/>
            <w:shd w:val="clear" w:color="auto" w:fill="auto"/>
            <w:vAlign w:val="center"/>
          </w:tcPr>
          <w:p>
            <w:pPr>
              <w:pStyle w:val="42"/>
              <w:shd w:val="clear"/>
              <w:bidi w:val="0"/>
              <w:rPr>
                <w:rFonts w:hint="default"/>
                <w:color w:val="auto"/>
                <w:highlight w:val="none"/>
                <w:lang w:val="en-US" w:eastAsia="zh-CN"/>
              </w:rPr>
            </w:pPr>
            <w:r>
              <w:rPr>
                <w:rFonts w:hint="default"/>
                <w:color w:val="auto"/>
                <w:highlight w:val="none"/>
                <w:lang w:val="en-US" w:eastAsia="zh-CN"/>
              </w:rPr>
              <w:t>人工林植被</w:t>
            </w:r>
          </w:p>
        </w:tc>
        <w:tc>
          <w:tcPr>
            <w:tcW w:w="724"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桉树林</w:t>
            </w:r>
          </w:p>
        </w:tc>
        <w:tc>
          <w:tcPr>
            <w:tcW w:w="2070"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评价区内呈点状分散分布</w:t>
            </w:r>
          </w:p>
        </w:tc>
        <w:tc>
          <w:tcPr>
            <w:tcW w:w="563"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257.11</w:t>
            </w:r>
          </w:p>
        </w:tc>
        <w:tc>
          <w:tcPr>
            <w:tcW w:w="491"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5.97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386" w:type="pct"/>
            <w:vMerge w:val="continue"/>
            <w:shd w:val="clear" w:color="auto" w:fill="auto"/>
            <w:vAlign w:val="center"/>
          </w:tcPr>
          <w:p>
            <w:pPr>
              <w:pStyle w:val="42"/>
              <w:shd w:val="clear"/>
              <w:bidi w:val="0"/>
              <w:rPr>
                <w:rFonts w:hint="default"/>
                <w:color w:val="auto"/>
                <w:highlight w:val="none"/>
              </w:rPr>
            </w:pPr>
          </w:p>
        </w:tc>
        <w:tc>
          <w:tcPr>
            <w:tcW w:w="763" w:type="pct"/>
            <w:shd w:val="clear" w:color="auto" w:fill="auto"/>
            <w:vAlign w:val="center"/>
          </w:tcPr>
          <w:p>
            <w:pPr>
              <w:pStyle w:val="42"/>
              <w:shd w:val="clear"/>
              <w:bidi w:val="0"/>
              <w:rPr>
                <w:rFonts w:hint="default"/>
                <w:color w:val="auto"/>
                <w:highlight w:val="none"/>
                <w:lang w:val="en-US" w:eastAsia="zh-CN"/>
              </w:rPr>
            </w:pPr>
            <w:r>
              <w:rPr>
                <w:rFonts w:hint="default"/>
                <w:color w:val="auto"/>
                <w:highlight w:val="none"/>
                <w:lang w:val="en-US" w:eastAsia="zh-CN"/>
              </w:rPr>
              <w:t>园地植被</w:t>
            </w:r>
          </w:p>
        </w:tc>
        <w:tc>
          <w:tcPr>
            <w:tcW w:w="724"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果园</w:t>
            </w:r>
          </w:p>
        </w:tc>
        <w:tc>
          <w:tcPr>
            <w:tcW w:w="2070"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拟建管路的运输路段两侧的村庄栽培</w:t>
            </w:r>
          </w:p>
        </w:tc>
        <w:tc>
          <w:tcPr>
            <w:tcW w:w="563"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293.76</w:t>
            </w:r>
          </w:p>
        </w:tc>
        <w:tc>
          <w:tcPr>
            <w:tcW w:w="491"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6.82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386" w:type="pct"/>
            <w:vMerge w:val="continue"/>
            <w:shd w:val="clear" w:color="auto" w:fill="auto"/>
            <w:vAlign w:val="center"/>
          </w:tcPr>
          <w:p>
            <w:pPr>
              <w:pStyle w:val="42"/>
              <w:shd w:val="clear"/>
              <w:bidi w:val="0"/>
              <w:rPr>
                <w:rFonts w:hint="default"/>
                <w:color w:val="auto"/>
                <w:highlight w:val="none"/>
              </w:rPr>
            </w:pPr>
          </w:p>
        </w:tc>
        <w:tc>
          <w:tcPr>
            <w:tcW w:w="763" w:type="pct"/>
            <w:shd w:val="clear" w:color="auto" w:fill="auto"/>
            <w:vAlign w:val="center"/>
          </w:tcPr>
          <w:p>
            <w:pPr>
              <w:pStyle w:val="42"/>
              <w:shd w:val="clear"/>
              <w:bidi w:val="0"/>
              <w:rPr>
                <w:rFonts w:hint="default"/>
                <w:color w:val="auto"/>
                <w:highlight w:val="none"/>
                <w:lang w:val="en-US" w:eastAsia="zh-CN"/>
              </w:rPr>
            </w:pPr>
            <w:r>
              <w:rPr>
                <w:rFonts w:hint="default"/>
                <w:color w:val="auto"/>
                <w:highlight w:val="none"/>
                <w:lang w:val="en-US" w:eastAsia="zh-CN"/>
              </w:rPr>
              <w:t>耕地植被</w:t>
            </w:r>
          </w:p>
        </w:tc>
        <w:tc>
          <w:tcPr>
            <w:tcW w:w="724" w:type="pct"/>
            <w:shd w:val="clear" w:color="auto" w:fill="auto"/>
            <w:vAlign w:val="center"/>
          </w:tcPr>
          <w:p>
            <w:pPr>
              <w:pStyle w:val="42"/>
              <w:shd w:val="clear"/>
              <w:bidi w:val="0"/>
              <w:rPr>
                <w:rFonts w:hint="default"/>
                <w:color w:val="auto"/>
                <w:highlight w:val="none"/>
                <w:lang w:val="en-US"/>
              </w:rPr>
            </w:pPr>
            <w:r>
              <w:rPr>
                <w:rFonts w:hint="default"/>
                <w:color w:val="auto"/>
                <w:highlight w:val="none"/>
                <w:lang w:val="en-US" w:eastAsia="zh-CN"/>
              </w:rPr>
              <w:t>旱地、水田</w:t>
            </w:r>
          </w:p>
        </w:tc>
        <w:tc>
          <w:tcPr>
            <w:tcW w:w="2070"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评价区居民点周边</w:t>
            </w:r>
          </w:p>
        </w:tc>
        <w:tc>
          <w:tcPr>
            <w:tcW w:w="563"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1135.8</w:t>
            </w:r>
          </w:p>
        </w:tc>
        <w:tc>
          <w:tcPr>
            <w:tcW w:w="491"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26.36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386" w:type="pct"/>
            <w:vMerge w:val="continue"/>
            <w:shd w:val="clear" w:color="auto" w:fill="auto"/>
            <w:vAlign w:val="center"/>
          </w:tcPr>
          <w:p>
            <w:pPr>
              <w:pStyle w:val="42"/>
              <w:shd w:val="clear"/>
              <w:bidi w:val="0"/>
              <w:rPr>
                <w:rFonts w:hint="default"/>
                <w:color w:val="auto"/>
                <w:highlight w:val="none"/>
              </w:rPr>
            </w:pPr>
          </w:p>
        </w:tc>
        <w:tc>
          <w:tcPr>
            <w:tcW w:w="3558" w:type="pct"/>
            <w:gridSpan w:val="3"/>
            <w:shd w:val="clear" w:color="auto" w:fill="auto"/>
            <w:vAlign w:val="center"/>
          </w:tcPr>
          <w:p>
            <w:pPr>
              <w:pStyle w:val="42"/>
              <w:shd w:val="clear"/>
              <w:bidi w:val="0"/>
              <w:rPr>
                <w:rFonts w:hint="default"/>
                <w:color w:val="auto"/>
                <w:highlight w:val="none"/>
                <w:lang w:val="en-US" w:eastAsia="zh-CN"/>
              </w:rPr>
            </w:pPr>
            <w:r>
              <w:rPr>
                <w:rFonts w:hint="default"/>
                <w:color w:val="auto"/>
                <w:highlight w:val="none"/>
                <w:lang w:val="en-US" w:eastAsia="zh-CN"/>
              </w:rPr>
              <w:t>小计</w:t>
            </w:r>
          </w:p>
        </w:tc>
        <w:tc>
          <w:tcPr>
            <w:tcW w:w="563"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1686.67</w:t>
            </w:r>
          </w:p>
        </w:tc>
        <w:tc>
          <w:tcPr>
            <w:tcW w:w="491"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39.14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3945" w:type="pct"/>
            <w:gridSpan w:val="4"/>
            <w:shd w:val="clear" w:color="auto" w:fill="auto"/>
            <w:noWrap/>
            <w:vAlign w:val="center"/>
          </w:tcPr>
          <w:p>
            <w:pPr>
              <w:pStyle w:val="42"/>
              <w:shd w:val="clear"/>
              <w:bidi w:val="0"/>
              <w:rPr>
                <w:rFonts w:hint="default"/>
                <w:color w:val="auto"/>
                <w:highlight w:val="none"/>
                <w:lang w:val="en-US" w:eastAsia="zh-CN"/>
              </w:rPr>
            </w:pPr>
            <w:r>
              <w:rPr>
                <w:rFonts w:hint="default"/>
                <w:color w:val="auto"/>
                <w:highlight w:val="none"/>
                <w:lang w:val="en-US" w:eastAsia="zh-CN"/>
              </w:rPr>
              <w:t>非植被</w:t>
            </w:r>
          </w:p>
        </w:tc>
        <w:tc>
          <w:tcPr>
            <w:tcW w:w="563"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185.17</w:t>
            </w:r>
          </w:p>
        </w:tc>
        <w:tc>
          <w:tcPr>
            <w:tcW w:w="491"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945" w:type="pct"/>
            <w:gridSpan w:val="4"/>
            <w:shd w:val="clear" w:color="auto" w:fill="auto"/>
            <w:vAlign w:val="center"/>
          </w:tcPr>
          <w:p>
            <w:pPr>
              <w:pStyle w:val="42"/>
              <w:shd w:val="clear"/>
              <w:bidi w:val="0"/>
              <w:rPr>
                <w:rFonts w:hint="default"/>
                <w:color w:val="auto"/>
                <w:highlight w:val="none"/>
                <w:lang w:val="en-US" w:eastAsia="zh-CN"/>
              </w:rPr>
            </w:pPr>
            <w:r>
              <w:rPr>
                <w:rFonts w:hint="default"/>
                <w:color w:val="auto"/>
                <w:highlight w:val="none"/>
                <w:lang w:val="en-US" w:eastAsia="zh-CN"/>
              </w:rPr>
              <w:t>合计</w:t>
            </w:r>
          </w:p>
        </w:tc>
        <w:tc>
          <w:tcPr>
            <w:tcW w:w="563"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4309.52</w:t>
            </w:r>
          </w:p>
        </w:tc>
        <w:tc>
          <w:tcPr>
            <w:tcW w:w="491" w:type="pct"/>
            <w:shd w:val="clear" w:color="auto" w:fill="auto"/>
            <w:vAlign w:val="center"/>
          </w:tcPr>
          <w:p>
            <w:pPr>
              <w:pStyle w:val="42"/>
              <w:shd w:val="clear"/>
              <w:bidi w:val="0"/>
              <w:rPr>
                <w:rFonts w:hint="default"/>
                <w:color w:val="auto"/>
                <w:highlight w:val="none"/>
              </w:rPr>
            </w:pPr>
            <w:r>
              <w:rPr>
                <w:rFonts w:hint="default"/>
                <w:color w:val="auto"/>
                <w:highlight w:val="none"/>
                <w:lang w:val="en-US" w:eastAsia="zh-CN"/>
              </w:rPr>
              <w:t>100</w:t>
            </w:r>
          </w:p>
        </w:tc>
      </w:tr>
    </w:tbl>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2" w:firstLineChars="200"/>
        <w:jc w:val="both"/>
        <w:textAlignment w:val="auto"/>
        <w:rPr>
          <w:rStyle w:val="64"/>
          <w:rFonts w:hint="default" w:ascii="Times New Roman" w:hAnsi="Times New Roman" w:eastAsia="宋体" w:cs="Times New Roman"/>
          <w:b/>
          <w:bCs/>
          <w:color w:val="auto"/>
          <w:sz w:val="24"/>
          <w:szCs w:val="24"/>
          <w:highlight w:val="none"/>
          <w:lang w:val="en-US" w:eastAsia="zh-CN"/>
        </w:rPr>
      </w:pPr>
      <w:bookmarkStart w:id="541" w:name="bookmark90"/>
      <w:r>
        <w:rPr>
          <w:rStyle w:val="64"/>
          <w:rFonts w:hint="eastAsia" w:ascii="Times New Roman" w:hAnsi="Times New Roman" w:cs="Times New Roman"/>
          <w:b/>
          <w:bCs/>
          <w:color w:val="auto"/>
          <w:sz w:val="24"/>
          <w:szCs w:val="24"/>
          <w:highlight w:val="none"/>
          <w:lang w:val="en-US" w:eastAsia="zh-CN"/>
        </w:rPr>
        <w:t>2）</w:t>
      </w:r>
      <w:r>
        <w:rPr>
          <w:rStyle w:val="64"/>
          <w:rFonts w:hint="default" w:ascii="Times New Roman" w:hAnsi="Times New Roman" w:eastAsia="宋体" w:cs="Times New Roman"/>
          <w:b/>
          <w:bCs/>
          <w:color w:val="auto"/>
          <w:sz w:val="24"/>
          <w:szCs w:val="24"/>
          <w:highlight w:val="none"/>
          <w:lang w:val="en-US" w:eastAsia="zh-CN"/>
        </w:rPr>
        <w:t>评价区植被分布规律</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en-US" w:eastAsia="zh-CN"/>
        </w:rPr>
      </w:pPr>
      <w:r>
        <w:rPr>
          <w:rStyle w:val="64"/>
          <w:rFonts w:hint="eastAsia" w:ascii="Times New Roman" w:hAnsi="Times New Roman" w:cs="Times New Roman"/>
          <w:color w:val="auto"/>
          <w:sz w:val="24"/>
          <w:szCs w:val="24"/>
          <w:highlight w:val="none"/>
          <w:lang w:val="en-US" w:eastAsia="zh-CN"/>
        </w:rPr>
        <w:t>①</w:t>
      </w:r>
      <w:r>
        <w:rPr>
          <w:rStyle w:val="64"/>
          <w:rFonts w:hint="default" w:ascii="Times New Roman" w:hAnsi="Times New Roman" w:eastAsia="宋体" w:cs="Times New Roman"/>
          <w:color w:val="auto"/>
          <w:sz w:val="24"/>
          <w:szCs w:val="24"/>
          <w:highlight w:val="none"/>
          <w:lang w:val="en-US" w:eastAsia="zh-CN"/>
        </w:rPr>
        <w:t>水平地带性分布规律</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en-US" w:eastAsia="zh-CN"/>
        </w:rPr>
      </w:pPr>
      <w:r>
        <w:rPr>
          <w:rStyle w:val="64"/>
          <w:rFonts w:hint="default" w:ascii="Times New Roman" w:hAnsi="Times New Roman" w:eastAsia="宋体" w:cs="Times New Roman"/>
          <w:color w:val="auto"/>
          <w:sz w:val="24"/>
          <w:szCs w:val="24"/>
          <w:highlight w:val="none"/>
          <w:lang w:val="en-US" w:eastAsia="zh-CN"/>
        </w:rPr>
        <w:t>评价区在植被区划上属滇中、北中山峡谷云南松林、高山栎类林亚区，根据现场调查，评价区水平地带性植被是锥连栎林；评价区锥连栎灌丛为次生植被，受人为扰动较大，在海拔较低的河谷区分布有干热河谷灌丛植被，局部区域有暖温性针叶林破坏后发育起来的次生植被和稀树灌木草丛。</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en-US" w:eastAsia="zh-CN"/>
        </w:rPr>
      </w:pPr>
      <w:r>
        <w:rPr>
          <w:rStyle w:val="64"/>
          <w:rFonts w:hint="eastAsia" w:ascii="Times New Roman" w:hAnsi="Times New Roman" w:cs="Times New Roman"/>
          <w:color w:val="auto"/>
          <w:sz w:val="24"/>
          <w:szCs w:val="24"/>
          <w:highlight w:val="none"/>
          <w:lang w:val="en-US" w:eastAsia="zh-CN"/>
        </w:rPr>
        <w:t>②</w:t>
      </w:r>
      <w:r>
        <w:rPr>
          <w:rStyle w:val="64"/>
          <w:rFonts w:hint="default" w:ascii="Times New Roman" w:hAnsi="Times New Roman" w:eastAsia="宋体" w:cs="Times New Roman"/>
          <w:color w:val="auto"/>
          <w:sz w:val="24"/>
          <w:szCs w:val="24"/>
          <w:highlight w:val="none"/>
          <w:lang w:val="en-US" w:eastAsia="zh-CN"/>
        </w:rPr>
        <w:t>垂直地带性分布规律</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en-US" w:eastAsia="zh-CN"/>
        </w:rPr>
      </w:pPr>
      <w:r>
        <w:rPr>
          <w:rStyle w:val="64"/>
          <w:rFonts w:hint="default" w:ascii="Times New Roman" w:hAnsi="Times New Roman" w:eastAsia="宋体" w:cs="Times New Roman"/>
          <w:color w:val="auto"/>
          <w:sz w:val="24"/>
          <w:szCs w:val="24"/>
          <w:highlight w:val="none"/>
          <w:lang w:val="en-US" w:eastAsia="zh-CN"/>
        </w:rPr>
        <w:t>评价区的植被类型多样，垂直地带性植被突出和明显，是一地区海拔跨度的基本反映，水平地带性植被不突出。评价区主要的植被类型为干热河谷灌丛，以及在背阴的部位主要是灌丛，分布的海拔范围一直从江边900m到1700m。评价区的暖温性针叶林主要分布在海拔1800m以上，由于海拔的升高，水汽得以聚集，因此在这一海拔段形成了针叶林，但都是以云南松、滇油杉为主要树种的树林，长期以来受人为影响较大，植被次生性比较严重。</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en-US" w:eastAsia="zh-CN"/>
        </w:rPr>
      </w:pPr>
      <w:r>
        <w:rPr>
          <w:rStyle w:val="64"/>
          <w:rFonts w:hint="eastAsia" w:ascii="Times New Roman" w:hAnsi="Times New Roman" w:cs="Times New Roman"/>
          <w:color w:val="auto"/>
          <w:sz w:val="24"/>
          <w:szCs w:val="24"/>
          <w:highlight w:val="none"/>
          <w:lang w:val="en-US" w:eastAsia="zh-CN"/>
        </w:rPr>
        <w:t>③</w:t>
      </w:r>
      <w:r>
        <w:rPr>
          <w:rStyle w:val="64"/>
          <w:rFonts w:hint="default" w:ascii="Times New Roman" w:hAnsi="Times New Roman" w:eastAsia="宋体" w:cs="Times New Roman"/>
          <w:color w:val="auto"/>
          <w:sz w:val="24"/>
          <w:szCs w:val="24"/>
          <w:highlight w:val="none"/>
          <w:lang w:val="en-US" w:eastAsia="zh-CN"/>
        </w:rPr>
        <w:t>植被演替规律</w:t>
      </w:r>
    </w:p>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jc w:val="both"/>
        <w:textAlignment w:val="auto"/>
        <w:rPr>
          <w:rStyle w:val="64"/>
          <w:rFonts w:hint="default" w:ascii="Times New Roman" w:hAnsi="Times New Roman" w:eastAsia="宋体" w:cs="Times New Roman"/>
          <w:color w:val="auto"/>
          <w:sz w:val="24"/>
          <w:szCs w:val="24"/>
          <w:highlight w:val="none"/>
          <w:lang w:val="en-US" w:eastAsia="zh-CN"/>
        </w:rPr>
      </w:pPr>
      <w:r>
        <w:rPr>
          <w:rStyle w:val="64"/>
          <w:rFonts w:hint="default" w:ascii="Times New Roman" w:hAnsi="Times New Roman" w:eastAsia="宋体" w:cs="Times New Roman"/>
          <w:color w:val="auto"/>
          <w:sz w:val="24"/>
          <w:szCs w:val="24"/>
          <w:highlight w:val="none"/>
          <w:lang w:val="en-US" w:eastAsia="zh-CN"/>
        </w:rPr>
        <w:t>评价区的植被类型为干热河谷稀树灌草丛、干热河谷灌丛和暖温性针叶林。由于评价区域位于典型的金沙江干热河谷地区，经过长久的演化和适应，形成了独特的干热河谷景观，这些植被类型在评价区均为原生的植被类型。这些植被十分脆弱，在遭遇破坏后是极难恢复的。</w:t>
      </w:r>
    </w:p>
    <w:bookmarkEnd w:id="541"/>
    <w:p>
      <w:pPr>
        <w:pStyle w:val="62"/>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2" w:firstLineChars="200"/>
        <w:textAlignment w:val="auto"/>
        <w:rPr>
          <w:rFonts w:hint="default" w:ascii="Times New Roman" w:hAnsi="Times New Roman" w:eastAsia="宋体" w:cs="Times New Roman"/>
          <w:b/>
          <w:bCs/>
          <w:color w:val="auto"/>
          <w:sz w:val="24"/>
          <w:szCs w:val="24"/>
          <w:highlight w:val="none"/>
        </w:rPr>
      </w:pPr>
      <w:r>
        <w:rPr>
          <w:rStyle w:val="66"/>
          <w:rFonts w:hint="eastAsia" w:ascii="Times New Roman" w:hAnsi="Times New Roman" w:cs="Times New Roman"/>
          <w:b/>
          <w:bCs/>
          <w:color w:val="auto"/>
          <w:sz w:val="24"/>
          <w:szCs w:val="24"/>
          <w:highlight w:val="none"/>
          <w:lang w:val="en-US" w:eastAsia="zh-CN"/>
        </w:rPr>
        <w:t>3）</w:t>
      </w:r>
      <w:r>
        <w:rPr>
          <w:rStyle w:val="66"/>
          <w:rFonts w:hint="default" w:ascii="Times New Roman" w:hAnsi="Times New Roman" w:eastAsia="宋体" w:cs="Times New Roman"/>
          <w:b/>
          <w:bCs/>
          <w:color w:val="auto"/>
          <w:sz w:val="24"/>
          <w:szCs w:val="24"/>
          <w:highlight w:val="none"/>
          <w:lang w:val="zh-TW" w:eastAsia="zh-TW"/>
        </w:rPr>
        <w:t>主要的群落结构及物种组成</w:t>
      </w:r>
    </w:p>
    <w:p>
      <w:pPr>
        <w:pStyle w:val="62"/>
        <w:keepNext w:val="0"/>
        <w:keepLines w:val="0"/>
        <w:pageBreakBefore w:val="0"/>
        <w:widowControl w:val="0"/>
        <w:shd w:val="clear"/>
        <w:kinsoku/>
        <w:wordWrap/>
        <w:overflowPunct/>
        <w:topLinePunct w:val="0"/>
        <w:autoSpaceDE/>
        <w:autoSpaceDN/>
        <w:bidi w:val="0"/>
        <w:adjustRightInd/>
        <w:snapToGrid/>
        <w:spacing w:before="0" w:beforeLines="0" w:after="0" w:afterLines="0" w:line="360" w:lineRule="auto"/>
        <w:ind w:left="0" w:leftChars="0" w:firstLine="480" w:firstLineChars="200"/>
        <w:jc w:val="both"/>
        <w:textAlignment w:val="auto"/>
        <w:rPr>
          <w:rFonts w:hint="default" w:ascii="Times New Roman" w:hAnsi="Times New Roman" w:eastAsia="宋体" w:cs="Times New Roman"/>
          <w:b w:val="0"/>
          <w:bCs w:val="0"/>
          <w:color w:val="auto"/>
          <w:sz w:val="24"/>
          <w:szCs w:val="24"/>
          <w:highlight w:val="none"/>
        </w:rPr>
      </w:pPr>
      <w:r>
        <w:rPr>
          <w:rStyle w:val="64"/>
          <w:rFonts w:hint="eastAsia" w:ascii="Times New Roman" w:hAnsi="Times New Roman" w:cs="Times New Roman"/>
          <w:b w:val="0"/>
          <w:bCs w:val="0"/>
          <w:color w:val="auto"/>
          <w:sz w:val="24"/>
          <w:szCs w:val="24"/>
          <w:highlight w:val="none"/>
          <w:lang w:val="en-US" w:eastAsia="zh-CN"/>
        </w:rPr>
        <w:t>①</w:t>
      </w:r>
      <w:r>
        <w:rPr>
          <w:rStyle w:val="64"/>
          <w:rFonts w:hint="default" w:ascii="Times New Roman" w:hAnsi="Times New Roman" w:eastAsia="宋体" w:cs="Times New Roman"/>
          <w:b w:val="0"/>
          <w:bCs w:val="0"/>
          <w:color w:val="auto"/>
          <w:sz w:val="24"/>
          <w:szCs w:val="24"/>
          <w:highlight w:val="none"/>
          <w:lang w:val="zh-TW" w:eastAsia="zh-TW"/>
        </w:rPr>
        <w:t>自然植被</w:t>
      </w:r>
    </w:p>
    <w:p>
      <w:pPr>
        <w:pStyle w:val="62"/>
        <w:keepNext w:val="0"/>
        <w:keepLines w:val="0"/>
        <w:pageBreakBefore w:val="0"/>
        <w:widowControl w:val="0"/>
        <w:shd w:val="clear" w:color="auto"/>
        <w:kinsoku/>
        <w:wordWrap/>
        <w:overflowPunct/>
        <w:topLinePunct w:val="0"/>
        <w:autoSpaceDE/>
        <w:autoSpaceDN/>
        <w:bidi w:val="0"/>
        <w:adjustRightInd/>
        <w:snapToGrid/>
        <w:spacing w:before="0" w:beforeLines="0" w:after="0" w:afterLines="0" w:line="360" w:lineRule="auto"/>
        <w:ind w:left="0" w:leftChars="0" w:right="0" w:firstLine="480" w:firstLineChars="200"/>
        <w:jc w:val="both"/>
        <w:textAlignment w:val="auto"/>
        <w:rPr>
          <w:rStyle w:val="64"/>
          <w:rFonts w:hint="default" w:ascii="Times New Roman" w:hAnsi="Times New Roman" w:eastAsia="宋体" w:cs="Times New Roman"/>
          <w:b w:val="0"/>
          <w:bCs w:val="0"/>
          <w:color w:val="auto"/>
          <w:sz w:val="24"/>
          <w:szCs w:val="24"/>
          <w:highlight w:val="none"/>
          <w:lang w:val="zh-TW" w:eastAsia="zh-TW"/>
        </w:rPr>
      </w:pPr>
      <w:r>
        <w:rPr>
          <w:rStyle w:val="64"/>
          <w:rFonts w:hint="default" w:ascii="Times New Roman" w:hAnsi="Times New Roman" w:eastAsia="宋体" w:cs="Times New Roman"/>
          <w:b w:val="0"/>
          <w:bCs w:val="0"/>
          <w:color w:val="auto"/>
          <w:sz w:val="24"/>
          <w:szCs w:val="24"/>
          <w:highlight w:val="none"/>
          <w:lang w:val="zh-TW" w:eastAsia="zh-TW"/>
        </w:rPr>
        <w:t>评价区自然植被包括</w:t>
      </w:r>
      <w:r>
        <w:rPr>
          <w:rStyle w:val="64"/>
          <w:rFonts w:hint="default" w:ascii="Times New Roman" w:hAnsi="Times New Roman" w:eastAsia="宋体" w:cs="Times New Roman"/>
          <w:b w:val="0"/>
          <w:bCs w:val="0"/>
          <w:color w:val="auto"/>
          <w:sz w:val="24"/>
          <w:szCs w:val="24"/>
          <w:highlight w:val="none"/>
          <w:lang w:val="en-US" w:eastAsia="zh-CN"/>
        </w:rPr>
        <w:t>暖性针叶林、</w:t>
      </w:r>
      <w:r>
        <w:rPr>
          <w:rStyle w:val="64"/>
          <w:rFonts w:hint="default" w:ascii="Times New Roman" w:hAnsi="Times New Roman" w:eastAsia="宋体" w:cs="Times New Roman"/>
          <w:b w:val="0"/>
          <w:bCs w:val="0"/>
          <w:color w:val="auto"/>
          <w:sz w:val="24"/>
          <w:szCs w:val="24"/>
          <w:highlight w:val="none"/>
          <w:lang w:val="zh-TW" w:eastAsia="zh-TW"/>
        </w:rPr>
        <w:t>稀树灌木草丛</w:t>
      </w:r>
      <w:r>
        <w:rPr>
          <w:rStyle w:val="64"/>
          <w:rFonts w:hint="default" w:ascii="Times New Roman" w:hAnsi="Times New Roman" w:eastAsia="宋体" w:cs="Times New Roman"/>
          <w:b w:val="0"/>
          <w:bCs w:val="0"/>
          <w:color w:val="auto"/>
          <w:sz w:val="24"/>
          <w:szCs w:val="24"/>
          <w:highlight w:val="none"/>
          <w:lang w:val="en-US" w:eastAsia="zh-CN"/>
        </w:rPr>
        <w:t>和</w:t>
      </w:r>
      <w:r>
        <w:rPr>
          <w:rStyle w:val="64"/>
          <w:rFonts w:hint="default" w:ascii="Times New Roman" w:hAnsi="Times New Roman" w:eastAsia="宋体" w:cs="Times New Roman"/>
          <w:b w:val="0"/>
          <w:bCs w:val="0"/>
          <w:color w:val="auto"/>
          <w:sz w:val="24"/>
          <w:szCs w:val="24"/>
          <w:highlight w:val="none"/>
          <w:lang w:val="zh-TW" w:eastAsia="zh-TW"/>
        </w:rPr>
        <w:t>灌丛3种植被型。</w:t>
      </w:r>
    </w:p>
    <w:p>
      <w:pPr>
        <w:pStyle w:val="62"/>
        <w:keepNext w:val="0"/>
        <w:keepLines w:val="0"/>
        <w:pageBreakBefore w:val="0"/>
        <w:widowControl w:val="0"/>
        <w:numPr>
          <w:ilvl w:val="0"/>
          <w:numId w:val="0"/>
        </w:numPr>
        <w:shd w:val="clear" w:color="auto"/>
        <w:kinsoku/>
        <w:wordWrap/>
        <w:overflowPunct/>
        <w:topLinePunct w:val="0"/>
        <w:autoSpaceDE/>
        <w:autoSpaceDN/>
        <w:bidi w:val="0"/>
        <w:adjustRightInd/>
        <w:snapToGrid/>
        <w:spacing w:before="0" w:beforeLines="0" w:after="0" w:afterLines="0" w:line="360" w:lineRule="auto"/>
        <w:ind w:left="0" w:leftChars="0" w:right="0" w:rightChars="0" w:firstLine="480" w:firstLineChars="200"/>
        <w:jc w:val="both"/>
        <w:textAlignment w:val="auto"/>
        <w:rPr>
          <w:rStyle w:val="64"/>
          <w:rFonts w:hint="default" w:ascii="Times New Roman" w:hAnsi="Times New Roman" w:eastAsia="宋体" w:cs="Times New Roman"/>
          <w:b w:val="0"/>
          <w:bCs w:val="0"/>
          <w:color w:val="auto"/>
          <w:sz w:val="24"/>
          <w:szCs w:val="24"/>
          <w:highlight w:val="none"/>
          <w:lang w:val="en-US" w:eastAsia="zh-CN"/>
        </w:rPr>
      </w:pPr>
      <w:r>
        <w:rPr>
          <w:rStyle w:val="64"/>
          <w:rFonts w:hint="eastAsia" w:ascii="Times New Roman" w:hAnsi="Times New Roman" w:cs="Times New Roman"/>
          <w:b w:val="0"/>
          <w:bCs w:val="0"/>
          <w:color w:val="auto"/>
          <w:sz w:val="24"/>
          <w:szCs w:val="24"/>
          <w:highlight w:val="none"/>
          <w:lang w:val="en-US" w:eastAsia="zh-CN"/>
        </w:rPr>
        <w:t>A、</w:t>
      </w:r>
      <w:r>
        <w:rPr>
          <w:rStyle w:val="64"/>
          <w:rFonts w:hint="default" w:ascii="Times New Roman" w:hAnsi="Times New Roman" w:eastAsia="宋体" w:cs="Times New Roman"/>
          <w:b w:val="0"/>
          <w:bCs w:val="0"/>
          <w:color w:val="auto"/>
          <w:sz w:val="24"/>
          <w:szCs w:val="24"/>
          <w:highlight w:val="none"/>
          <w:lang w:val="en-US" w:eastAsia="zh-CN"/>
        </w:rPr>
        <w:t>暖温性针叶林</w:t>
      </w:r>
    </w:p>
    <w:p>
      <w:pPr>
        <w:pStyle w:val="62"/>
        <w:keepNext w:val="0"/>
        <w:keepLines w:val="0"/>
        <w:pageBreakBefore w:val="0"/>
        <w:widowControl w:val="0"/>
        <w:numPr>
          <w:ilvl w:val="0"/>
          <w:numId w:val="0"/>
        </w:numPr>
        <w:shd w:val="clear" w:color="auto"/>
        <w:kinsoku/>
        <w:wordWrap/>
        <w:overflowPunct/>
        <w:topLinePunct w:val="0"/>
        <w:autoSpaceDE/>
        <w:autoSpaceDN/>
        <w:bidi w:val="0"/>
        <w:adjustRightInd/>
        <w:snapToGrid/>
        <w:spacing w:before="0" w:beforeLines="0" w:after="0" w:afterLines="0" w:line="360" w:lineRule="auto"/>
        <w:ind w:left="0" w:leftChars="0" w:right="0" w:rightChars="0" w:firstLine="480" w:firstLineChars="200"/>
        <w:jc w:val="both"/>
        <w:textAlignment w:val="auto"/>
        <w:rPr>
          <w:rStyle w:val="64"/>
          <w:rFonts w:hint="default" w:ascii="Times New Roman" w:hAnsi="Times New Roman" w:eastAsia="宋体" w:cs="Times New Roman"/>
          <w:b w:val="0"/>
          <w:bCs w:val="0"/>
          <w:color w:val="auto"/>
          <w:sz w:val="24"/>
          <w:szCs w:val="24"/>
          <w:highlight w:val="none"/>
          <w:lang w:val="en-US" w:eastAsia="zh-CN"/>
        </w:rPr>
      </w:pPr>
      <w:r>
        <w:rPr>
          <w:rStyle w:val="64"/>
          <w:rFonts w:hint="default" w:ascii="Times New Roman" w:hAnsi="Times New Roman" w:eastAsia="宋体" w:cs="Times New Roman"/>
          <w:b w:val="0"/>
          <w:bCs w:val="0"/>
          <w:color w:val="auto"/>
          <w:sz w:val="24"/>
          <w:szCs w:val="24"/>
          <w:highlight w:val="none"/>
          <w:lang w:val="en-US" w:eastAsia="zh-CN"/>
        </w:rPr>
        <w:t>暖性针叶林分布的海拔范围一般为800～2800m，垂直幅度达2000m。根据建群种的生态特点，结合群落的结构、种类组成和生境，暖性针叶林可分为两大类：暖温性针叶林和暖热性针叶林，前者以云南松林为代表，后者以思茅松林为代表。云南松是强阳性树种，林冠不郁闭，针叶细而疏散，林内透光良好，乔木层的盖度一般保持在50%～70%之间。群落草本层的组成种类多并且混杂，以阳性耐旱的多年生草本为主，以禾本科草类为优势。</w:t>
      </w:r>
    </w:p>
    <w:p>
      <w:pPr>
        <w:pStyle w:val="62"/>
        <w:keepNext w:val="0"/>
        <w:keepLines w:val="0"/>
        <w:pageBreakBefore w:val="0"/>
        <w:widowControl w:val="0"/>
        <w:numPr>
          <w:ilvl w:val="0"/>
          <w:numId w:val="0"/>
        </w:numPr>
        <w:shd w:val="clear" w:color="auto"/>
        <w:kinsoku/>
        <w:wordWrap/>
        <w:overflowPunct/>
        <w:topLinePunct w:val="0"/>
        <w:autoSpaceDE/>
        <w:autoSpaceDN/>
        <w:bidi w:val="0"/>
        <w:adjustRightInd/>
        <w:snapToGrid/>
        <w:spacing w:before="0" w:beforeLines="0" w:after="0" w:afterLines="0" w:line="360" w:lineRule="auto"/>
        <w:ind w:left="0" w:leftChars="0" w:right="0" w:rightChars="0" w:firstLine="480" w:firstLineChars="200"/>
        <w:jc w:val="both"/>
        <w:textAlignment w:val="auto"/>
        <w:rPr>
          <w:rStyle w:val="64"/>
          <w:rFonts w:hint="default" w:ascii="Times New Roman" w:hAnsi="Times New Roman" w:eastAsia="宋体" w:cs="Times New Roman"/>
          <w:b w:val="0"/>
          <w:bCs w:val="0"/>
          <w:color w:val="auto"/>
          <w:sz w:val="24"/>
          <w:szCs w:val="24"/>
          <w:highlight w:val="none"/>
          <w:lang w:val="en-US" w:eastAsia="zh-CN"/>
        </w:rPr>
      </w:pPr>
      <w:r>
        <w:rPr>
          <w:rStyle w:val="64"/>
          <w:rFonts w:hint="default" w:ascii="Times New Roman" w:hAnsi="Times New Roman" w:eastAsia="宋体" w:cs="Times New Roman"/>
          <w:b w:val="0"/>
          <w:bCs w:val="0"/>
          <w:color w:val="auto"/>
          <w:sz w:val="24"/>
          <w:szCs w:val="24"/>
          <w:highlight w:val="none"/>
          <w:lang w:val="en-US" w:eastAsia="zh-CN"/>
        </w:rPr>
        <w:t>暖温性针叶林本植被亚型主要分布在海拔1500～2800m，喜亚热带偏干的气候，土壤以红壤为主。根据优势种的不同，可分5个群系，即云南松林、华山松林、滇油杉林、冲天柏林、藏柏林。评价区仅调查到云南松、滇油杉林一个群系。</w:t>
      </w:r>
    </w:p>
    <w:p>
      <w:pPr>
        <w:pStyle w:val="62"/>
        <w:keepNext w:val="0"/>
        <w:keepLines w:val="0"/>
        <w:pageBreakBefore w:val="0"/>
        <w:widowControl w:val="0"/>
        <w:numPr>
          <w:ilvl w:val="0"/>
          <w:numId w:val="0"/>
        </w:numPr>
        <w:shd w:val="clear" w:color="auto"/>
        <w:kinsoku/>
        <w:wordWrap/>
        <w:overflowPunct/>
        <w:topLinePunct w:val="0"/>
        <w:autoSpaceDE/>
        <w:autoSpaceDN/>
        <w:bidi w:val="0"/>
        <w:adjustRightInd/>
        <w:snapToGrid/>
        <w:spacing w:before="0" w:beforeLines="0" w:after="0" w:afterLines="0" w:line="360" w:lineRule="auto"/>
        <w:ind w:left="0" w:leftChars="0" w:right="0" w:rightChars="0" w:firstLine="482" w:firstLineChars="200"/>
        <w:jc w:val="both"/>
        <w:textAlignment w:val="auto"/>
        <w:rPr>
          <w:rStyle w:val="64"/>
          <w:rFonts w:hint="default" w:ascii="Times New Roman" w:hAnsi="Times New Roman" w:eastAsia="宋体" w:cs="Times New Roman"/>
          <w:b/>
          <w:bCs/>
          <w:color w:val="auto"/>
          <w:sz w:val="24"/>
          <w:szCs w:val="24"/>
          <w:highlight w:val="none"/>
          <w:lang w:val="en-US" w:eastAsia="zh-CN"/>
        </w:rPr>
      </w:pPr>
      <w:r>
        <w:rPr>
          <w:rStyle w:val="64"/>
          <w:rFonts w:hint="default" w:ascii="Times New Roman" w:hAnsi="Times New Roman" w:eastAsia="宋体" w:cs="Times New Roman"/>
          <w:b/>
          <w:bCs/>
          <w:color w:val="auto"/>
          <w:sz w:val="24"/>
          <w:szCs w:val="24"/>
          <w:highlight w:val="none"/>
          <w:lang w:val="en-US" w:eastAsia="zh-CN"/>
        </w:rPr>
        <w:t>云南松、滇油杉林</w:t>
      </w:r>
      <w:r>
        <w:rPr>
          <w:rStyle w:val="64"/>
          <w:rFonts w:hint="eastAsia" w:ascii="Times New Roman" w:hAnsi="Times New Roman" w:cs="Times New Roman"/>
          <w:b/>
          <w:bCs/>
          <w:color w:val="auto"/>
          <w:sz w:val="24"/>
          <w:szCs w:val="24"/>
          <w:highlight w:val="none"/>
          <w:lang w:val="en-US" w:eastAsia="zh-CN"/>
        </w:rPr>
        <w:t>：</w:t>
      </w:r>
    </w:p>
    <w:p>
      <w:pPr>
        <w:shd w:val="clear"/>
        <w:bidi w:val="0"/>
        <w:ind w:firstLine="480" w:firstLineChars="200"/>
        <w:rPr>
          <w:rFonts w:hint="default"/>
          <w:color w:val="auto"/>
          <w:highlight w:val="none"/>
          <w:lang w:val="en-US" w:eastAsia="zh-CN"/>
        </w:rPr>
      </w:pPr>
      <w:r>
        <w:rPr>
          <w:rFonts w:hint="default"/>
          <w:color w:val="auto"/>
          <w:highlight w:val="none"/>
          <w:lang w:val="en-US" w:eastAsia="zh-CN"/>
        </w:rPr>
        <w:t>群落盖度约65%，高度5-7m，分为乔木层、灌木层、草本层和层间植物4层。乔木层以云南松</w:t>
      </w:r>
      <w:r>
        <w:rPr>
          <w:rFonts w:hint="default"/>
          <w:i/>
          <w:iCs/>
          <w:color w:val="auto"/>
          <w:highlight w:val="none"/>
          <w:lang w:val="en-US" w:eastAsia="zh-CN"/>
        </w:rPr>
        <w:t>Pinus yunnanensis</w:t>
      </w:r>
      <w:r>
        <w:rPr>
          <w:rFonts w:hint="default"/>
          <w:color w:val="auto"/>
          <w:highlight w:val="none"/>
          <w:lang w:val="en-US" w:eastAsia="zh-CN"/>
        </w:rPr>
        <w:t>、滇油杉</w:t>
      </w:r>
      <w:r>
        <w:rPr>
          <w:rFonts w:hint="default" w:ascii="Times New Roman" w:hAnsi="Times New Roman" w:eastAsia="宋体" w:cs="Times New Roman"/>
          <w:i/>
          <w:iCs/>
          <w:color w:val="auto"/>
          <w:highlight w:val="none"/>
          <w:lang w:val="en-US" w:eastAsia="zh-CN"/>
        </w:rPr>
        <w:t>Keteleeria evelyniana</w:t>
      </w:r>
      <w:r>
        <w:rPr>
          <w:rFonts w:hint="default"/>
          <w:color w:val="auto"/>
          <w:highlight w:val="none"/>
          <w:lang w:val="en-US" w:eastAsia="zh-CN"/>
        </w:rPr>
        <w:t>为主，偶见盖度一般在40%左右，较稀疏。</w:t>
      </w:r>
    </w:p>
    <w:p>
      <w:pPr>
        <w:shd w:val="clear"/>
        <w:bidi w:val="0"/>
        <w:ind w:firstLine="480" w:firstLineChars="200"/>
        <w:rPr>
          <w:rFonts w:hint="default"/>
          <w:color w:val="auto"/>
          <w:highlight w:val="none"/>
          <w:lang w:val="en-US" w:eastAsia="zh-CN"/>
        </w:rPr>
      </w:pPr>
      <w:r>
        <w:rPr>
          <w:rFonts w:hint="default"/>
          <w:color w:val="auto"/>
          <w:highlight w:val="none"/>
          <w:lang w:val="en-US" w:eastAsia="zh-CN"/>
        </w:rPr>
        <w:t>灌木层种类较少，常见的有锥连栎</w:t>
      </w:r>
      <w:r>
        <w:rPr>
          <w:rFonts w:hint="default" w:ascii="Times New Roman" w:hAnsi="Times New Roman" w:eastAsia="宋体" w:cs="Times New Roman"/>
          <w:i/>
          <w:iCs/>
          <w:color w:val="auto"/>
          <w:highlight w:val="none"/>
          <w:lang w:val="en-US" w:eastAsia="zh-CN"/>
        </w:rPr>
        <w:t>Quercus franchetii</w:t>
      </w:r>
      <w:r>
        <w:rPr>
          <w:rFonts w:hint="default"/>
          <w:color w:val="auto"/>
          <w:highlight w:val="none"/>
          <w:lang w:val="en-US" w:eastAsia="zh-CN"/>
        </w:rPr>
        <w:t>、光叶高山栎</w:t>
      </w:r>
      <w:r>
        <w:rPr>
          <w:rFonts w:hint="default" w:ascii="Times New Roman" w:hAnsi="Times New Roman" w:eastAsia="宋体" w:cs="Times New Roman"/>
          <w:i/>
          <w:iCs/>
          <w:color w:val="auto"/>
          <w:highlight w:val="none"/>
          <w:lang w:val="en-US" w:eastAsia="zh-CN"/>
        </w:rPr>
        <w:t>Quercus pseudosemecarpifoli</w:t>
      </w:r>
      <w:r>
        <w:rPr>
          <w:rFonts w:hint="default"/>
          <w:color w:val="auto"/>
          <w:highlight w:val="none"/>
          <w:lang w:val="en-US" w:eastAsia="zh-CN"/>
        </w:rPr>
        <w:t>、</w:t>
      </w:r>
      <w:r>
        <w:rPr>
          <w:rFonts w:hint="default"/>
          <w:color w:val="auto"/>
          <w:highlight w:val="none"/>
          <w:lang w:val="zh-TW" w:eastAsia="zh-TW"/>
        </w:rPr>
        <w:t>沙针</w:t>
      </w:r>
      <w:r>
        <w:rPr>
          <w:rFonts w:hint="default" w:ascii="Times New Roman" w:hAnsi="Times New Roman" w:eastAsia="宋体" w:cs="Times New Roman"/>
          <w:i/>
          <w:iCs/>
          <w:color w:val="auto"/>
          <w:highlight w:val="none"/>
          <w:lang w:val="en-US" w:eastAsia="zh-CN"/>
        </w:rPr>
        <w:t>Osyris lanceolata</w:t>
      </w:r>
      <w:r>
        <w:rPr>
          <w:rFonts w:hint="default"/>
          <w:color w:val="auto"/>
          <w:highlight w:val="none"/>
          <w:lang w:val="en-US" w:eastAsia="zh-CN"/>
        </w:rPr>
        <w:t>、</w:t>
      </w:r>
      <w:r>
        <w:rPr>
          <w:rFonts w:hint="default"/>
          <w:color w:val="auto"/>
          <w:highlight w:val="none"/>
          <w:lang w:val="zh-TW" w:eastAsia="zh-TW"/>
        </w:rPr>
        <w:t>铁仔</w:t>
      </w:r>
      <w:r>
        <w:rPr>
          <w:rFonts w:hint="default" w:ascii="Times New Roman" w:hAnsi="Times New Roman" w:eastAsia="宋体" w:cs="Times New Roman"/>
          <w:i/>
          <w:iCs/>
          <w:color w:val="auto"/>
          <w:highlight w:val="none"/>
          <w:lang w:val="en-US" w:eastAsia="zh-CN"/>
        </w:rPr>
        <w:t>Myrsine africana</w:t>
      </w:r>
      <w:r>
        <w:rPr>
          <w:rFonts w:hint="default"/>
          <w:color w:val="auto"/>
          <w:highlight w:val="none"/>
          <w:lang w:val="en-US" w:eastAsia="zh-CN"/>
        </w:rPr>
        <w:t>、</w:t>
      </w:r>
      <w:r>
        <w:rPr>
          <w:rFonts w:hint="default"/>
          <w:color w:val="auto"/>
          <w:highlight w:val="none"/>
          <w:lang w:val="zh-TW" w:eastAsia="zh-TW"/>
        </w:rPr>
        <w:t>马桑</w:t>
      </w:r>
      <w:r>
        <w:rPr>
          <w:rFonts w:hint="default" w:ascii="Times New Roman" w:hAnsi="Times New Roman" w:eastAsia="宋体" w:cs="Times New Roman"/>
          <w:i/>
          <w:iCs/>
          <w:color w:val="auto"/>
          <w:highlight w:val="none"/>
          <w:lang w:val="en-US" w:eastAsia="zh-CN"/>
        </w:rPr>
        <w:t>Coriaria nepalensis</w:t>
      </w:r>
      <w:r>
        <w:rPr>
          <w:rFonts w:hint="default"/>
          <w:color w:val="auto"/>
          <w:highlight w:val="none"/>
          <w:lang w:val="en-US" w:eastAsia="zh-CN"/>
        </w:rPr>
        <w:t>等。</w:t>
      </w:r>
    </w:p>
    <w:p>
      <w:pPr>
        <w:shd w:val="clear"/>
        <w:bidi w:val="0"/>
        <w:ind w:firstLine="480" w:firstLineChars="200"/>
        <w:rPr>
          <w:rFonts w:hint="default"/>
          <w:color w:val="auto"/>
          <w:highlight w:val="none"/>
          <w:lang w:val="en-US" w:eastAsia="zh-CN"/>
        </w:rPr>
      </w:pPr>
      <w:r>
        <w:rPr>
          <w:rFonts w:hint="default"/>
          <w:color w:val="auto"/>
          <w:highlight w:val="none"/>
          <w:lang w:val="zh-TW" w:eastAsia="zh-TW"/>
        </w:rPr>
        <w:t>草本层高</w:t>
      </w:r>
      <w:r>
        <w:rPr>
          <w:rFonts w:hint="default"/>
          <w:color w:val="auto"/>
          <w:highlight w:val="none"/>
          <w:lang w:val="en-US" w:eastAsia="en-US"/>
        </w:rPr>
        <w:t>0.1</w:t>
      </w:r>
      <w:r>
        <w:rPr>
          <w:rFonts w:hint="default"/>
          <w:color w:val="auto"/>
          <w:highlight w:val="none"/>
          <w:lang w:val="en-US" w:eastAsia="zh-CN"/>
        </w:rPr>
        <w:t>m</w:t>
      </w:r>
      <w:r>
        <w:rPr>
          <w:rFonts w:hint="default"/>
          <w:color w:val="auto"/>
          <w:highlight w:val="none"/>
          <w:lang w:val="zh-TW" w:eastAsia="zh-TW"/>
        </w:rPr>
        <w:t>〜</w:t>
      </w:r>
      <w:r>
        <w:rPr>
          <w:rFonts w:hint="default"/>
          <w:color w:val="auto"/>
          <w:highlight w:val="none"/>
          <w:lang w:val="en-US" w:eastAsia="en-US"/>
        </w:rPr>
        <w:t>0.6</w:t>
      </w:r>
      <w:r>
        <w:rPr>
          <w:rFonts w:hint="default"/>
          <w:color w:val="auto"/>
          <w:highlight w:val="none"/>
          <w:lang w:val="en-US" w:eastAsia="zh-CN"/>
        </w:rPr>
        <w:t>m</w:t>
      </w:r>
      <w:r>
        <w:rPr>
          <w:rFonts w:hint="default"/>
          <w:color w:val="auto"/>
          <w:highlight w:val="none"/>
          <w:lang w:val="en-US" w:eastAsia="en-US"/>
        </w:rPr>
        <w:t>，</w:t>
      </w:r>
      <w:r>
        <w:rPr>
          <w:rFonts w:hint="default"/>
          <w:color w:val="auto"/>
          <w:highlight w:val="none"/>
          <w:lang w:val="zh-TW" w:eastAsia="zh-TW"/>
        </w:rPr>
        <w:t>较低矮，层盖度35%〜</w:t>
      </w:r>
      <w:r>
        <w:rPr>
          <w:rFonts w:hint="default"/>
          <w:color w:val="auto"/>
          <w:highlight w:val="none"/>
          <w:lang w:val="en-US" w:eastAsia="zh-CN"/>
        </w:rPr>
        <w:t>4</w:t>
      </w:r>
      <w:r>
        <w:rPr>
          <w:rFonts w:hint="default"/>
          <w:color w:val="auto"/>
          <w:highlight w:val="none"/>
          <w:lang w:val="zh-TW" w:eastAsia="zh-TW"/>
        </w:rPr>
        <w:t>5%</w:t>
      </w:r>
      <w:r>
        <w:rPr>
          <w:rFonts w:hint="default"/>
          <w:color w:val="auto"/>
          <w:highlight w:val="none"/>
          <w:lang w:val="zh-TW" w:eastAsia="zh-CN"/>
        </w:rPr>
        <w:t>，</w:t>
      </w:r>
      <w:r>
        <w:rPr>
          <w:rFonts w:hint="default"/>
          <w:color w:val="auto"/>
          <w:highlight w:val="none"/>
          <w:lang w:val="zh-TW" w:eastAsia="zh-TW"/>
        </w:rPr>
        <w:t>常见的种类如：刺芒野古草</w:t>
      </w:r>
      <w:r>
        <w:rPr>
          <w:rFonts w:hint="default" w:ascii="Times New Roman" w:hAnsi="Times New Roman" w:eastAsia="宋体" w:cs="Times New Roman"/>
          <w:i/>
          <w:iCs/>
          <w:color w:val="auto"/>
          <w:highlight w:val="none"/>
          <w:lang w:val="en-US" w:eastAsia="zh-CN"/>
        </w:rPr>
        <w:t>Arundinella setosa</w:t>
      </w:r>
      <w:r>
        <w:rPr>
          <w:rFonts w:hint="default"/>
          <w:color w:val="auto"/>
          <w:highlight w:val="none"/>
          <w:lang w:val="zh-TW" w:eastAsia="zh-TW"/>
        </w:rPr>
        <w:t>、扭黄茅</w:t>
      </w:r>
      <w:r>
        <w:rPr>
          <w:rFonts w:hint="default" w:ascii="Times New Roman" w:hAnsi="Times New Roman" w:eastAsia="宋体" w:cs="Times New Roman"/>
          <w:i/>
          <w:iCs/>
          <w:color w:val="auto"/>
          <w:highlight w:val="none"/>
          <w:lang w:val="en-US" w:eastAsia="zh-CN"/>
        </w:rPr>
        <w:t>Heteropogon contortus</w:t>
      </w:r>
      <w:r>
        <w:rPr>
          <w:rFonts w:hint="default"/>
          <w:color w:val="auto"/>
          <w:highlight w:val="none"/>
          <w:lang w:val="zh-TW" w:eastAsia="zh-CN"/>
        </w:rPr>
        <w:t>、</w:t>
      </w:r>
      <w:r>
        <w:rPr>
          <w:rFonts w:hint="default"/>
          <w:color w:val="auto"/>
          <w:highlight w:val="none"/>
          <w:lang w:val="en-US" w:eastAsia="zh-CN"/>
        </w:rPr>
        <w:t>野拔子</w:t>
      </w:r>
      <w:r>
        <w:rPr>
          <w:rFonts w:hint="default" w:ascii="Times New Roman" w:hAnsi="Times New Roman" w:eastAsia="宋体" w:cs="Times New Roman"/>
          <w:i/>
          <w:iCs/>
          <w:color w:val="auto"/>
          <w:highlight w:val="none"/>
          <w:lang w:val="en-US" w:eastAsia="zh-CN"/>
        </w:rPr>
        <w:t>Elsholtzia rugulosa</w:t>
      </w:r>
      <w:r>
        <w:rPr>
          <w:rFonts w:hint="default"/>
          <w:color w:val="auto"/>
          <w:highlight w:val="none"/>
          <w:lang w:val="en-US" w:eastAsia="zh-CN"/>
        </w:rPr>
        <w:t>、芸香草</w:t>
      </w:r>
      <w:r>
        <w:rPr>
          <w:rFonts w:hint="default" w:ascii="Times New Roman" w:hAnsi="Times New Roman" w:eastAsia="宋体" w:cs="Times New Roman"/>
          <w:i/>
          <w:iCs/>
          <w:color w:val="auto"/>
          <w:highlight w:val="none"/>
          <w:lang w:val="en-US" w:eastAsia="zh-CN"/>
        </w:rPr>
        <w:t>Cymbopogon distans</w:t>
      </w:r>
      <w:r>
        <w:rPr>
          <w:rFonts w:hint="default"/>
          <w:color w:val="auto"/>
          <w:highlight w:val="none"/>
          <w:lang w:val="en-US" w:eastAsia="zh-CN"/>
        </w:rPr>
        <w:t>、矛叶荩草</w:t>
      </w:r>
      <w:r>
        <w:rPr>
          <w:rFonts w:hint="default" w:ascii="Times New Roman" w:hAnsi="Times New Roman" w:eastAsia="宋体" w:cs="Times New Roman"/>
          <w:i/>
          <w:iCs/>
          <w:color w:val="auto"/>
          <w:highlight w:val="none"/>
          <w:lang w:val="en-US" w:eastAsia="zh-CN"/>
        </w:rPr>
        <w:t>Arthraxon prionodes</w:t>
      </w:r>
      <w:r>
        <w:rPr>
          <w:rFonts w:hint="default"/>
          <w:color w:val="auto"/>
          <w:highlight w:val="none"/>
          <w:lang w:val="en-US" w:eastAsia="zh-CN"/>
        </w:rPr>
        <w:t>、灰苞蒿</w:t>
      </w:r>
      <w:r>
        <w:rPr>
          <w:rFonts w:hint="default" w:ascii="Times New Roman" w:hAnsi="Times New Roman" w:eastAsia="宋体" w:cs="Times New Roman"/>
          <w:i/>
          <w:iCs/>
          <w:color w:val="auto"/>
          <w:highlight w:val="none"/>
          <w:lang w:val="en-US" w:eastAsia="zh-CN"/>
        </w:rPr>
        <w:t>Artemisia roxburghiana</w:t>
      </w:r>
      <w:r>
        <w:rPr>
          <w:rFonts w:hint="default"/>
          <w:color w:val="auto"/>
          <w:highlight w:val="none"/>
          <w:lang w:val="en-US" w:eastAsia="zh-CN"/>
        </w:rPr>
        <w:t>、</w:t>
      </w:r>
      <w:r>
        <w:rPr>
          <w:rFonts w:hint="default"/>
          <w:color w:val="auto"/>
          <w:highlight w:val="none"/>
          <w:lang w:val="zh-TW" w:eastAsia="zh-TW"/>
        </w:rPr>
        <w:t>拟金茅</w:t>
      </w:r>
      <w:r>
        <w:rPr>
          <w:rFonts w:hint="default" w:ascii="Times New Roman" w:hAnsi="Times New Roman" w:eastAsia="宋体" w:cs="Times New Roman"/>
          <w:i/>
          <w:iCs/>
          <w:color w:val="auto"/>
          <w:highlight w:val="none"/>
          <w:lang w:val="en-US" w:eastAsia="zh-CN"/>
        </w:rPr>
        <w:t>Eulaliopsis binata</w:t>
      </w:r>
      <w:r>
        <w:rPr>
          <w:rFonts w:hint="default"/>
          <w:color w:val="auto"/>
          <w:highlight w:val="none"/>
          <w:lang w:val="zh-TW" w:eastAsia="zh-TW"/>
        </w:rPr>
        <w:t>、牛膝</w:t>
      </w:r>
      <w:r>
        <w:rPr>
          <w:rFonts w:hint="default" w:ascii="Times New Roman" w:hAnsi="Times New Roman" w:eastAsia="宋体" w:cs="Times New Roman"/>
          <w:i/>
          <w:iCs/>
          <w:color w:val="auto"/>
          <w:highlight w:val="none"/>
          <w:lang w:val="en-US" w:eastAsia="zh-CN"/>
        </w:rPr>
        <w:t>Achyranthes bidentata</w:t>
      </w:r>
      <w:r>
        <w:rPr>
          <w:rFonts w:hint="default"/>
          <w:color w:val="auto"/>
          <w:highlight w:val="none"/>
          <w:lang w:val="zh-TW" w:eastAsia="zh-TW"/>
        </w:rPr>
        <w:t>、类雀稗</w:t>
      </w:r>
      <w:r>
        <w:rPr>
          <w:rFonts w:hint="default" w:ascii="Times New Roman" w:hAnsi="Times New Roman" w:eastAsia="宋体" w:cs="Times New Roman"/>
          <w:i/>
          <w:iCs/>
          <w:color w:val="auto"/>
          <w:highlight w:val="none"/>
          <w:lang w:val="en-US" w:eastAsia="zh-CN"/>
        </w:rPr>
        <w:t>Paspalidiumflavidum</w:t>
      </w:r>
      <w:r>
        <w:rPr>
          <w:rFonts w:hint="default"/>
          <w:color w:val="auto"/>
          <w:highlight w:val="none"/>
          <w:lang w:val="zh-TW" w:eastAsia="zh-TW"/>
        </w:rPr>
        <w:t>、三叶鬼针草</w:t>
      </w:r>
      <w:r>
        <w:rPr>
          <w:rFonts w:hint="default" w:ascii="Times New Roman" w:hAnsi="Times New Roman" w:eastAsia="宋体" w:cs="Times New Roman"/>
          <w:i/>
          <w:iCs/>
          <w:color w:val="auto"/>
          <w:highlight w:val="none"/>
          <w:lang w:val="en-US" w:eastAsia="zh-CN"/>
        </w:rPr>
        <w:t>Bidens pilosa</w:t>
      </w:r>
      <w:r>
        <w:rPr>
          <w:rFonts w:hint="default"/>
          <w:color w:val="auto"/>
          <w:highlight w:val="none"/>
          <w:lang w:val="zh-TW" w:eastAsia="zh-CN"/>
        </w:rPr>
        <w:t>、</w:t>
      </w:r>
      <w:r>
        <w:rPr>
          <w:rFonts w:hint="default"/>
          <w:color w:val="auto"/>
          <w:highlight w:val="none"/>
          <w:lang w:val="en-US" w:eastAsia="zh-CN"/>
        </w:rPr>
        <w:t>戟叶酸模</w:t>
      </w:r>
      <w:r>
        <w:rPr>
          <w:rFonts w:hint="default" w:ascii="Times New Roman" w:hAnsi="Times New Roman" w:eastAsia="宋体" w:cs="Times New Roman"/>
          <w:i/>
          <w:iCs/>
          <w:color w:val="auto"/>
          <w:highlight w:val="none"/>
          <w:lang w:val="en-US" w:eastAsia="zh-CN"/>
        </w:rPr>
        <w:t>Rumex hastatus</w:t>
      </w:r>
      <w:r>
        <w:rPr>
          <w:rFonts w:hint="default"/>
          <w:color w:val="auto"/>
          <w:highlight w:val="none"/>
          <w:lang w:val="en-US" w:eastAsia="zh-CN"/>
        </w:rPr>
        <w:t>、狗尾草</w:t>
      </w:r>
      <w:r>
        <w:rPr>
          <w:rFonts w:hint="default" w:ascii="Times New Roman" w:hAnsi="Times New Roman" w:eastAsia="宋体" w:cs="Times New Roman"/>
          <w:i/>
          <w:iCs/>
          <w:color w:val="auto"/>
          <w:highlight w:val="none"/>
          <w:lang w:val="en-US" w:eastAsia="zh-CN"/>
        </w:rPr>
        <w:t>Setaria viridis</w:t>
      </w:r>
      <w:r>
        <w:rPr>
          <w:rFonts w:hint="default"/>
          <w:color w:val="auto"/>
          <w:highlight w:val="none"/>
          <w:lang w:val="en-US" w:eastAsia="zh-CN"/>
        </w:rPr>
        <w:t>等。</w:t>
      </w:r>
    </w:p>
    <w:p>
      <w:pPr>
        <w:pStyle w:val="62"/>
        <w:keepNext w:val="0"/>
        <w:keepLines w:val="0"/>
        <w:pageBreakBefore w:val="0"/>
        <w:widowControl w:val="0"/>
        <w:numPr>
          <w:ilvl w:val="0"/>
          <w:numId w:val="0"/>
        </w:numPr>
        <w:shd w:val="clear" w:color="auto"/>
        <w:kinsoku/>
        <w:wordWrap/>
        <w:overflowPunct/>
        <w:topLinePunct w:val="0"/>
        <w:autoSpaceDE/>
        <w:autoSpaceDN/>
        <w:bidi w:val="0"/>
        <w:adjustRightInd/>
        <w:snapToGrid/>
        <w:spacing w:before="0" w:beforeLines="0" w:after="0" w:afterLines="0" w:line="360" w:lineRule="auto"/>
        <w:ind w:left="0" w:leftChars="0" w:right="0" w:rightChars="0" w:firstLine="480" w:firstLineChars="200"/>
        <w:jc w:val="both"/>
        <w:textAlignment w:val="auto"/>
        <w:rPr>
          <w:rStyle w:val="64"/>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cs="Times New Roman"/>
          <w:b w:val="0"/>
          <w:bCs w:val="0"/>
          <w:color w:val="auto"/>
          <w:kern w:val="2"/>
          <w:sz w:val="24"/>
          <w:szCs w:val="24"/>
          <w:highlight w:val="none"/>
          <w:lang w:val="en-US" w:eastAsia="zh-CN" w:bidi="ar-SA"/>
        </w:rPr>
        <w:t>B、</w:t>
      </w:r>
      <w:r>
        <w:rPr>
          <w:rStyle w:val="64"/>
          <w:rFonts w:hint="default" w:ascii="Times New Roman" w:hAnsi="Times New Roman" w:eastAsia="宋体" w:cs="Times New Roman"/>
          <w:b w:val="0"/>
          <w:bCs w:val="0"/>
          <w:color w:val="auto"/>
          <w:sz w:val="24"/>
          <w:szCs w:val="24"/>
          <w:highlight w:val="none"/>
          <w:lang w:val="en-US" w:eastAsia="zh-CN"/>
        </w:rPr>
        <w:t>干热性稀树灌木草丛</w:t>
      </w:r>
    </w:p>
    <w:p>
      <w:pPr>
        <w:shd w:val="clear"/>
        <w:bidi w:val="0"/>
        <w:ind w:firstLine="480" w:firstLineChars="200"/>
        <w:rPr>
          <w:rStyle w:val="64"/>
          <w:rFonts w:hint="default" w:ascii="Times New Roman" w:hAnsi="Times New Roman" w:eastAsia="宋体" w:cs="Times New Roman"/>
          <w:b w:val="0"/>
          <w:bCs w:val="0"/>
          <w:color w:val="auto"/>
          <w:szCs w:val="24"/>
          <w:highlight w:val="none"/>
          <w:lang w:val="en-US" w:eastAsia="zh-CN"/>
        </w:rPr>
      </w:pPr>
      <w:r>
        <w:rPr>
          <w:rFonts w:hint="default"/>
          <w:color w:val="auto"/>
          <w:highlight w:val="none"/>
          <w:lang w:val="zh-TW" w:eastAsia="zh-TW"/>
        </w:rPr>
        <w:t>在云南省，稀树灌木草丛是一类分布十分广泛的类型。群落以草从为主，其间散生灌木和乔木。灌木一般低矮，有时高度不及草丛。散生的乔木一般生长不良，不规则地在成片草丛上散布着</w:t>
      </w:r>
      <w:r>
        <w:rPr>
          <w:rFonts w:hint="default"/>
          <w:color w:val="auto"/>
          <w:highlight w:val="none"/>
          <w:lang w:val="zh-TW" w:eastAsia="zh-CN"/>
        </w:rPr>
        <w:t>，</w:t>
      </w:r>
      <w:r>
        <w:rPr>
          <w:rFonts w:hint="default"/>
          <w:color w:val="auto"/>
          <w:highlight w:val="none"/>
          <w:lang w:val="zh-TW" w:eastAsia="zh-TW"/>
        </w:rPr>
        <w:t>外观似为</w:t>
      </w:r>
      <w:r>
        <w:rPr>
          <w:rFonts w:hint="eastAsia"/>
          <w:color w:val="auto"/>
          <w:highlight w:val="none"/>
          <w:lang w:val="zh-TW" w:eastAsia="zh-CN"/>
        </w:rPr>
        <w:t>“</w:t>
      </w:r>
      <w:r>
        <w:rPr>
          <w:rFonts w:hint="default"/>
          <w:color w:val="auto"/>
          <w:highlight w:val="none"/>
          <w:lang w:val="zh-TW" w:eastAsia="zh-TW"/>
        </w:rPr>
        <w:t>稀树草原</w:t>
      </w:r>
      <w:r>
        <w:rPr>
          <w:rFonts w:hint="eastAsia"/>
          <w:color w:val="auto"/>
          <w:highlight w:val="none"/>
          <w:lang w:val="zh-TW" w:eastAsia="zh-CN"/>
        </w:rPr>
        <w:t>”</w:t>
      </w:r>
      <w:r>
        <w:rPr>
          <w:rFonts w:hint="default"/>
          <w:color w:val="auto"/>
          <w:highlight w:val="none"/>
          <w:lang w:val="zh-TW" w:eastAsia="zh-TW"/>
        </w:rPr>
        <w:t>状。稀树灌木</w:t>
      </w:r>
      <w:r>
        <w:rPr>
          <w:rFonts w:hint="default"/>
          <w:color w:val="auto"/>
          <w:highlight w:val="none"/>
          <w:lang w:val="en-US" w:eastAsia="zh-CN"/>
        </w:rPr>
        <w:t>草丛</w:t>
      </w:r>
      <w:r>
        <w:rPr>
          <w:rFonts w:hint="default"/>
          <w:color w:val="auto"/>
          <w:highlight w:val="none"/>
          <w:lang w:val="zh-TW" w:eastAsia="zh-TW"/>
        </w:rPr>
        <w:t>为金沙江干热河谷的原始植被类型，乔木、灌木和草丛三者的比例常随地而异。甚至于有灌木而无乔木，或有乔木而少见灌木，或局部地区乔灌木均无而为一片草丛，等等，所以，过去曾给此类植被以不同的名称，诸如</w:t>
      </w:r>
      <w:r>
        <w:rPr>
          <w:rFonts w:hint="eastAsia"/>
          <w:color w:val="auto"/>
          <w:highlight w:val="none"/>
          <w:lang w:val="zh-TW" w:eastAsia="zh-CN"/>
        </w:rPr>
        <w:t>“</w:t>
      </w:r>
      <w:r>
        <w:rPr>
          <w:rFonts w:hint="default"/>
          <w:color w:val="auto"/>
          <w:highlight w:val="none"/>
          <w:lang w:val="zh-TW" w:eastAsia="zh-TW"/>
        </w:rPr>
        <w:t>草丛</w:t>
      </w:r>
      <w:r>
        <w:rPr>
          <w:rFonts w:hint="eastAsia"/>
          <w:color w:val="auto"/>
          <w:highlight w:val="none"/>
          <w:lang w:val="zh-TW" w:eastAsia="zh-CN"/>
        </w:rPr>
        <w:t>”“</w:t>
      </w:r>
      <w:r>
        <w:rPr>
          <w:rFonts w:hint="default"/>
          <w:color w:val="auto"/>
          <w:highlight w:val="none"/>
          <w:lang w:val="zh-TW" w:eastAsia="zh-TW"/>
        </w:rPr>
        <w:t>灌木草丛</w:t>
      </w:r>
      <w:r>
        <w:rPr>
          <w:rFonts w:hint="eastAsia"/>
          <w:color w:val="auto"/>
          <w:highlight w:val="none"/>
          <w:lang w:val="zh-TW" w:eastAsia="zh-CN"/>
        </w:rPr>
        <w:t>”“</w:t>
      </w:r>
      <w:r>
        <w:rPr>
          <w:rFonts w:hint="default"/>
          <w:color w:val="auto"/>
          <w:highlight w:val="none"/>
          <w:lang w:val="zh-TW" w:eastAsia="zh-TW"/>
        </w:rPr>
        <w:t>稀树草丛</w:t>
      </w:r>
      <w:r>
        <w:rPr>
          <w:rFonts w:hint="eastAsia"/>
          <w:color w:val="auto"/>
          <w:highlight w:val="none"/>
          <w:lang w:val="zh-TW" w:eastAsia="zh-CN"/>
        </w:rPr>
        <w:t>”“</w:t>
      </w:r>
      <w:r>
        <w:rPr>
          <w:rFonts w:hint="default"/>
          <w:color w:val="auto"/>
          <w:highlight w:val="none"/>
          <w:lang w:val="zh-TW" w:eastAsia="zh-TW"/>
        </w:rPr>
        <w:t>稀树丛</w:t>
      </w:r>
      <w:r>
        <w:rPr>
          <w:rFonts w:hint="eastAsia"/>
          <w:color w:val="auto"/>
          <w:highlight w:val="none"/>
          <w:lang w:val="zh-TW" w:eastAsia="zh-CN"/>
        </w:rPr>
        <w:t>”</w:t>
      </w:r>
      <w:r>
        <w:rPr>
          <w:rFonts w:hint="default"/>
          <w:color w:val="auto"/>
          <w:highlight w:val="none"/>
          <w:lang w:val="zh-TW" w:eastAsia="zh-TW"/>
        </w:rPr>
        <w:t>等。评价区的稀树灌木草丛分布较广，但主要是含</w:t>
      </w:r>
      <w:r>
        <w:rPr>
          <w:rFonts w:hint="default"/>
          <w:color w:val="auto"/>
          <w:highlight w:val="none"/>
          <w:lang w:val="en-US" w:eastAsia="zh-CN"/>
        </w:rPr>
        <w:t>余甘子、扭黄茅</w:t>
      </w:r>
      <w:r>
        <w:rPr>
          <w:rFonts w:hint="default"/>
          <w:color w:val="auto"/>
          <w:highlight w:val="none"/>
          <w:lang w:val="zh-TW" w:eastAsia="zh-TW"/>
        </w:rPr>
        <w:t>的中草草丛，即包含1个群系：含</w:t>
      </w:r>
      <w:r>
        <w:rPr>
          <w:rFonts w:hint="default"/>
          <w:color w:val="auto"/>
          <w:highlight w:val="none"/>
          <w:lang w:val="en-US" w:eastAsia="zh-CN"/>
        </w:rPr>
        <w:t>余甘子、扭黄茅</w:t>
      </w:r>
      <w:r>
        <w:rPr>
          <w:rFonts w:hint="default"/>
          <w:color w:val="auto"/>
          <w:highlight w:val="none"/>
          <w:lang w:val="zh-TW" w:eastAsia="zh-TW"/>
        </w:rPr>
        <w:t>的中草草丛</w:t>
      </w:r>
      <w:r>
        <w:rPr>
          <w:rFonts w:hint="default"/>
          <w:color w:val="auto"/>
          <w:highlight w:val="none"/>
          <w:lang w:val="en-US" w:eastAsia="en-US"/>
        </w:rPr>
        <w:t>（</w:t>
      </w:r>
      <w:r>
        <w:rPr>
          <w:rFonts w:hint="default"/>
          <w:i/>
          <w:iCs/>
          <w:color w:val="auto"/>
          <w:highlight w:val="none"/>
          <w:lang w:val="en-US" w:eastAsia="zh-CN"/>
        </w:rPr>
        <w:t>Form</w:t>
      </w:r>
      <w:r>
        <w:rPr>
          <w:rFonts w:hint="default"/>
          <w:i/>
          <w:iCs/>
          <w:color w:val="auto"/>
          <w:highlight w:val="none"/>
          <w:lang w:val="en-US" w:eastAsia="en-US"/>
        </w:rPr>
        <w:t>.</w:t>
      </w:r>
      <w:r>
        <w:rPr>
          <w:rFonts w:hint="default"/>
          <w:i/>
          <w:iCs/>
          <w:color w:val="auto"/>
          <w:highlight w:val="none"/>
          <w:lang w:val="en-US" w:eastAsia="zh-CN"/>
        </w:rPr>
        <w:t xml:space="preserve"> Phyllanthus emblica</w:t>
      </w:r>
      <w:r>
        <w:rPr>
          <w:rFonts w:hint="eastAsia"/>
          <w:i w:val="0"/>
          <w:iCs w:val="0"/>
          <w:color w:val="auto"/>
          <w:highlight w:val="none"/>
          <w:lang w:val="en-US" w:eastAsia="zh-CN"/>
        </w:rPr>
        <w:t xml:space="preserve">, </w:t>
      </w:r>
      <w:r>
        <w:rPr>
          <w:rFonts w:hint="default"/>
          <w:i/>
          <w:iCs/>
          <w:color w:val="auto"/>
          <w:highlight w:val="none"/>
          <w:lang w:val="en-US" w:eastAsia="zh-CN"/>
        </w:rPr>
        <w:t>Heteropogon contortus</w:t>
      </w:r>
      <w:r>
        <w:rPr>
          <w:rFonts w:hint="default"/>
          <w:color w:val="auto"/>
          <w:highlight w:val="none"/>
          <w:lang w:val="en-US" w:eastAsia="zh-CN"/>
        </w:rPr>
        <w:t>）</w:t>
      </w:r>
      <w:r>
        <w:rPr>
          <w:rFonts w:hint="default"/>
          <w:color w:val="auto"/>
          <w:highlight w:val="none"/>
          <w:lang w:val="zh-TW" w:eastAsia="zh-TW"/>
        </w:rPr>
        <w:t>。</w:t>
      </w:r>
    </w:p>
    <w:p>
      <w:pPr>
        <w:shd w:val="clear"/>
        <w:bidi w:val="0"/>
        <w:ind w:firstLine="482" w:firstLineChars="200"/>
        <w:rPr>
          <w:rFonts w:hint="default"/>
          <w:b/>
          <w:bCs/>
          <w:color w:val="auto"/>
          <w:highlight w:val="none"/>
          <w:lang w:val="en-US" w:eastAsia="zh-CN"/>
        </w:rPr>
      </w:pPr>
      <w:r>
        <w:rPr>
          <w:rFonts w:hint="default"/>
          <w:b/>
          <w:bCs/>
          <w:color w:val="auto"/>
          <w:highlight w:val="none"/>
          <w:lang w:val="en-US" w:eastAsia="zh-CN"/>
        </w:rPr>
        <w:t>含余甘子、扭黄茅的中草草丛</w:t>
      </w:r>
      <w:r>
        <w:rPr>
          <w:rFonts w:hint="eastAsia"/>
          <w:b/>
          <w:bCs/>
          <w:color w:val="auto"/>
          <w:highlight w:val="none"/>
          <w:lang w:val="en-US" w:eastAsia="zh-CN"/>
        </w:rPr>
        <w:t>：</w:t>
      </w:r>
    </w:p>
    <w:p>
      <w:pPr>
        <w:shd w:val="clear"/>
        <w:bidi w:val="0"/>
        <w:ind w:firstLine="480" w:firstLineChars="200"/>
        <w:rPr>
          <w:rFonts w:hint="default"/>
          <w:color w:val="auto"/>
          <w:highlight w:val="none"/>
          <w:lang w:val="en-US" w:eastAsia="zh-CN"/>
        </w:rPr>
      </w:pPr>
      <w:r>
        <w:rPr>
          <w:rFonts w:hint="default"/>
          <w:color w:val="auto"/>
          <w:highlight w:val="none"/>
          <w:lang w:val="en-US" w:eastAsia="zh-CN"/>
        </w:rPr>
        <w:t>含余甘子、扭黄茅的中草草丛</w:t>
      </w:r>
      <w:r>
        <w:rPr>
          <w:rFonts w:hint="default"/>
          <w:color w:val="auto"/>
          <w:highlight w:val="none"/>
          <w:lang w:val="zh-TW" w:eastAsia="zh-TW"/>
        </w:rPr>
        <w:t>是滇川金沙江干热河谷上常见而重要的植被，也是西部偏干性亚热带的典型代表群系</w:t>
      </w:r>
      <w:r>
        <w:rPr>
          <w:rFonts w:hint="default"/>
          <w:color w:val="auto"/>
          <w:highlight w:val="none"/>
          <w:lang w:val="zh-TW" w:eastAsia="zh-CN"/>
        </w:rPr>
        <w:t>，</w:t>
      </w:r>
      <w:r>
        <w:rPr>
          <w:rFonts w:hint="default"/>
          <w:color w:val="auto"/>
          <w:highlight w:val="none"/>
          <w:lang w:val="zh-TW" w:eastAsia="zh-TW"/>
        </w:rPr>
        <w:t>群落总盖度60%</w:t>
      </w:r>
      <w:r>
        <w:rPr>
          <w:rFonts w:hint="default"/>
          <w:color w:val="auto"/>
          <w:highlight w:val="none"/>
          <w:lang w:val="en-US" w:eastAsia="zh-CN"/>
        </w:rPr>
        <w:t>~9</w:t>
      </w:r>
      <w:r>
        <w:rPr>
          <w:rFonts w:hint="default"/>
          <w:color w:val="auto"/>
          <w:highlight w:val="none"/>
          <w:lang w:val="zh-TW" w:eastAsia="zh-TW"/>
        </w:rPr>
        <w:t>0%</w:t>
      </w:r>
      <w:r>
        <w:rPr>
          <w:rFonts w:hint="default"/>
          <w:color w:val="auto"/>
          <w:highlight w:val="none"/>
          <w:lang w:val="zh-TW" w:eastAsia="zh-CN"/>
        </w:rPr>
        <w:t>，</w:t>
      </w:r>
      <w:r>
        <w:rPr>
          <w:rFonts w:hint="default"/>
          <w:color w:val="auto"/>
          <w:highlight w:val="none"/>
          <w:lang w:val="zh-TW" w:eastAsia="zh-TW"/>
        </w:rPr>
        <w:t>主要是草本层。群落分为</w:t>
      </w:r>
      <w:r>
        <w:rPr>
          <w:rFonts w:hint="default"/>
          <w:color w:val="auto"/>
          <w:highlight w:val="none"/>
          <w:lang w:val="en-US" w:eastAsia="zh-CN"/>
        </w:rPr>
        <w:t>乔木层、灌木层和草本层3</w:t>
      </w:r>
      <w:r>
        <w:rPr>
          <w:rFonts w:hint="default"/>
          <w:color w:val="auto"/>
          <w:highlight w:val="none"/>
          <w:lang w:val="zh-TW" w:eastAsia="zh-TW"/>
        </w:rPr>
        <w:t>个结构层，在</w:t>
      </w:r>
      <w:r>
        <w:rPr>
          <w:rFonts w:hint="default"/>
          <w:color w:val="auto"/>
          <w:highlight w:val="none"/>
          <w:lang w:val="en-US" w:eastAsia="zh-CN"/>
        </w:rPr>
        <w:t>部分区域只有草本层</w:t>
      </w:r>
      <w:r>
        <w:rPr>
          <w:rFonts w:hint="default"/>
          <w:color w:val="auto"/>
          <w:highlight w:val="none"/>
          <w:lang w:val="zh-TW" w:eastAsia="zh-TW"/>
        </w:rPr>
        <w:t>一层。</w:t>
      </w:r>
    </w:p>
    <w:p>
      <w:pPr>
        <w:shd w:val="clear"/>
        <w:bidi w:val="0"/>
        <w:rPr>
          <w:rFonts w:hint="default"/>
          <w:color w:val="auto"/>
          <w:highlight w:val="none"/>
          <w:lang w:val="en-US"/>
        </w:rPr>
      </w:pPr>
      <w:r>
        <w:rPr>
          <w:rFonts w:hint="default"/>
          <w:color w:val="auto"/>
          <w:highlight w:val="none"/>
          <w:lang w:val="zh-TW" w:eastAsia="zh-TW"/>
        </w:rPr>
        <w:t>乔木层</w:t>
      </w:r>
      <w:r>
        <w:rPr>
          <w:rFonts w:hint="default"/>
          <w:color w:val="auto"/>
          <w:highlight w:val="none"/>
          <w:lang w:val="en-US" w:eastAsia="zh-CN"/>
        </w:rPr>
        <w:t>通常不发达，高度通常5-7m，盖度不足5%，部分区域甚至没有乔木植株，常见种类有余甘子</w:t>
      </w:r>
      <w:r>
        <w:rPr>
          <w:rFonts w:hint="default"/>
          <w:i/>
          <w:iCs/>
          <w:color w:val="auto"/>
          <w:highlight w:val="none"/>
          <w:lang w:val="en-US" w:eastAsia="zh-CN"/>
        </w:rPr>
        <w:t>Phyllanthus emblica</w:t>
      </w:r>
      <w:r>
        <w:rPr>
          <w:rFonts w:hint="default"/>
          <w:color w:val="auto"/>
          <w:highlight w:val="none"/>
          <w:lang w:val="en-US" w:eastAsia="zh-CN"/>
        </w:rPr>
        <w:t>、云南松</w:t>
      </w:r>
      <w:r>
        <w:rPr>
          <w:rFonts w:hint="default" w:ascii="Times New Roman" w:hAnsi="Times New Roman" w:eastAsia="宋体" w:cs="Times New Roman"/>
          <w:i/>
          <w:iCs/>
          <w:color w:val="auto"/>
          <w:highlight w:val="none"/>
          <w:lang w:val="en-US" w:eastAsia="zh-CN"/>
        </w:rPr>
        <w:t>Pinus yunnanensis</w:t>
      </w:r>
      <w:r>
        <w:rPr>
          <w:rFonts w:hint="default"/>
          <w:color w:val="auto"/>
          <w:highlight w:val="none"/>
          <w:lang w:val="en-US" w:eastAsia="zh-CN"/>
        </w:rPr>
        <w:t xml:space="preserve">、滇油杉 </w:t>
      </w:r>
      <w:r>
        <w:rPr>
          <w:rFonts w:hint="default" w:ascii="Times New Roman" w:hAnsi="Times New Roman" w:eastAsia="宋体" w:cs="Times New Roman"/>
          <w:i/>
          <w:iCs/>
          <w:color w:val="auto"/>
          <w:highlight w:val="none"/>
          <w:lang w:val="en-US" w:eastAsia="zh-CN"/>
        </w:rPr>
        <w:t>Keteleeria evelyniana</w:t>
      </w:r>
      <w:r>
        <w:rPr>
          <w:rFonts w:hint="default"/>
          <w:color w:val="auto"/>
          <w:highlight w:val="none"/>
          <w:lang w:val="en-US" w:eastAsia="zh-CN"/>
        </w:rPr>
        <w:t>等。</w:t>
      </w:r>
    </w:p>
    <w:p>
      <w:pPr>
        <w:shd w:val="clear"/>
        <w:bidi w:val="0"/>
        <w:ind w:firstLine="480" w:firstLineChars="200"/>
        <w:rPr>
          <w:rFonts w:hint="default"/>
          <w:color w:val="auto"/>
          <w:highlight w:val="none"/>
          <w:lang w:val="en-US" w:eastAsia="zh-CN"/>
        </w:rPr>
      </w:pPr>
      <w:r>
        <w:rPr>
          <w:rFonts w:hint="default"/>
          <w:color w:val="auto"/>
          <w:highlight w:val="none"/>
          <w:lang w:val="zh-TW" w:eastAsia="zh-TW"/>
        </w:rPr>
        <w:t>灌木层</w:t>
      </w:r>
      <w:r>
        <w:rPr>
          <w:rFonts w:hint="default"/>
          <w:color w:val="auto"/>
          <w:highlight w:val="none"/>
          <w:lang w:val="en-US" w:eastAsia="zh-CN"/>
        </w:rPr>
        <w:t>种类较少</w:t>
      </w:r>
      <w:r>
        <w:rPr>
          <w:rFonts w:hint="default"/>
          <w:color w:val="auto"/>
          <w:highlight w:val="none"/>
          <w:lang w:val="zh-TW" w:eastAsia="zh-TW"/>
        </w:rPr>
        <w:t>，</w:t>
      </w:r>
      <w:r>
        <w:rPr>
          <w:rFonts w:hint="default"/>
          <w:color w:val="auto"/>
          <w:highlight w:val="none"/>
          <w:lang w:val="en-US" w:eastAsia="zh-CN"/>
        </w:rPr>
        <w:t>高度1-3m，盖度约10%，通常可见</w:t>
      </w:r>
      <w:r>
        <w:rPr>
          <w:rFonts w:hint="default"/>
          <w:color w:val="auto"/>
          <w:highlight w:val="none"/>
          <w:lang w:val="zh-TW" w:eastAsia="zh-TW"/>
        </w:rPr>
        <w:t>车桑子</w:t>
      </w:r>
      <w:r>
        <w:rPr>
          <w:rFonts w:hint="default" w:ascii="Times New Roman" w:hAnsi="Times New Roman" w:eastAsia="宋体" w:cs="Times New Roman"/>
          <w:i/>
          <w:iCs/>
          <w:color w:val="auto"/>
          <w:highlight w:val="none"/>
          <w:lang w:val="en-US" w:eastAsia="zh-CN"/>
        </w:rPr>
        <w:t>Dodonaea viscosa</w:t>
      </w:r>
      <w:r>
        <w:rPr>
          <w:rFonts w:hint="default"/>
          <w:color w:val="auto"/>
          <w:highlight w:val="none"/>
          <w:lang w:val="en-US" w:eastAsia="zh-CN"/>
        </w:rPr>
        <w:t>、华西小石积</w:t>
      </w:r>
      <w:r>
        <w:rPr>
          <w:rFonts w:hint="default" w:ascii="Times New Roman" w:hAnsi="Times New Roman" w:eastAsia="宋体" w:cs="Times New Roman"/>
          <w:i/>
          <w:iCs/>
          <w:color w:val="auto"/>
          <w:highlight w:val="none"/>
          <w:lang w:val="en-US" w:eastAsia="zh-CN"/>
        </w:rPr>
        <w:t>Osteomeles schwerinae</w:t>
      </w:r>
      <w:r>
        <w:rPr>
          <w:rFonts w:hint="default"/>
          <w:color w:val="auto"/>
          <w:highlight w:val="none"/>
          <w:lang w:val="zh-TW" w:eastAsia="zh-CN"/>
        </w:rPr>
        <w:t>、</w:t>
      </w:r>
      <w:r>
        <w:rPr>
          <w:rFonts w:hint="default"/>
          <w:color w:val="auto"/>
          <w:highlight w:val="none"/>
          <w:lang w:val="zh-TW" w:eastAsia="zh-TW"/>
        </w:rPr>
        <w:t>马桑</w:t>
      </w:r>
      <w:r>
        <w:rPr>
          <w:rFonts w:hint="default" w:ascii="Times New Roman" w:hAnsi="Times New Roman" w:eastAsia="宋体" w:cs="Times New Roman"/>
          <w:i/>
          <w:iCs/>
          <w:color w:val="auto"/>
          <w:highlight w:val="none"/>
          <w:lang w:val="en-US" w:eastAsia="zh-CN"/>
        </w:rPr>
        <w:t>Coriaria nepalensis</w:t>
      </w:r>
      <w:r>
        <w:rPr>
          <w:rFonts w:hint="default"/>
          <w:color w:val="auto"/>
          <w:highlight w:val="none"/>
          <w:lang w:val="en-US" w:eastAsia="zh-CN"/>
        </w:rPr>
        <w:t>、滇黔黄檀</w:t>
      </w:r>
      <w:r>
        <w:rPr>
          <w:rFonts w:hint="default" w:ascii="Times New Roman" w:hAnsi="Times New Roman" w:eastAsia="宋体" w:cs="Times New Roman"/>
          <w:i/>
          <w:iCs/>
          <w:color w:val="auto"/>
          <w:highlight w:val="none"/>
          <w:lang w:val="en-US" w:eastAsia="zh-CN"/>
        </w:rPr>
        <w:t>Dalbergia yunnanensis</w:t>
      </w:r>
      <w:r>
        <w:rPr>
          <w:rFonts w:hint="default"/>
          <w:color w:val="auto"/>
          <w:highlight w:val="none"/>
          <w:lang w:val="en-US" w:eastAsia="zh-CN"/>
        </w:rPr>
        <w:t>、</w:t>
      </w:r>
      <w:r>
        <w:rPr>
          <w:rFonts w:hint="default"/>
          <w:color w:val="auto"/>
          <w:highlight w:val="none"/>
          <w:lang w:val="zh-TW" w:eastAsia="zh-TW"/>
        </w:rPr>
        <w:t>疏序黄荆</w:t>
      </w:r>
      <w:r>
        <w:rPr>
          <w:rFonts w:hint="default" w:ascii="Times New Roman" w:hAnsi="Times New Roman" w:eastAsia="宋体" w:cs="Times New Roman"/>
          <w:i/>
          <w:iCs/>
          <w:color w:val="auto"/>
          <w:highlight w:val="none"/>
          <w:lang w:val="en-US" w:eastAsia="zh-CN"/>
        </w:rPr>
        <w:t>Vitex negundo</w:t>
      </w:r>
      <w:r>
        <w:rPr>
          <w:rFonts w:hint="default"/>
          <w:color w:val="auto"/>
          <w:highlight w:val="none"/>
          <w:lang w:val="en-US" w:eastAsia="zh-CN"/>
        </w:rPr>
        <w:t>等。</w:t>
      </w:r>
    </w:p>
    <w:p>
      <w:pPr>
        <w:shd w:val="clear"/>
        <w:bidi w:val="0"/>
        <w:ind w:firstLine="480" w:firstLineChars="200"/>
        <w:rPr>
          <w:rFonts w:hint="default"/>
          <w:color w:val="auto"/>
          <w:highlight w:val="none"/>
          <w:lang w:val="en-US" w:eastAsia="zh-CN"/>
        </w:rPr>
      </w:pPr>
      <w:r>
        <w:rPr>
          <w:rFonts w:hint="default"/>
          <w:color w:val="auto"/>
          <w:highlight w:val="none"/>
          <w:lang w:val="zh-TW" w:eastAsia="zh-TW"/>
        </w:rPr>
        <w:t>草本层发育极好</w:t>
      </w:r>
      <w:r>
        <w:rPr>
          <w:rFonts w:hint="default"/>
          <w:color w:val="auto"/>
          <w:highlight w:val="none"/>
          <w:lang w:val="zh-TW" w:eastAsia="zh-CN"/>
        </w:rPr>
        <w:t>，</w:t>
      </w:r>
      <w:r>
        <w:rPr>
          <w:rFonts w:hint="default"/>
          <w:color w:val="auto"/>
          <w:highlight w:val="none"/>
          <w:lang w:val="en-US" w:eastAsia="zh-CN"/>
        </w:rPr>
        <w:t>高度可到1.5m，盖度70%左右，</w:t>
      </w:r>
      <w:r>
        <w:rPr>
          <w:rFonts w:hint="default"/>
          <w:color w:val="auto"/>
          <w:highlight w:val="none"/>
          <w:lang w:val="zh-TW" w:eastAsia="zh-TW"/>
        </w:rPr>
        <w:t>种类较少、保存较为完整，优势种极为明显，扭黄茅</w:t>
      </w:r>
      <w:r>
        <w:rPr>
          <w:rFonts w:hint="default" w:ascii="Times New Roman" w:hAnsi="Times New Roman" w:eastAsia="宋体" w:cs="Times New Roman"/>
          <w:i/>
          <w:iCs/>
          <w:color w:val="auto"/>
          <w:highlight w:val="none"/>
          <w:lang w:val="en-US" w:eastAsia="zh-CN"/>
        </w:rPr>
        <w:t>Heteropogon contortu</w:t>
      </w:r>
      <w:r>
        <w:rPr>
          <w:rFonts w:hint="default"/>
          <w:color w:val="auto"/>
          <w:highlight w:val="none"/>
          <w:lang w:val="en-US" w:eastAsia="zh-CN"/>
        </w:rPr>
        <w:t>占绝对优势</w:t>
      </w:r>
      <w:r>
        <w:rPr>
          <w:rFonts w:hint="default"/>
          <w:color w:val="auto"/>
          <w:highlight w:val="none"/>
          <w:lang w:val="zh-TW" w:eastAsia="zh-CN"/>
        </w:rPr>
        <w:t>，</w:t>
      </w:r>
      <w:r>
        <w:rPr>
          <w:rFonts w:hint="default"/>
          <w:color w:val="auto"/>
          <w:highlight w:val="none"/>
          <w:lang w:val="en-US" w:eastAsia="zh-CN"/>
        </w:rPr>
        <w:t>其他常见种类</w:t>
      </w:r>
      <w:r>
        <w:rPr>
          <w:rFonts w:hint="default"/>
          <w:color w:val="auto"/>
          <w:highlight w:val="none"/>
          <w:lang w:val="zh-TW" w:eastAsia="zh-TW"/>
        </w:rPr>
        <w:t>有</w:t>
      </w:r>
      <w:r>
        <w:rPr>
          <w:rFonts w:hint="default"/>
          <w:color w:val="auto"/>
          <w:highlight w:val="none"/>
          <w:lang w:val="en-US" w:eastAsia="zh-CN"/>
        </w:rPr>
        <w:t>芸香草</w:t>
      </w:r>
      <w:r>
        <w:rPr>
          <w:rFonts w:hint="default" w:ascii="Times New Roman" w:hAnsi="Times New Roman" w:eastAsia="宋体" w:cs="Times New Roman"/>
          <w:i/>
          <w:iCs/>
          <w:color w:val="auto"/>
          <w:highlight w:val="none"/>
          <w:lang w:val="en-US" w:eastAsia="zh-CN"/>
        </w:rPr>
        <w:t>Cymbopogon distans</w:t>
      </w:r>
      <w:r>
        <w:rPr>
          <w:rFonts w:hint="default"/>
          <w:color w:val="auto"/>
          <w:highlight w:val="none"/>
          <w:lang w:val="en-US" w:eastAsia="zh-CN"/>
        </w:rPr>
        <w:t>、矛叶荩草</w:t>
      </w:r>
      <w:r>
        <w:rPr>
          <w:rFonts w:hint="default" w:ascii="Times New Roman" w:hAnsi="Times New Roman" w:eastAsia="宋体" w:cs="Times New Roman"/>
          <w:i/>
          <w:iCs/>
          <w:color w:val="auto"/>
          <w:highlight w:val="none"/>
          <w:lang w:val="en-US" w:eastAsia="zh-CN"/>
        </w:rPr>
        <w:t>Arthraxon prionodes</w:t>
      </w:r>
      <w:r>
        <w:rPr>
          <w:rFonts w:hint="default"/>
          <w:color w:val="auto"/>
          <w:highlight w:val="none"/>
          <w:lang w:val="en-US" w:eastAsia="zh-CN"/>
        </w:rPr>
        <w:t>、孔颖草</w:t>
      </w:r>
      <w:r>
        <w:rPr>
          <w:rFonts w:hint="default" w:ascii="Times New Roman" w:hAnsi="Times New Roman" w:eastAsia="宋体" w:cs="Times New Roman"/>
          <w:i/>
          <w:iCs/>
          <w:color w:val="auto"/>
          <w:highlight w:val="none"/>
          <w:lang w:val="en-US" w:eastAsia="zh-CN"/>
        </w:rPr>
        <w:t>Bothriochloa pertusa</w:t>
      </w:r>
      <w:r>
        <w:rPr>
          <w:rFonts w:hint="default"/>
          <w:color w:val="auto"/>
          <w:highlight w:val="none"/>
          <w:lang w:val="en-US" w:eastAsia="zh-CN"/>
        </w:rPr>
        <w:t>、双花草</w:t>
      </w:r>
      <w:r>
        <w:rPr>
          <w:rFonts w:hint="default" w:ascii="Times New Roman" w:hAnsi="Times New Roman" w:eastAsia="宋体" w:cs="Times New Roman"/>
          <w:i/>
          <w:iCs/>
          <w:color w:val="auto"/>
          <w:highlight w:val="none"/>
          <w:lang w:val="en-US" w:eastAsia="zh-CN"/>
        </w:rPr>
        <w:t>Dichanthium annulatu</w:t>
      </w:r>
      <w:r>
        <w:rPr>
          <w:rFonts w:hint="default"/>
          <w:color w:val="auto"/>
          <w:highlight w:val="none"/>
          <w:lang w:val="en-US" w:eastAsia="zh-CN"/>
        </w:rPr>
        <w:t>、牛膝</w:t>
      </w:r>
      <w:r>
        <w:rPr>
          <w:rFonts w:hint="default" w:ascii="Times New Roman" w:hAnsi="Times New Roman" w:eastAsia="宋体" w:cs="Times New Roman"/>
          <w:i/>
          <w:iCs/>
          <w:color w:val="auto"/>
          <w:highlight w:val="none"/>
          <w:lang w:val="en-US" w:eastAsia="zh-CN"/>
        </w:rPr>
        <w:t>Achyranthes bidentata</w:t>
      </w:r>
      <w:r>
        <w:rPr>
          <w:rFonts w:hint="default"/>
          <w:color w:val="auto"/>
          <w:highlight w:val="none"/>
          <w:lang w:eastAsia="zh-CN"/>
        </w:rPr>
        <w:t>、</w:t>
      </w:r>
      <w:r>
        <w:rPr>
          <w:rFonts w:hint="default"/>
          <w:color w:val="auto"/>
          <w:highlight w:val="none"/>
          <w:lang w:val="en-US" w:eastAsia="zh-CN"/>
        </w:rPr>
        <w:t>三叶鬼针草</w:t>
      </w:r>
      <w:r>
        <w:rPr>
          <w:rFonts w:hint="default" w:ascii="Times New Roman" w:hAnsi="Times New Roman" w:eastAsia="宋体" w:cs="Times New Roman"/>
          <w:i/>
          <w:iCs/>
          <w:color w:val="auto"/>
          <w:highlight w:val="none"/>
          <w:lang w:val="en-US" w:eastAsia="zh-CN"/>
        </w:rPr>
        <w:t>Bidens pilosa</w:t>
      </w:r>
      <w:r>
        <w:rPr>
          <w:rFonts w:hint="default"/>
          <w:color w:val="auto"/>
          <w:highlight w:val="none"/>
          <w:lang w:eastAsia="zh-CN"/>
        </w:rPr>
        <w:t>、</w:t>
      </w:r>
      <w:r>
        <w:rPr>
          <w:rFonts w:hint="default"/>
          <w:color w:val="auto"/>
          <w:highlight w:val="none"/>
          <w:lang w:val="en-US" w:eastAsia="zh-CN"/>
        </w:rPr>
        <w:t>刺芒野古草</w:t>
      </w:r>
      <w:r>
        <w:rPr>
          <w:rFonts w:hint="default" w:ascii="Times New Roman" w:hAnsi="Times New Roman" w:eastAsia="宋体" w:cs="Times New Roman"/>
          <w:i/>
          <w:iCs/>
          <w:color w:val="auto"/>
          <w:highlight w:val="none"/>
          <w:lang w:val="en-US" w:eastAsia="zh-CN"/>
        </w:rPr>
        <w:t>Arundinella setosa</w:t>
      </w:r>
      <w:r>
        <w:rPr>
          <w:rFonts w:hint="default"/>
          <w:color w:val="auto"/>
          <w:highlight w:val="none"/>
          <w:lang w:eastAsia="zh-CN"/>
        </w:rPr>
        <w:t>、</w:t>
      </w:r>
      <w:r>
        <w:rPr>
          <w:rFonts w:hint="default"/>
          <w:color w:val="auto"/>
          <w:highlight w:val="none"/>
          <w:lang w:val="en-US" w:eastAsia="zh-CN"/>
        </w:rPr>
        <w:t>狗尾草</w:t>
      </w:r>
      <w:r>
        <w:rPr>
          <w:rFonts w:hint="default" w:ascii="Times New Roman" w:hAnsi="Times New Roman" w:eastAsia="宋体" w:cs="Times New Roman"/>
          <w:i/>
          <w:iCs/>
          <w:color w:val="auto"/>
          <w:highlight w:val="none"/>
          <w:lang w:val="en-US" w:eastAsia="zh-CN"/>
        </w:rPr>
        <w:t>Setaria viridis</w:t>
      </w:r>
      <w:r>
        <w:rPr>
          <w:rFonts w:hint="default"/>
          <w:color w:val="auto"/>
          <w:highlight w:val="none"/>
          <w:lang w:val="en-US" w:eastAsia="zh-CN"/>
        </w:rPr>
        <w:t>等。</w:t>
      </w:r>
    </w:p>
    <w:p>
      <w:pPr>
        <w:pStyle w:val="62"/>
        <w:keepNext w:val="0"/>
        <w:keepLines w:val="0"/>
        <w:pageBreakBefore w:val="0"/>
        <w:widowControl w:val="0"/>
        <w:numPr>
          <w:ilvl w:val="0"/>
          <w:numId w:val="0"/>
        </w:numPr>
        <w:shd w:val="clear" w:color="auto"/>
        <w:kinsoku/>
        <w:wordWrap/>
        <w:overflowPunct/>
        <w:topLinePunct w:val="0"/>
        <w:autoSpaceDE/>
        <w:autoSpaceDN/>
        <w:bidi w:val="0"/>
        <w:adjustRightInd/>
        <w:snapToGrid/>
        <w:spacing w:before="0" w:beforeLines="0" w:after="0" w:afterLines="0" w:line="360" w:lineRule="auto"/>
        <w:ind w:left="0" w:leftChars="0" w:right="0" w:rightChars="0" w:firstLine="480" w:firstLineChars="200"/>
        <w:jc w:val="both"/>
        <w:textAlignment w:val="auto"/>
        <w:rPr>
          <w:rStyle w:val="64"/>
          <w:rFonts w:hint="default" w:ascii="Times New Roman" w:hAnsi="Times New Roman" w:eastAsia="宋体" w:cs="Times New Roman"/>
          <w:b w:val="0"/>
          <w:bCs w:val="0"/>
          <w:color w:val="auto"/>
          <w:sz w:val="24"/>
          <w:szCs w:val="24"/>
          <w:highlight w:val="none"/>
          <w:lang w:val="en-US" w:eastAsia="zh-CN"/>
        </w:rPr>
      </w:pPr>
      <w:r>
        <w:rPr>
          <w:rFonts w:hint="eastAsia" w:ascii="Times New Roman" w:hAnsi="Times New Roman" w:cs="Times New Roman"/>
          <w:b w:val="0"/>
          <w:bCs w:val="0"/>
          <w:color w:val="auto"/>
          <w:kern w:val="2"/>
          <w:sz w:val="24"/>
          <w:szCs w:val="24"/>
          <w:highlight w:val="none"/>
          <w:lang w:val="en-US" w:eastAsia="zh-CN" w:bidi="ar-SA"/>
        </w:rPr>
        <w:t>C、</w:t>
      </w:r>
      <w:r>
        <w:rPr>
          <w:rStyle w:val="64"/>
          <w:rFonts w:hint="default" w:ascii="Times New Roman" w:hAnsi="Times New Roman" w:eastAsia="宋体" w:cs="Times New Roman"/>
          <w:b w:val="0"/>
          <w:bCs w:val="0"/>
          <w:color w:val="auto"/>
          <w:sz w:val="24"/>
          <w:szCs w:val="24"/>
          <w:highlight w:val="none"/>
          <w:lang w:val="en-US" w:eastAsia="zh-CN"/>
        </w:rPr>
        <w:t>干热河谷灌丛</w:t>
      </w:r>
    </w:p>
    <w:p>
      <w:pPr>
        <w:shd w:val="clear"/>
        <w:bidi w:val="0"/>
        <w:ind w:firstLine="480" w:firstLineChars="200"/>
        <w:rPr>
          <w:rFonts w:hint="default"/>
          <w:color w:val="auto"/>
          <w:highlight w:val="none"/>
          <w:lang w:val="en-US" w:eastAsia="zh-CN"/>
        </w:rPr>
      </w:pPr>
      <w:r>
        <w:rPr>
          <w:rFonts w:hint="default"/>
          <w:color w:val="auto"/>
          <w:highlight w:val="none"/>
          <w:lang w:val="zh-TW" w:eastAsia="zh-TW"/>
        </w:rPr>
        <w:t>在云南植被中，灌丛类型多样而且分布较广。</w:t>
      </w:r>
      <w:r>
        <w:rPr>
          <w:rFonts w:hint="default"/>
          <w:color w:val="auto"/>
          <w:highlight w:val="none"/>
          <w:lang w:val="en-US" w:eastAsia="zh-CN"/>
        </w:rPr>
        <w:t>评价区分布的干热河谷灌丛</w:t>
      </w:r>
      <w:r>
        <w:rPr>
          <w:rFonts w:hint="default"/>
          <w:color w:val="auto"/>
          <w:highlight w:val="none"/>
          <w:lang w:val="zh-TW" w:eastAsia="zh-TW"/>
        </w:rPr>
        <w:t>是受</w:t>
      </w:r>
      <w:r>
        <w:rPr>
          <w:rFonts w:hint="default"/>
          <w:color w:val="auto"/>
          <w:highlight w:val="none"/>
          <w:lang w:val="en-US" w:eastAsia="zh-CN"/>
        </w:rPr>
        <w:t>当地干热</w:t>
      </w:r>
      <w:r>
        <w:rPr>
          <w:rFonts w:hint="default"/>
          <w:color w:val="auto"/>
          <w:highlight w:val="none"/>
          <w:lang w:val="zh-TW" w:eastAsia="zh-TW"/>
        </w:rPr>
        <w:t>气候条件</w:t>
      </w:r>
      <w:r>
        <w:rPr>
          <w:rFonts w:hint="default"/>
          <w:color w:val="auto"/>
          <w:highlight w:val="none"/>
          <w:lang w:val="en-US" w:eastAsia="zh-CN"/>
        </w:rPr>
        <w:t>及</w:t>
      </w:r>
      <w:r>
        <w:rPr>
          <w:rFonts w:hint="default"/>
          <w:color w:val="auto"/>
          <w:highlight w:val="none"/>
          <w:lang w:val="zh-TW" w:eastAsia="zh-TW"/>
        </w:rPr>
        <w:t>土壤基质的限制</w:t>
      </w:r>
      <w:r>
        <w:rPr>
          <w:rFonts w:hint="default"/>
          <w:color w:val="auto"/>
          <w:highlight w:val="none"/>
          <w:lang w:val="en-US" w:eastAsia="zh-CN"/>
        </w:rPr>
        <w:t>加之</w:t>
      </w:r>
      <w:r>
        <w:rPr>
          <w:rFonts w:hint="default"/>
          <w:color w:val="auto"/>
          <w:highlight w:val="none"/>
          <w:lang w:val="zh-TW" w:eastAsia="zh-TW"/>
        </w:rPr>
        <w:t>受长期人为活动的</w:t>
      </w:r>
      <w:r>
        <w:rPr>
          <w:rFonts w:hint="default"/>
          <w:color w:val="auto"/>
          <w:highlight w:val="none"/>
          <w:lang w:val="en-US" w:eastAsia="zh-CN"/>
        </w:rPr>
        <w:t>影响</w:t>
      </w:r>
      <w:r>
        <w:rPr>
          <w:rFonts w:hint="eastAsia"/>
          <w:color w:val="auto"/>
          <w:highlight w:val="none"/>
          <w:lang w:val="en-US" w:eastAsia="zh-CN"/>
        </w:rPr>
        <w:t>使</w:t>
      </w:r>
      <w:r>
        <w:rPr>
          <w:rFonts w:hint="default"/>
          <w:color w:val="auto"/>
          <w:highlight w:val="none"/>
          <w:lang w:val="zh-TW" w:eastAsia="zh-TW"/>
        </w:rPr>
        <w:t>它得以持久存在而不易恢复成为原来的森林</w:t>
      </w:r>
      <w:r>
        <w:rPr>
          <w:rFonts w:hint="default"/>
          <w:color w:val="auto"/>
          <w:highlight w:val="none"/>
          <w:lang w:val="zh-TW" w:eastAsia="zh-CN"/>
        </w:rPr>
        <w:t>，</w:t>
      </w:r>
      <w:r>
        <w:rPr>
          <w:rFonts w:hint="default"/>
          <w:color w:val="auto"/>
          <w:highlight w:val="none"/>
          <w:lang w:val="zh-TW" w:eastAsia="zh-TW"/>
        </w:rPr>
        <w:t>带有程度不同的次生性质，一般说，它们中的多数是山地的原生植被，而且常常是地区景观组成的重要成分之一。本区此植被亚型记有</w:t>
      </w:r>
      <w:r>
        <w:rPr>
          <w:rFonts w:hint="default"/>
          <w:color w:val="auto"/>
          <w:highlight w:val="none"/>
          <w:lang w:val="en-US" w:eastAsia="zh-CN"/>
        </w:rPr>
        <w:t>2</w:t>
      </w:r>
      <w:r>
        <w:rPr>
          <w:rFonts w:hint="default"/>
          <w:color w:val="auto"/>
          <w:highlight w:val="none"/>
          <w:lang w:val="zh-TW" w:eastAsia="zh-TW"/>
        </w:rPr>
        <w:t>个群系：</w:t>
      </w:r>
      <w:r>
        <w:rPr>
          <w:rFonts w:hint="default"/>
          <w:color w:val="auto"/>
          <w:highlight w:val="none"/>
          <w:lang w:val="en-US" w:eastAsia="zh-CN"/>
        </w:rPr>
        <w:t>锥连栎、光叶高山栎</w:t>
      </w:r>
      <w:r>
        <w:rPr>
          <w:rFonts w:hint="default"/>
          <w:color w:val="auto"/>
          <w:highlight w:val="none"/>
          <w:lang w:val="zh-TW" w:eastAsia="zh-TW"/>
        </w:rPr>
        <w:t>灌丛</w:t>
      </w:r>
      <w:r>
        <w:rPr>
          <w:rFonts w:hint="default"/>
          <w:color w:val="auto"/>
          <w:highlight w:val="none"/>
          <w:lang w:val="en-US" w:eastAsia="en-US"/>
        </w:rPr>
        <w:t>（</w:t>
      </w:r>
      <w:r>
        <w:rPr>
          <w:rFonts w:hint="default"/>
          <w:i/>
          <w:iCs/>
          <w:color w:val="auto"/>
          <w:highlight w:val="none"/>
          <w:lang w:val="en-US" w:eastAsia="zh-CN"/>
        </w:rPr>
        <w:t>From</w:t>
      </w:r>
      <w:r>
        <w:rPr>
          <w:rFonts w:hint="default"/>
          <w:i/>
          <w:iCs/>
          <w:color w:val="auto"/>
          <w:highlight w:val="none"/>
          <w:lang w:val="en-US" w:eastAsia="en-US"/>
        </w:rPr>
        <w:t>.</w:t>
      </w:r>
      <w:r>
        <w:rPr>
          <w:rFonts w:hint="default"/>
          <w:i/>
          <w:iCs/>
          <w:color w:val="auto"/>
          <w:highlight w:val="none"/>
          <w:lang w:val="en-US" w:eastAsia="zh-CN"/>
        </w:rPr>
        <w:t>Quercus franchetii，Quercus pseudosemecarpifolia</w:t>
      </w:r>
      <w:r>
        <w:rPr>
          <w:rFonts w:hint="eastAsia"/>
          <w:color w:val="auto"/>
          <w:highlight w:val="none"/>
          <w:lang w:val="en-US" w:eastAsia="zh-CN"/>
        </w:rPr>
        <w:t>）</w:t>
      </w:r>
      <w:r>
        <w:rPr>
          <w:rFonts w:hint="default"/>
          <w:color w:val="auto"/>
          <w:highlight w:val="none"/>
          <w:lang w:val="en-US" w:eastAsia="zh-CN"/>
        </w:rPr>
        <w:t>和华西小石积、余甘子灌丛</w:t>
      </w:r>
      <w:r>
        <w:rPr>
          <w:rFonts w:hint="default"/>
          <w:color w:val="auto"/>
          <w:highlight w:val="none"/>
          <w:lang w:val="en-US" w:eastAsia="en-US"/>
        </w:rPr>
        <w:t>（</w:t>
      </w:r>
      <w:r>
        <w:rPr>
          <w:rFonts w:hint="default"/>
          <w:i/>
          <w:iCs/>
          <w:color w:val="auto"/>
          <w:highlight w:val="none"/>
          <w:lang w:val="en-US" w:eastAsia="zh-CN"/>
        </w:rPr>
        <w:t>From</w:t>
      </w:r>
      <w:r>
        <w:rPr>
          <w:rFonts w:hint="default"/>
          <w:i/>
          <w:iCs/>
          <w:color w:val="auto"/>
          <w:highlight w:val="none"/>
          <w:lang w:val="en-US" w:eastAsia="en-US"/>
        </w:rPr>
        <w:t>.</w:t>
      </w:r>
      <w:r>
        <w:rPr>
          <w:rFonts w:hint="default"/>
          <w:i/>
          <w:iCs/>
          <w:color w:val="auto"/>
          <w:highlight w:val="none"/>
          <w:lang w:val="en-US" w:eastAsia="zh-CN"/>
        </w:rPr>
        <w:t>Osteomeles schwerinae，Phyllanthus emblica</w:t>
      </w:r>
      <w:r>
        <w:rPr>
          <w:rFonts w:hint="default"/>
          <w:color w:val="auto"/>
          <w:highlight w:val="none"/>
          <w:lang w:val="en-US" w:eastAsia="zh-CN"/>
        </w:rPr>
        <w:t>）</w:t>
      </w:r>
      <w:r>
        <w:rPr>
          <w:rFonts w:hint="default"/>
          <w:color w:val="auto"/>
          <w:highlight w:val="none"/>
          <w:lang w:val="zh-TW" w:eastAsia="zh-TW"/>
        </w:rPr>
        <w:t>。</w:t>
      </w:r>
    </w:p>
    <w:p>
      <w:pPr>
        <w:shd w:val="clear"/>
        <w:bidi w:val="0"/>
        <w:ind w:firstLine="482" w:firstLineChars="200"/>
        <w:rPr>
          <w:rFonts w:hint="default"/>
          <w:color w:val="auto"/>
          <w:highlight w:val="none"/>
          <w:lang w:val="en-US" w:eastAsia="zh-CN"/>
        </w:rPr>
      </w:pPr>
      <w:r>
        <w:rPr>
          <w:rFonts w:hint="default"/>
          <w:b/>
          <w:bCs/>
          <w:color w:val="auto"/>
          <w:highlight w:val="none"/>
          <w:lang w:val="en-US" w:eastAsia="zh-CN"/>
        </w:rPr>
        <w:t>锥连栎、光叶高山栎灌丛</w:t>
      </w:r>
      <w:r>
        <w:rPr>
          <w:rFonts w:hint="eastAsia"/>
          <w:b/>
          <w:bCs/>
          <w:color w:val="auto"/>
          <w:highlight w:val="none"/>
          <w:lang w:val="en-US" w:eastAsia="zh-CN"/>
        </w:rPr>
        <w:t>：</w:t>
      </w:r>
    </w:p>
    <w:p>
      <w:pPr>
        <w:shd w:val="clear"/>
        <w:bidi w:val="0"/>
        <w:ind w:firstLine="480" w:firstLineChars="200"/>
        <w:rPr>
          <w:rFonts w:hint="default"/>
          <w:color w:val="auto"/>
          <w:highlight w:val="none"/>
          <w:lang w:val="en-US" w:eastAsia="zh-CN"/>
        </w:rPr>
      </w:pPr>
      <w:r>
        <w:rPr>
          <w:rFonts w:hint="default"/>
          <w:color w:val="auto"/>
          <w:highlight w:val="none"/>
          <w:lang w:val="zh-TW" w:eastAsia="zh-TW"/>
        </w:rPr>
        <w:t>主要分布于金沙江河谷两侧海拔2600米以下的坡面上，部分顺河谷下延可分布至1</w:t>
      </w:r>
      <w:r>
        <w:rPr>
          <w:rFonts w:hint="default"/>
          <w:color w:val="auto"/>
          <w:highlight w:val="none"/>
          <w:lang w:val="en-US" w:eastAsia="zh-CN"/>
        </w:rPr>
        <w:t>8</w:t>
      </w:r>
      <w:r>
        <w:rPr>
          <w:rFonts w:hint="default"/>
          <w:color w:val="auto"/>
          <w:highlight w:val="none"/>
          <w:lang w:val="zh-TW" w:eastAsia="zh-TW"/>
        </w:rPr>
        <w:t>00</w:t>
      </w:r>
      <w:r>
        <w:rPr>
          <w:rFonts w:hint="default"/>
          <w:color w:val="auto"/>
          <w:highlight w:val="none"/>
          <w:lang w:val="en-US" w:eastAsia="zh-CN"/>
        </w:rPr>
        <w:t>m左右</w:t>
      </w:r>
      <w:r>
        <w:rPr>
          <w:rFonts w:hint="default"/>
          <w:color w:val="auto"/>
          <w:highlight w:val="none"/>
          <w:lang w:val="zh-TW" w:eastAsia="zh-CN"/>
        </w:rPr>
        <w:t>；</w:t>
      </w:r>
      <w:r>
        <w:rPr>
          <w:rFonts w:hint="default"/>
          <w:color w:val="auto"/>
          <w:highlight w:val="none"/>
          <w:lang w:val="zh-TW" w:eastAsia="zh-TW"/>
        </w:rPr>
        <w:t>群落总盖度50%〜90%</w:t>
      </w:r>
      <w:r>
        <w:rPr>
          <w:rFonts w:hint="default"/>
          <w:color w:val="auto"/>
          <w:highlight w:val="none"/>
          <w:lang w:val="zh-TW" w:eastAsia="zh-CN"/>
        </w:rPr>
        <w:t>，</w:t>
      </w:r>
      <w:r>
        <w:rPr>
          <w:rFonts w:hint="default"/>
          <w:color w:val="auto"/>
          <w:highlight w:val="none"/>
          <w:lang w:val="en-US" w:eastAsia="zh-CN"/>
        </w:rPr>
        <w:t>高度不足5m，不能成林</w:t>
      </w:r>
      <w:r>
        <w:rPr>
          <w:rFonts w:hint="default"/>
          <w:color w:val="auto"/>
          <w:highlight w:val="none"/>
          <w:lang w:val="zh-TW" w:eastAsia="zh-TW"/>
        </w:rPr>
        <w:t>。群落分为</w:t>
      </w:r>
      <w:r>
        <w:rPr>
          <w:rFonts w:hint="default"/>
          <w:color w:val="auto"/>
          <w:highlight w:val="none"/>
          <w:lang w:val="en-US" w:eastAsia="zh-CN"/>
        </w:rPr>
        <w:t>2</w:t>
      </w:r>
      <w:r>
        <w:rPr>
          <w:rFonts w:hint="default"/>
          <w:color w:val="auto"/>
          <w:highlight w:val="none"/>
          <w:lang w:val="zh-TW" w:eastAsia="zh-TW"/>
        </w:rPr>
        <w:t>个结构层，</w:t>
      </w:r>
      <w:r>
        <w:rPr>
          <w:rFonts w:hint="default"/>
          <w:color w:val="auto"/>
          <w:highlight w:val="none"/>
          <w:lang w:val="en-US" w:eastAsia="zh-CN"/>
        </w:rPr>
        <w:t>即</w:t>
      </w:r>
      <w:r>
        <w:rPr>
          <w:rFonts w:hint="default"/>
          <w:color w:val="auto"/>
          <w:highlight w:val="none"/>
          <w:lang w:val="zh-TW" w:eastAsia="zh-TW"/>
        </w:rPr>
        <w:t>灌木层</w:t>
      </w:r>
      <w:r>
        <w:rPr>
          <w:rFonts w:hint="default"/>
          <w:color w:val="auto"/>
          <w:highlight w:val="none"/>
          <w:lang w:val="en-US" w:eastAsia="zh-CN"/>
        </w:rPr>
        <w:t>和</w:t>
      </w:r>
      <w:r>
        <w:rPr>
          <w:rFonts w:hint="default"/>
          <w:color w:val="auto"/>
          <w:highlight w:val="none"/>
          <w:lang w:val="zh-TW" w:eastAsia="zh-TW"/>
        </w:rPr>
        <w:t>草本层。灌</w:t>
      </w:r>
      <w:r>
        <w:rPr>
          <w:rFonts w:hint="default"/>
          <w:color w:val="auto"/>
          <w:highlight w:val="none"/>
          <w:lang w:val="en-US" w:eastAsia="zh-CN"/>
        </w:rPr>
        <w:t>木</w:t>
      </w:r>
      <w:r>
        <w:rPr>
          <w:rFonts w:hint="default"/>
          <w:color w:val="auto"/>
          <w:highlight w:val="none"/>
          <w:lang w:val="zh-TW" w:eastAsia="zh-TW"/>
        </w:rPr>
        <w:t>层高</w:t>
      </w:r>
      <w:r>
        <w:rPr>
          <w:rFonts w:hint="default"/>
          <w:color w:val="auto"/>
          <w:highlight w:val="none"/>
          <w:lang w:val="en-US" w:eastAsia="en-US"/>
        </w:rPr>
        <w:t>0.3</w:t>
      </w:r>
      <w:r>
        <w:rPr>
          <w:rFonts w:hint="default"/>
          <w:color w:val="auto"/>
          <w:highlight w:val="none"/>
          <w:lang w:val="en-US" w:eastAsia="zh-CN"/>
        </w:rPr>
        <w:t>m</w:t>
      </w:r>
      <w:r>
        <w:rPr>
          <w:rFonts w:hint="default"/>
          <w:color w:val="auto"/>
          <w:highlight w:val="none"/>
          <w:lang w:val="en-US" w:eastAsia="en-US"/>
        </w:rPr>
        <w:t>~</w:t>
      </w:r>
      <w:r>
        <w:rPr>
          <w:rFonts w:hint="default"/>
          <w:color w:val="auto"/>
          <w:highlight w:val="none"/>
          <w:lang w:val="en-US" w:eastAsia="zh-CN"/>
        </w:rPr>
        <w:t>2</w:t>
      </w:r>
      <w:r>
        <w:rPr>
          <w:rFonts w:hint="default"/>
          <w:color w:val="auto"/>
          <w:highlight w:val="none"/>
          <w:lang w:val="en-US" w:eastAsia="en-US"/>
        </w:rPr>
        <w:t>.7</w:t>
      </w:r>
      <w:r>
        <w:rPr>
          <w:rFonts w:hint="default"/>
          <w:color w:val="auto"/>
          <w:highlight w:val="none"/>
          <w:lang w:val="en-US" w:eastAsia="zh-CN"/>
        </w:rPr>
        <w:t>m</w:t>
      </w:r>
      <w:r>
        <w:rPr>
          <w:rFonts w:hint="default"/>
          <w:color w:val="auto"/>
          <w:highlight w:val="none"/>
          <w:lang w:val="en-US" w:eastAsia="en-US"/>
        </w:rPr>
        <w:t>，</w:t>
      </w:r>
      <w:r>
        <w:rPr>
          <w:rFonts w:hint="default"/>
          <w:color w:val="auto"/>
          <w:highlight w:val="none"/>
          <w:lang w:val="zh-TW" w:eastAsia="zh-TW"/>
        </w:rPr>
        <w:t>层盖度35%~70%；</w:t>
      </w:r>
      <w:r>
        <w:rPr>
          <w:rFonts w:hint="default"/>
          <w:color w:val="auto"/>
          <w:highlight w:val="none"/>
          <w:lang w:val="en-US" w:eastAsia="zh-CN"/>
        </w:rPr>
        <w:t>以锥连栎</w:t>
      </w:r>
      <w:r>
        <w:rPr>
          <w:rFonts w:hint="default"/>
          <w:i/>
          <w:iCs/>
          <w:color w:val="auto"/>
          <w:highlight w:val="none"/>
          <w:lang w:val="en-US" w:eastAsia="zh-CN"/>
        </w:rPr>
        <w:t>Quercus franchetii</w:t>
      </w:r>
      <w:r>
        <w:rPr>
          <w:rFonts w:hint="default"/>
          <w:color w:val="auto"/>
          <w:highlight w:val="none"/>
          <w:lang w:val="en-US" w:eastAsia="zh-CN"/>
        </w:rPr>
        <w:t>和光叶高山栎</w:t>
      </w:r>
      <w:r>
        <w:rPr>
          <w:rFonts w:hint="default" w:ascii="Times New Roman" w:hAnsi="Times New Roman" w:eastAsia="宋体" w:cs="Times New Roman"/>
          <w:i/>
          <w:iCs/>
          <w:color w:val="auto"/>
          <w:highlight w:val="none"/>
          <w:lang w:val="en-US" w:eastAsia="zh-CN"/>
        </w:rPr>
        <w:t>Quercus pseudosemecarpifolia</w:t>
      </w:r>
      <w:r>
        <w:rPr>
          <w:rFonts w:hint="default"/>
          <w:color w:val="auto"/>
          <w:highlight w:val="none"/>
          <w:lang w:val="en-US" w:eastAsia="zh-CN"/>
        </w:rPr>
        <w:t>为优势，其他还常见</w:t>
      </w:r>
      <w:r>
        <w:rPr>
          <w:rFonts w:hint="default"/>
          <w:color w:val="auto"/>
          <w:highlight w:val="none"/>
          <w:lang w:val="zh-TW" w:eastAsia="zh-TW"/>
        </w:rPr>
        <w:t>冠毛羊蹄甲</w:t>
      </w:r>
      <w:r>
        <w:rPr>
          <w:rFonts w:hint="default"/>
          <w:i/>
          <w:iCs/>
          <w:color w:val="auto"/>
          <w:highlight w:val="none"/>
          <w:lang w:val="en-US" w:eastAsia="zh-CN"/>
        </w:rPr>
        <w:t>Bauhinia comosa</w:t>
      </w:r>
      <w:r>
        <w:rPr>
          <w:rFonts w:hint="default"/>
          <w:color w:val="auto"/>
          <w:highlight w:val="none"/>
          <w:lang w:val="en-US" w:eastAsia="zh-CN"/>
        </w:rPr>
        <w:t>、</w:t>
      </w:r>
      <w:r>
        <w:rPr>
          <w:rFonts w:hint="default"/>
          <w:color w:val="auto"/>
          <w:highlight w:val="none"/>
          <w:lang w:val="zh-TW" w:eastAsia="zh-TW"/>
        </w:rPr>
        <w:t>华西小石积</w:t>
      </w:r>
      <w:r>
        <w:rPr>
          <w:rFonts w:hint="default" w:ascii="Times New Roman" w:hAnsi="Times New Roman" w:eastAsia="宋体" w:cs="Times New Roman"/>
          <w:i/>
          <w:iCs/>
          <w:color w:val="auto"/>
          <w:highlight w:val="none"/>
          <w:lang w:val="en-US" w:eastAsia="zh-CN"/>
        </w:rPr>
        <w:t>Osteomeles schwerinae</w:t>
      </w:r>
      <w:r>
        <w:rPr>
          <w:rFonts w:hint="default"/>
          <w:color w:val="auto"/>
          <w:highlight w:val="none"/>
          <w:lang w:val="en-US" w:eastAsia="zh-CN"/>
        </w:rPr>
        <w:t>、</w:t>
      </w:r>
      <w:r>
        <w:rPr>
          <w:rFonts w:hint="default"/>
          <w:color w:val="auto"/>
          <w:highlight w:val="none"/>
          <w:lang w:val="zh-TW" w:eastAsia="zh-TW"/>
        </w:rPr>
        <w:t>云南</w:t>
      </w:r>
      <w:r>
        <w:rPr>
          <w:rFonts w:hint="default"/>
          <w:color w:val="auto"/>
          <w:highlight w:val="none"/>
          <w:lang w:val="en-US" w:eastAsia="zh-CN"/>
        </w:rPr>
        <w:t>山蚂蝗</w:t>
      </w:r>
      <w:r>
        <w:rPr>
          <w:rFonts w:hint="default" w:ascii="Times New Roman" w:hAnsi="Times New Roman" w:eastAsia="宋体" w:cs="Times New Roman"/>
          <w:i/>
          <w:iCs/>
          <w:color w:val="auto"/>
          <w:highlight w:val="none"/>
          <w:lang w:val="en-US" w:eastAsia="zh-CN"/>
        </w:rPr>
        <w:t>Sunhangia yunnanensis</w:t>
      </w:r>
      <w:r>
        <w:rPr>
          <w:rFonts w:hint="default"/>
          <w:color w:val="auto"/>
          <w:highlight w:val="none"/>
          <w:lang w:val="en-US" w:eastAsia="zh-CN"/>
        </w:rPr>
        <w:t>、滇青冈</w:t>
      </w:r>
      <w:r>
        <w:rPr>
          <w:rFonts w:hint="default" w:ascii="Times New Roman" w:hAnsi="Times New Roman" w:eastAsia="宋体" w:cs="Times New Roman"/>
          <w:i/>
          <w:iCs/>
          <w:color w:val="auto"/>
          <w:highlight w:val="none"/>
          <w:lang w:val="en-US" w:eastAsia="zh-CN"/>
        </w:rPr>
        <w:t>Quercus glaucoides</w:t>
      </w:r>
      <w:r>
        <w:rPr>
          <w:rFonts w:hint="default"/>
          <w:color w:val="auto"/>
          <w:highlight w:val="none"/>
          <w:lang w:val="en-US" w:eastAsia="zh-CN"/>
        </w:rPr>
        <w:t>、</w:t>
      </w:r>
      <w:r>
        <w:rPr>
          <w:rFonts w:hint="default"/>
          <w:color w:val="auto"/>
          <w:highlight w:val="none"/>
          <w:lang w:val="zh-TW" w:eastAsia="zh-TW"/>
        </w:rPr>
        <w:t>滇黔黄檀</w:t>
      </w:r>
      <w:r>
        <w:rPr>
          <w:rFonts w:hint="default" w:ascii="Times New Roman" w:hAnsi="Times New Roman" w:eastAsia="宋体" w:cs="Times New Roman"/>
          <w:i/>
          <w:iCs/>
          <w:color w:val="auto"/>
          <w:highlight w:val="none"/>
          <w:lang w:val="en-US" w:eastAsia="zh-CN"/>
        </w:rPr>
        <w:t>Dalbergia yunnanensis</w:t>
      </w:r>
      <w:r>
        <w:rPr>
          <w:rFonts w:hint="default"/>
          <w:color w:val="auto"/>
          <w:highlight w:val="none"/>
          <w:lang w:val="en-US" w:eastAsia="zh-CN"/>
        </w:rPr>
        <w:t>、</w:t>
      </w:r>
      <w:r>
        <w:rPr>
          <w:rFonts w:hint="default"/>
          <w:color w:val="auto"/>
          <w:highlight w:val="none"/>
          <w:lang w:val="zh-TW" w:eastAsia="zh-TW"/>
        </w:rPr>
        <w:t>西南笐子稍</w:t>
      </w:r>
      <w:r>
        <w:rPr>
          <w:rFonts w:hint="default" w:ascii="Times New Roman" w:hAnsi="Times New Roman" w:eastAsia="宋体" w:cs="Times New Roman"/>
          <w:i/>
          <w:iCs/>
          <w:color w:val="auto"/>
          <w:highlight w:val="none"/>
          <w:lang w:val="en-US" w:eastAsia="zh-CN"/>
        </w:rPr>
        <w:t>Campylotropis delavayi</w:t>
      </w:r>
      <w:r>
        <w:rPr>
          <w:rFonts w:hint="default"/>
          <w:color w:val="auto"/>
          <w:highlight w:val="none"/>
          <w:lang w:val="en-US" w:eastAsia="zh-CN"/>
        </w:rPr>
        <w:t>、云南松</w:t>
      </w:r>
      <w:r>
        <w:rPr>
          <w:rFonts w:hint="default" w:ascii="Times New Roman" w:hAnsi="Times New Roman" w:eastAsia="宋体" w:cs="Times New Roman"/>
          <w:i/>
          <w:iCs/>
          <w:color w:val="auto"/>
          <w:highlight w:val="none"/>
          <w:lang w:val="en-US" w:eastAsia="zh-CN"/>
        </w:rPr>
        <w:t>Pinus yunnanensis</w:t>
      </w:r>
      <w:r>
        <w:rPr>
          <w:rFonts w:hint="default"/>
          <w:color w:val="auto"/>
          <w:highlight w:val="none"/>
          <w:lang w:val="en-US" w:eastAsia="zh-CN"/>
        </w:rPr>
        <w:t>、清香木</w:t>
      </w:r>
      <w:r>
        <w:rPr>
          <w:rFonts w:hint="default" w:ascii="Times New Roman" w:hAnsi="Times New Roman" w:eastAsia="宋体" w:cs="Times New Roman"/>
          <w:i/>
          <w:iCs/>
          <w:color w:val="auto"/>
          <w:highlight w:val="none"/>
          <w:lang w:val="en-US" w:eastAsia="zh-CN"/>
        </w:rPr>
        <w:t>Pistacia weinmanniifolia</w:t>
      </w:r>
      <w:r>
        <w:rPr>
          <w:rFonts w:hint="default"/>
          <w:color w:val="auto"/>
          <w:highlight w:val="none"/>
          <w:lang w:val="en-US" w:eastAsia="zh-CN"/>
        </w:rPr>
        <w:t>、滇石栎</w:t>
      </w:r>
      <w:r>
        <w:rPr>
          <w:rFonts w:hint="default" w:ascii="Times New Roman" w:hAnsi="Times New Roman" w:eastAsia="宋体" w:cs="Times New Roman"/>
          <w:i/>
          <w:iCs/>
          <w:color w:val="auto"/>
          <w:highlight w:val="none"/>
          <w:lang w:val="en-US" w:eastAsia="zh-CN"/>
        </w:rPr>
        <w:t>Lithocarpus dealbatus</w:t>
      </w:r>
      <w:r>
        <w:rPr>
          <w:rFonts w:hint="default"/>
          <w:color w:val="auto"/>
          <w:highlight w:val="none"/>
          <w:lang w:val="en-US" w:eastAsia="zh-CN"/>
        </w:rPr>
        <w:t>、</w:t>
      </w:r>
      <w:r>
        <w:rPr>
          <w:rFonts w:hint="default"/>
          <w:color w:val="auto"/>
          <w:highlight w:val="none"/>
          <w:lang w:val="zh-TW" w:eastAsia="zh-TW"/>
        </w:rPr>
        <w:t>沙针</w:t>
      </w:r>
      <w:r>
        <w:rPr>
          <w:rFonts w:hint="default" w:ascii="Times New Roman" w:hAnsi="Times New Roman" w:eastAsia="宋体" w:cs="Times New Roman"/>
          <w:i/>
          <w:iCs/>
          <w:color w:val="auto"/>
          <w:highlight w:val="none"/>
          <w:lang w:val="en-US" w:eastAsia="zh-CN"/>
        </w:rPr>
        <w:t>Osyris lanceolata</w:t>
      </w:r>
      <w:r>
        <w:rPr>
          <w:rFonts w:hint="default"/>
          <w:color w:val="auto"/>
          <w:highlight w:val="none"/>
          <w:lang w:val="en-US" w:eastAsia="zh-CN"/>
        </w:rPr>
        <w:t>、</w:t>
      </w:r>
      <w:r>
        <w:rPr>
          <w:rFonts w:hint="default"/>
          <w:color w:val="auto"/>
          <w:highlight w:val="none"/>
          <w:lang w:val="zh-TW" w:eastAsia="zh-TW"/>
        </w:rPr>
        <w:t>铁仔</w:t>
      </w:r>
      <w:r>
        <w:rPr>
          <w:rFonts w:hint="default" w:ascii="Times New Roman" w:hAnsi="Times New Roman" w:eastAsia="宋体" w:cs="Times New Roman"/>
          <w:i/>
          <w:iCs/>
          <w:color w:val="auto"/>
          <w:highlight w:val="none"/>
          <w:lang w:val="en-US" w:eastAsia="zh-CN"/>
        </w:rPr>
        <w:t>Myrsine africana</w:t>
      </w:r>
      <w:r>
        <w:rPr>
          <w:rFonts w:hint="default"/>
          <w:color w:val="auto"/>
          <w:highlight w:val="none"/>
          <w:lang w:val="en-US" w:eastAsia="zh-CN"/>
        </w:rPr>
        <w:t>、</w:t>
      </w:r>
      <w:r>
        <w:rPr>
          <w:rFonts w:hint="default"/>
          <w:color w:val="auto"/>
          <w:highlight w:val="none"/>
          <w:lang w:val="zh-TW" w:eastAsia="zh-TW"/>
        </w:rPr>
        <w:t>马桑</w:t>
      </w:r>
      <w:r>
        <w:rPr>
          <w:rFonts w:hint="default" w:ascii="Times New Roman" w:hAnsi="Times New Roman" w:eastAsia="宋体" w:cs="Times New Roman"/>
          <w:i/>
          <w:iCs/>
          <w:color w:val="auto"/>
          <w:highlight w:val="none"/>
          <w:lang w:val="en-US" w:eastAsia="zh-CN"/>
        </w:rPr>
        <w:t>Coriaria nepalensis</w:t>
      </w:r>
      <w:r>
        <w:rPr>
          <w:rFonts w:hint="default"/>
          <w:color w:val="auto"/>
          <w:highlight w:val="none"/>
          <w:lang w:val="en-US" w:eastAsia="zh-CN"/>
        </w:rPr>
        <w:t>等。</w:t>
      </w:r>
    </w:p>
    <w:p>
      <w:pPr>
        <w:shd w:val="clear"/>
        <w:bidi w:val="0"/>
        <w:ind w:firstLine="480" w:firstLineChars="200"/>
        <w:rPr>
          <w:rFonts w:hint="default"/>
          <w:color w:val="auto"/>
          <w:highlight w:val="none"/>
          <w:lang w:val="en-US" w:eastAsia="zh-CN"/>
        </w:rPr>
      </w:pPr>
      <w:r>
        <w:rPr>
          <w:rFonts w:hint="default"/>
          <w:color w:val="auto"/>
          <w:highlight w:val="none"/>
          <w:lang w:val="zh-TW" w:eastAsia="zh-TW"/>
        </w:rPr>
        <w:t>草本层高</w:t>
      </w:r>
      <w:r>
        <w:rPr>
          <w:rFonts w:hint="default"/>
          <w:color w:val="auto"/>
          <w:highlight w:val="none"/>
          <w:lang w:val="en-US" w:eastAsia="en-US"/>
        </w:rPr>
        <w:t>0.1</w:t>
      </w:r>
      <w:r>
        <w:rPr>
          <w:rFonts w:hint="default"/>
          <w:color w:val="auto"/>
          <w:highlight w:val="none"/>
          <w:lang w:val="en-US" w:eastAsia="zh-CN"/>
        </w:rPr>
        <w:t>m</w:t>
      </w:r>
      <w:r>
        <w:rPr>
          <w:rFonts w:hint="default"/>
          <w:color w:val="auto"/>
          <w:highlight w:val="none"/>
          <w:lang w:val="zh-TW" w:eastAsia="zh-TW"/>
        </w:rPr>
        <w:t>〜</w:t>
      </w:r>
      <w:r>
        <w:rPr>
          <w:rFonts w:hint="default"/>
          <w:color w:val="auto"/>
          <w:highlight w:val="none"/>
          <w:lang w:val="en-US" w:eastAsia="en-US"/>
        </w:rPr>
        <w:t>0.6</w:t>
      </w:r>
      <w:r>
        <w:rPr>
          <w:rFonts w:hint="default"/>
          <w:color w:val="auto"/>
          <w:highlight w:val="none"/>
          <w:lang w:val="en-US" w:eastAsia="zh-CN"/>
        </w:rPr>
        <w:t>m</w:t>
      </w:r>
      <w:r>
        <w:rPr>
          <w:rFonts w:hint="default"/>
          <w:color w:val="auto"/>
          <w:highlight w:val="none"/>
          <w:lang w:val="en-US" w:eastAsia="en-US"/>
        </w:rPr>
        <w:t>，</w:t>
      </w:r>
      <w:r>
        <w:rPr>
          <w:rFonts w:hint="default"/>
          <w:color w:val="auto"/>
          <w:highlight w:val="none"/>
          <w:lang w:val="zh-TW" w:eastAsia="zh-TW"/>
        </w:rPr>
        <w:t>较低矮，层盖度35%〜</w:t>
      </w:r>
      <w:r>
        <w:rPr>
          <w:rFonts w:hint="default"/>
          <w:color w:val="auto"/>
          <w:highlight w:val="none"/>
          <w:lang w:val="en-US" w:eastAsia="zh-CN"/>
        </w:rPr>
        <w:t>4</w:t>
      </w:r>
      <w:r>
        <w:rPr>
          <w:rFonts w:hint="default"/>
          <w:color w:val="auto"/>
          <w:highlight w:val="none"/>
          <w:lang w:val="zh-TW" w:eastAsia="zh-TW"/>
        </w:rPr>
        <w:t>5%</w:t>
      </w:r>
      <w:r>
        <w:rPr>
          <w:rFonts w:hint="default"/>
          <w:color w:val="auto"/>
          <w:highlight w:val="none"/>
          <w:lang w:val="zh-TW" w:eastAsia="zh-CN"/>
        </w:rPr>
        <w:t>，</w:t>
      </w:r>
      <w:r>
        <w:rPr>
          <w:rFonts w:hint="default"/>
          <w:color w:val="auto"/>
          <w:highlight w:val="none"/>
          <w:lang w:val="zh-TW" w:eastAsia="zh-TW"/>
        </w:rPr>
        <w:t>常见的种类如：扭黄茅</w:t>
      </w:r>
      <w:r>
        <w:rPr>
          <w:rFonts w:hint="default" w:ascii="Times New Roman" w:hAnsi="Times New Roman" w:eastAsia="宋体" w:cs="Times New Roman"/>
          <w:i/>
          <w:iCs/>
          <w:color w:val="auto"/>
          <w:highlight w:val="none"/>
          <w:lang w:val="en-US" w:eastAsia="zh-CN"/>
        </w:rPr>
        <w:t>Heteropogon contortus</w:t>
      </w:r>
      <w:r>
        <w:rPr>
          <w:rFonts w:hint="default"/>
          <w:color w:val="auto"/>
          <w:highlight w:val="none"/>
          <w:lang w:val="zh-TW" w:eastAsia="zh-CN"/>
        </w:rPr>
        <w:t>、</w:t>
      </w:r>
      <w:r>
        <w:rPr>
          <w:rFonts w:hint="default"/>
          <w:color w:val="auto"/>
          <w:highlight w:val="none"/>
          <w:lang w:val="zh-TW" w:eastAsia="zh-TW"/>
        </w:rPr>
        <w:t>刺芒野古草</w:t>
      </w:r>
      <w:r>
        <w:rPr>
          <w:rFonts w:hint="default" w:ascii="Times New Roman" w:hAnsi="Times New Roman" w:eastAsia="宋体" w:cs="Times New Roman"/>
          <w:i/>
          <w:iCs/>
          <w:color w:val="auto"/>
          <w:highlight w:val="none"/>
          <w:lang w:val="en-US" w:eastAsia="zh-CN"/>
        </w:rPr>
        <w:t>Arundinella setosa</w:t>
      </w:r>
      <w:r>
        <w:rPr>
          <w:rFonts w:hint="default"/>
          <w:color w:val="auto"/>
          <w:highlight w:val="none"/>
          <w:lang w:val="zh-TW" w:eastAsia="zh-TW"/>
        </w:rPr>
        <w:t>、</w:t>
      </w:r>
      <w:r>
        <w:rPr>
          <w:rFonts w:hint="default"/>
          <w:color w:val="auto"/>
          <w:highlight w:val="none"/>
          <w:lang w:val="en-US" w:eastAsia="zh-CN"/>
        </w:rPr>
        <w:t>野拔子</w:t>
      </w:r>
      <w:r>
        <w:rPr>
          <w:rFonts w:hint="default" w:ascii="Times New Roman" w:hAnsi="Times New Roman" w:eastAsia="宋体" w:cs="Times New Roman"/>
          <w:i/>
          <w:iCs/>
          <w:color w:val="auto"/>
          <w:highlight w:val="none"/>
          <w:lang w:val="en-US" w:eastAsia="zh-CN"/>
        </w:rPr>
        <w:t>Elsholtzia rugulosa</w:t>
      </w:r>
      <w:r>
        <w:rPr>
          <w:rFonts w:hint="default"/>
          <w:color w:val="auto"/>
          <w:highlight w:val="none"/>
          <w:lang w:val="en-US" w:eastAsia="zh-CN"/>
        </w:rPr>
        <w:t>、芸香草</w:t>
      </w:r>
      <w:r>
        <w:rPr>
          <w:rFonts w:hint="default" w:ascii="Times New Roman" w:hAnsi="Times New Roman" w:eastAsia="宋体" w:cs="Times New Roman"/>
          <w:i/>
          <w:iCs/>
          <w:color w:val="auto"/>
          <w:highlight w:val="none"/>
          <w:lang w:val="en-US" w:eastAsia="zh-CN"/>
        </w:rPr>
        <w:t>Cymbopogon distans</w:t>
      </w:r>
      <w:r>
        <w:rPr>
          <w:rFonts w:hint="default"/>
          <w:color w:val="auto"/>
          <w:highlight w:val="none"/>
          <w:lang w:val="en-US" w:eastAsia="zh-CN"/>
        </w:rPr>
        <w:t>、矛叶荩草</w:t>
      </w:r>
      <w:r>
        <w:rPr>
          <w:rFonts w:hint="default" w:ascii="Times New Roman" w:hAnsi="Times New Roman" w:eastAsia="宋体" w:cs="Times New Roman"/>
          <w:i/>
          <w:iCs/>
          <w:color w:val="auto"/>
          <w:highlight w:val="none"/>
          <w:lang w:val="en-US" w:eastAsia="zh-CN"/>
        </w:rPr>
        <w:t>Arthraxon prionodes</w:t>
      </w:r>
      <w:r>
        <w:rPr>
          <w:rFonts w:hint="default"/>
          <w:color w:val="auto"/>
          <w:highlight w:val="none"/>
          <w:lang w:val="en-US" w:eastAsia="zh-CN"/>
        </w:rPr>
        <w:t>、灰苞蒿</w:t>
      </w:r>
      <w:r>
        <w:rPr>
          <w:rFonts w:hint="default" w:ascii="Times New Roman" w:hAnsi="Times New Roman" w:eastAsia="宋体" w:cs="Times New Roman"/>
          <w:i/>
          <w:iCs/>
          <w:color w:val="auto"/>
          <w:highlight w:val="none"/>
          <w:lang w:val="en-US" w:eastAsia="zh-CN"/>
        </w:rPr>
        <w:t>Artemisia roxburghiana</w:t>
      </w:r>
      <w:r>
        <w:rPr>
          <w:rFonts w:hint="default"/>
          <w:color w:val="auto"/>
          <w:highlight w:val="none"/>
          <w:lang w:val="en-US" w:eastAsia="zh-CN"/>
        </w:rPr>
        <w:t>、</w:t>
      </w:r>
      <w:r>
        <w:rPr>
          <w:rFonts w:hint="default"/>
          <w:color w:val="auto"/>
          <w:highlight w:val="none"/>
          <w:lang w:val="zh-TW" w:eastAsia="zh-TW"/>
        </w:rPr>
        <w:t>拟金茅</w:t>
      </w:r>
      <w:r>
        <w:rPr>
          <w:rFonts w:hint="default" w:ascii="Times New Roman" w:hAnsi="Times New Roman" w:eastAsia="宋体" w:cs="Times New Roman"/>
          <w:i/>
          <w:iCs/>
          <w:color w:val="auto"/>
          <w:highlight w:val="none"/>
          <w:lang w:val="en-US" w:eastAsia="zh-CN"/>
        </w:rPr>
        <w:t>Eulaliopsis binata</w:t>
      </w:r>
      <w:r>
        <w:rPr>
          <w:rFonts w:hint="default"/>
          <w:color w:val="auto"/>
          <w:highlight w:val="none"/>
          <w:lang w:val="zh-TW" w:eastAsia="zh-TW"/>
        </w:rPr>
        <w:t>、牛膝</w:t>
      </w:r>
      <w:r>
        <w:rPr>
          <w:rFonts w:hint="default" w:ascii="Times New Roman" w:hAnsi="Times New Roman" w:eastAsia="宋体" w:cs="Times New Roman"/>
          <w:i/>
          <w:iCs/>
          <w:color w:val="auto"/>
          <w:highlight w:val="none"/>
          <w:lang w:val="en-US" w:eastAsia="zh-CN"/>
        </w:rPr>
        <w:t>Achyranthes bidentata</w:t>
      </w:r>
      <w:r>
        <w:rPr>
          <w:rFonts w:hint="default"/>
          <w:color w:val="auto"/>
          <w:highlight w:val="none"/>
          <w:lang w:val="zh-TW" w:eastAsia="zh-TW"/>
        </w:rPr>
        <w:t>、类雀稗</w:t>
      </w:r>
      <w:r>
        <w:rPr>
          <w:rFonts w:hint="default" w:ascii="Times New Roman" w:hAnsi="Times New Roman" w:eastAsia="宋体" w:cs="Times New Roman"/>
          <w:i/>
          <w:iCs/>
          <w:color w:val="auto"/>
          <w:highlight w:val="none"/>
          <w:lang w:val="en-US" w:eastAsia="zh-CN"/>
        </w:rPr>
        <w:t>Paspalidiumflavidum</w:t>
      </w:r>
      <w:r>
        <w:rPr>
          <w:rFonts w:hint="default"/>
          <w:color w:val="auto"/>
          <w:highlight w:val="none"/>
          <w:lang w:val="zh-TW" w:eastAsia="zh-TW"/>
        </w:rPr>
        <w:t>、三叶鬼针草</w:t>
      </w:r>
      <w:r>
        <w:rPr>
          <w:rFonts w:hint="default" w:ascii="Times New Roman" w:hAnsi="Times New Roman" w:eastAsia="宋体" w:cs="Times New Roman"/>
          <w:i/>
          <w:iCs/>
          <w:color w:val="auto"/>
          <w:highlight w:val="none"/>
          <w:lang w:val="en-US" w:eastAsia="zh-CN"/>
        </w:rPr>
        <w:t>Bidens pilosa</w:t>
      </w:r>
      <w:r>
        <w:rPr>
          <w:rFonts w:hint="default"/>
          <w:color w:val="auto"/>
          <w:highlight w:val="none"/>
          <w:lang w:val="zh-TW" w:eastAsia="zh-CN"/>
        </w:rPr>
        <w:t>、</w:t>
      </w:r>
      <w:r>
        <w:rPr>
          <w:rFonts w:hint="default"/>
          <w:color w:val="auto"/>
          <w:highlight w:val="none"/>
          <w:lang w:val="en-US" w:eastAsia="zh-CN"/>
        </w:rPr>
        <w:t>戟叶酸模</w:t>
      </w:r>
      <w:r>
        <w:rPr>
          <w:rFonts w:hint="default"/>
          <w:i/>
          <w:iCs/>
          <w:color w:val="auto"/>
          <w:highlight w:val="none"/>
          <w:lang w:val="en-US" w:eastAsia="zh-CN"/>
        </w:rPr>
        <w:t>Rumex hastatus</w:t>
      </w:r>
      <w:r>
        <w:rPr>
          <w:rFonts w:hint="default"/>
          <w:color w:val="auto"/>
          <w:highlight w:val="none"/>
          <w:lang w:val="en-US" w:eastAsia="zh-CN"/>
        </w:rPr>
        <w:t>、狗尾草</w:t>
      </w:r>
      <w:r>
        <w:rPr>
          <w:rFonts w:hint="default" w:ascii="Times New Roman" w:hAnsi="Times New Roman" w:eastAsia="宋体" w:cs="Times New Roman"/>
          <w:i/>
          <w:iCs/>
          <w:color w:val="auto"/>
          <w:highlight w:val="none"/>
          <w:lang w:val="en-US" w:eastAsia="zh-CN"/>
        </w:rPr>
        <w:t>Setaria viridis</w:t>
      </w:r>
      <w:r>
        <w:rPr>
          <w:rFonts w:hint="default"/>
          <w:color w:val="auto"/>
          <w:highlight w:val="none"/>
          <w:lang w:val="en-US" w:eastAsia="zh-CN"/>
        </w:rPr>
        <w:t>等。</w:t>
      </w:r>
    </w:p>
    <w:p>
      <w:pPr>
        <w:shd w:val="clear"/>
        <w:bidi w:val="0"/>
        <w:ind w:firstLine="482" w:firstLineChars="200"/>
        <w:rPr>
          <w:rFonts w:hint="default"/>
          <w:b/>
          <w:bCs/>
          <w:color w:val="auto"/>
          <w:highlight w:val="none"/>
          <w:lang w:val="en-US" w:eastAsia="zh-CN"/>
        </w:rPr>
      </w:pPr>
      <w:r>
        <w:rPr>
          <w:rFonts w:hint="default"/>
          <w:b/>
          <w:bCs/>
          <w:color w:val="auto"/>
          <w:highlight w:val="none"/>
          <w:lang w:val="en-US" w:eastAsia="zh-CN"/>
        </w:rPr>
        <w:t>华西小石积、车桑子灌丛</w:t>
      </w:r>
      <w:r>
        <w:rPr>
          <w:rFonts w:hint="eastAsia"/>
          <w:b/>
          <w:bCs/>
          <w:color w:val="auto"/>
          <w:highlight w:val="none"/>
          <w:lang w:val="en-US" w:eastAsia="zh-CN"/>
        </w:rPr>
        <w:t>：</w:t>
      </w:r>
    </w:p>
    <w:p>
      <w:pPr>
        <w:shd w:val="clear"/>
        <w:bidi w:val="0"/>
        <w:ind w:firstLine="480" w:firstLineChars="200"/>
        <w:rPr>
          <w:rFonts w:hint="default"/>
          <w:color w:val="auto"/>
          <w:highlight w:val="none"/>
          <w:lang w:val="zh-TW" w:eastAsia="zh-TW"/>
        </w:rPr>
      </w:pPr>
      <w:r>
        <w:rPr>
          <w:rFonts w:hint="default"/>
          <w:color w:val="auto"/>
          <w:highlight w:val="none"/>
          <w:lang w:val="zh-TW" w:eastAsia="zh-TW"/>
        </w:rPr>
        <w:t>群落较为单一，整体盖度不大，在评价区常分布在</w:t>
      </w:r>
      <w:r>
        <w:rPr>
          <w:rFonts w:hint="default"/>
          <w:color w:val="auto"/>
          <w:highlight w:val="none"/>
          <w:lang w:val="en-US" w:eastAsia="zh-CN"/>
        </w:rPr>
        <w:t>河谷山坡阳面，土壤环境极为干燥</w:t>
      </w:r>
      <w:r>
        <w:rPr>
          <w:rFonts w:hint="default"/>
          <w:color w:val="auto"/>
          <w:highlight w:val="none"/>
          <w:lang w:val="zh-TW" w:eastAsia="zh-TW"/>
        </w:rPr>
        <w:t>，群落结构分层不明显，灌木层盖度50%左右。灌木层常见有华西小石积</w:t>
      </w:r>
      <w:r>
        <w:rPr>
          <w:rFonts w:hint="default"/>
          <w:i/>
          <w:iCs/>
          <w:color w:val="auto"/>
          <w:highlight w:val="none"/>
          <w:lang w:val="en-US" w:eastAsia="zh-CN"/>
        </w:rPr>
        <w:t>Osteomeles schwerinae</w:t>
      </w:r>
      <w:r>
        <w:rPr>
          <w:rFonts w:hint="default"/>
          <w:color w:val="auto"/>
          <w:highlight w:val="none"/>
          <w:lang w:val="zh-TW" w:eastAsia="zh-TW"/>
        </w:rPr>
        <w:t>、车桑子</w:t>
      </w:r>
      <w:r>
        <w:rPr>
          <w:rFonts w:hint="default"/>
          <w:i/>
          <w:iCs/>
          <w:color w:val="auto"/>
          <w:highlight w:val="none"/>
          <w:lang w:val="en-US" w:eastAsia="zh-CN"/>
        </w:rPr>
        <w:t>Dodonaea viscosa</w:t>
      </w:r>
      <w:r>
        <w:rPr>
          <w:rFonts w:hint="default"/>
          <w:color w:val="auto"/>
          <w:highlight w:val="none"/>
          <w:lang w:val="en-US" w:eastAsia="zh-CN"/>
        </w:rPr>
        <w:t>、华西小石积</w:t>
      </w:r>
      <w:r>
        <w:rPr>
          <w:rFonts w:hint="default"/>
          <w:i/>
          <w:iCs/>
          <w:color w:val="auto"/>
          <w:highlight w:val="none"/>
          <w:lang w:val="en-US" w:eastAsia="zh-CN"/>
        </w:rPr>
        <w:t>Osteomeles schwerinae</w:t>
      </w:r>
      <w:r>
        <w:rPr>
          <w:rFonts w:hint="default"/>
          <w:color w:val="auto"/>
          <w:highlight w:val="none"/>
          <w:lang w:val="zh-TW" w:eastAsia="zh-CN"/>
        </w:rPr>
        <w:t>、</w:t>
      </w:r>
      <w:r>
        <w:rPr>
          <w:rFonts w:hint="default"/>
          <w:color w:val="auto"/>
          <w:highlight w:val="none"/>
          <w:lang w:val="zh-TW" w:eastAsia="zh-TW"/>
        </w:rPr>
        <w:t>马桑</w:t>
      </w:r>
      <w:r>
        <w:rPr>
          <w:rFonts w:hint="default"/>
          <w:i/>
          <w:iCs/>
          <w:color w:val="auto"/>
          <w:highlight w:val="none"/>
          <w:lang w:val="en-US" w:eastAsia="zh-CN"/>
        </w:rPr>
        <w:t>Coriaria nepalensis</w:t>
      </w:r>
      <w:r>
        <w:rPr>
          <w:rFonts w:hint="default"/>
          <w:color w:val="auto"/>
          <w:highlight w:val="none"/>
          <w:lang w:val="en-US" w:eastAsia="zh-CN"/>
        </w:rPr>
        <w:t>、滇黔黄檀</w:t>
      </w:r>
      <w:r>
        <w:rPr>
          <w:rFonts w:hint="default"/>
          <w:i/>
          <w:iCs/>
          <w:color w:val="auto"/>
          <w:highlight w:val="none"/>
          <w:lang w:val="en-US" w:eastAsia="zh-CN"/>
        </w:rPr>
        <w:t>Dalbergia yunnanensis</w:t>
      </w:r>
      <w:r>
        <w:rPr>
          <w:rFonts w:hint="default"/>
          <w:color w:val="auto"/>
          <w:highlight w:val="none"/>
          <w:lang w:val="en-US" w:eastAsia="zh-CN"/>
        </w:rPr>
        <w:t>、</w:t>
      </w:r>
      <w:r>
        <w:rPr>
          <w:rFonts w:hint="default"/>
          <w:color w:val="auto"/>
          <w:highlight w:val="none"/>
          <w:lang w:val="zh-TW" w:eastAsia="zh-TW"/>
        </w:rPr>
        <w:t>疏序黄荆</w:t>
      </w:r>
      <w:r>
        <w:rPr>
          <w:rFonts w:hint="default"/>
          <w:i/>
          <w:iCs/>
          <w:color w:val="auto"/>
          <w:highlight w:val="none"/>
          <w:lang w:val="en-US" w:eastAsia="zh-CN"/>
        </w:rPr>
        <w:t>Vitex negundo</w:t>
      </w:r>
      <w:r>
        <w:rPr>
          <w:rFonts w:hint="default"/>
          <w:color w:val="auto"/>
          <w:highlight w:val="none"/>
          <w:lang w:val="en-US" w:eastAsia="en-US"/>
        </w:rPr>
        <w:t>、</w:t>
      </w:r>
      <w:r>
        <w:rPr>
          <w:rFonts w:hint="default"/>
          <w:color w:val="auto"/>
          <w:highlight w:val="none"/>
          <w:lang w:val="zh-TW" w:eastAsia="zh-TW"/>
        </w:rPr>
        <w:t>马桑</w:t>
      </w:r>
      <w:r>
        <w:rPr>
          <w:rFonts w:hint="default"/>
          <w:i/>
          <w:iCs/>
          <w:color w:val="auto"/>
          <w:highlight w:val="none"/>
          <w:lang w:val="en-US" w:eastAsia="zh-CN"/>
        </w:rPr>
        <w:t>Coriaria nepalensis</w:t>
      </w:r>
      <w:r>
        <w:rPr>
          <w:rFonts w:hint="default"/>
          <w:color w:val="auto"/>
          <w:highlight w:val="none"/>
          <w:lang w:val="en-US" w:eastAsia="en-US"/>
        </w:rPr>
        <w:t>、</w:t>
      </w:r>
      <w:r>
        <w:rPr>
          <w:rFonts w:hint="default"/>
          <w:color w:val="auto"/>
          <w:highlight w:val="none"/>
          <w:lang w:val="zh-TW" w:eastAsia="zh-TW"/>
        </w:rPr>
        <w:t>锥连栎</w:t>
      </w:r>
      <w:r>
        <w:rPr>
          <w:rFonts w:hint="default"/>
          <w:i/>
          <w:iCs/>
          <w:color w:val="auto"/>
          <w:highlight w:val="none"/>
          <w:lang w:val="en-US" w:eastAsia="zh-CN"/>
        </w:rPr>
        <w:t>Quercus franchetii</w:t>
      </w:r>
      <w:r>
        <w:rPr>
          <w:rFonts w:hint="default"/>
          <w:color w:val="auto"/>
          <w:highlight w:val="none"/>
          <w:lang w:val="en-US" w:eastAsia="en-US"/>
        </w:rPr>
        <w:t>、</w:t>
      </w:r>
      <w:r>
        <w:rPr>
          <w:rFonts w:hint="default"/>
          <w:color w:val="auto"/>
          <w:highlight w:val="none"/>
          <w:lang w:val="zh-TW" w:eastAsia="zh-TW"/>
        </w:rPr>
        <w:t>地果</w:t>
      </w:r>
      <w:r>
        <w:rPr>
          <w:rFonts w:hint="default"/>
          <w:i/>
          <w:iCs/>
          <w:color w:val="auto"/>
          <w:highlight w:val="none"/>
          <w:lang w:val="en-US" w:eastAsia="zh-CN"/>
        </w:rPr>
        <w:t>Ficus tikoua</w:t>
      </w:r>
      <w:r>
        <w:rPr>
          <w:rFonts w:hint="default"/>
          <w:color w:val="auto"/>
          <w:highlight w:val="none"/>
          <w:lang w:val="zh-TW" w:eastAsia="zh-TW"/>
        </w:rPr>
        <w:t>、马鞍叶羊蹄甲</w:t>
      </w:r>
      <w:r>
        <w:rPr>
          <w:rFonts w:hint="default"/>
          <w:i/>
          <w:iCs/>
          <w:color w:val="auto"/>
          <w:highlight w:val="none"/>
          <w:lang w:val="en-US" w:eastAsia="zh-CN"/>
        </w:rPr>
        <w:t>Bauhinia brachycarpa</w:t>
      </w:r>
      <w:r>
        <w:rPr>
          <w:rFonts w:hint="default"/>
          <w:color w:val="auto"/>
          <w:highlight w:val="none"/>
          <w:lang w:val="en-US" w:eastAsia="en-US"/>
        </w:rPr>
        <w:t>、</w:t>
      </w:r>
      <w:r>
        <w:rPr>
          <w:rFonts w:hint="default"/>
          <w:color w:val="auto"/>
          <w:highlight w:val="none"/>
          <w:lang w:val="zh-TW" w:eastAsia="zh-TW"/>
        </w:rPr>
        <w:t>清香木等。</w:t>
      </w:r>
    </w:p>
    <w:p>
      <w:pPr>
        <w:shd w:val="clear"/>
        <w:bidi w:val="0"/>
        <w:ind w:firstLine="480" w:firstLineChars="200"/>
        <w:rPr>
          <w:rStyle w:val="64"/>
          <w:rFonts w:hint="default" w:ascii="Times New Roman" w:hAnsi="Times New Roman" w:eastAsia="宋体" w:cs="Times New Roman"/>
          <w:b w:val="0"/>
          <w:bCs w:val="0"/>
          <w:color w:val="auto"/>
          <w:szCs w:val="24"/>
          <w:highlight w:val="none"/>
          <w:lang w:val="zh-TW" w:eastAsia="zh-TW"/>
        </w:rPr>
      </w:pPr>
      <w:r>
        <w:rPr>
          <w:rFonts w:hint="default"/>
          <w:color w:val="auto"/>
          <w:highlight w:val="none"/>
          <w:lang w:val="zh-TW" w:eastAsia="zh-TW"/>
        </w:rPr>
        <w:t>草本层种类较多，常见有扭黄茅</w:t>
      </w:r>
      <w:r>
        <w:rPr>
          <w:rFonts w:hint="default" w:ascii="Times New Roman" w:hAnsi="Times New Roman" w:eastAsia="宋体" w:cs="Times New Roman"/>
          <w:i/>
          <w:iCs/>
          <w:color w:val="auto"/>
          <w:highlight w:val="none"/>
          <w:lang w:val="en-US" w:eastAsia="zh-CN"/>
        </w:rPr>
        <w:t>Heteropogon contortus</w:t>
      </w:r>
      <w:r>
        <w:rPr>
          <w:rFonts w:hint="default"/>
          <w:color w:val="auto"/>
          <w:highlight w:val="none"/>
          <w:lang w:val="zh-TW" w:eastAsia="zh-CN"/>
        </w:rPr>
        <w:t>、</w:t>
      </w:r>
      <w:r>
        <w:rPr>
          <w:rFonts w:hint="default"/>
          <w:color w:val="auto"/>
          <w:highlight w:val="none"/>
          <w:lang w:val="zh-TW" w:eastAsia="zh-TW"/>
        </w:rPr>
        <w:t>刺芒野古草</w:t>
      </w:r>
      <w:r>
        <w:rPr>
          <w:rFonts w:hint="default" w:ascii="Times New Roman" w:hAnsi="Times New Roman" w:eastAsia="宋体" w:cs="Times New Roman"/>
          <w:i/>
          <w:iCs/>
          <w:color w:val="auto"/>
          <w:highlight w:val="none"/>
          <w:lang w:val="en-US" w:eastAsia="zh-CN"/>
        </w:rPr>
        <w:t>Arundinella setosa</w:t>
      </w:r>
      <w:r>
        <w:rPr>
          <w:rFonts w:hint="default"/>
          <w:color w:val="auto"/>
          <w:highlight w:val="none"/>
          <w:lang w:val="zh-TW" w:eastAsia="zh-TW"/>
        </w:rPr>
        <w:t>、</w:t>
      </w:r>
      <w:r>
        <w:rPr>
          <w:rFonts w:hint="default"/>
          <w:color w:val="auto"/>
          <w:highlight w:val="none"/>
          <w:lang w:val="en-US" w:eastAsia="zh-CN"/>
        </w:rPr>
        <w:t>野拔子</w:t>
      </w:r>
      <w:r>
        <w:rPr>
          <w:rFonts w:hint="default" w:ascii="Times New Roman" w:hAnsi="Times New Roman" w:eastAsia="宋体" w:cs="Times New Roman"/>
          <w:i/>
          <w:iCs/>
          <w:color w:val="auto"/>
          <w:highlight w:val="none"/>
          <w:lang w:val="en-US" w:eastAsia="zh-CN"/>
        </w:rPr>
        <w:t>Elsholtzia rugulosa</w:t>
      </w:r>
      <w:r>
        <w:rPr>
          <w:rFonts w:hint="default"/>
          <w:color w:val="auto"/>
          <w:highlight w:val="none"/>
          <w:lang w:val="en-US" w:eastAsia="zh-CN"/>
        </w:rPr>
        <w:t>、芸香草</w:t>
      </w:r>
      <w:r>
        <w:rPr>
          <w:rFonts w:hint="default" w:ascii="Times New Roman" w:hAnsi="Times New Roman" w:eastAsia="宋体" w:cs="Times New Roman"/>
          <w:i/>
          <w:iCs/>
          <w:color w:val="auto"/>
          <w:highlight w:val="none"/>
          <w:lang w:val="en-US" w:eastAsia="zh-CN"/>
        </w:rPr>
        <w:t>Cymbopogon distans</w:t>
      </w:r>
      <w:r>
        <w:rPr>
          <w:rFonts w:hint="default"/>
          <w:color w:val="auto"/>
          <w:highlight w:val="none"/>
          <w:lang w:val="en-US" w:eastAsia="zh-CN"/>
        </w:rPr>
        <w:t>、矛叶荩草</w:t>
      </w:r>
      <w:r>
        <w:rPr>
          <w:rFonts w:hint="default" w:ascii="Times New Roman" w:hAnsi="Times New Roman" w:eastAsia="宋体" w:cs="Times New Roman"/>
          <w:i/>
          <w:iCs/>
          <w:color w:val="auto"/>
          <w:highlight w:val="none"/>
          <w:lang w:val="en-US" w:eastAsia="zh-CN"/>
        </w:rPr>
        <w:t>Arthraxon prionodes</w:t>
      </w:r>
      <w:r>
        <w:rPr>
          <w:rFonts w:hint="default"/>
          <w:color w:val="auto"/>
          <w:highlight w:val="none"/>
          <w:lang w:val="en-US" w:eastAsia="zh-CN"/>
        </w:rPr>
        <w:t>、灰苞蒿</w:t>
      </w:r>
      <w:r>
        <w:rPr>
          <w:rFonts w:hint="default" w:ascii="Times New Roman" w:hAnsi="Times New Roman" w:eastAsia="宋体" w:cs="Times New Roman"/>
          <w:i/>
          <w:iCs/>
          <w:color w:val="auto"/>
          <w:highlight w:val="none"/>
          <w:lang w:val="en-US" w:eastAsia="zh-CN"/>
        </w:rPr>
        <w:t>Artemisia roxburghiana</w:t>
      </w:r>
      <w:r>
        <w:rPr>
          <w:rFonts w:hint="default"/>
          <w:color w:val="auto"/>
          <w:highlight w:val="none"/>
          <w:lang w:val="en-US" w:eastAsia="zh-CN"/>
        </w:rPr>
        <w:t>、</w:t>
      </w:r>
      <w:r>
        <w:rPr>
          <w:rFonts w:hint="default"/>
          <w:color w:val="auto"/>
          <w:highlight w:val="none"/>
          <w:lang w:val="zh-TW" w:eastAsia="zh-TW"/>
        </w:rPr>
        <w:t>拟金茅</w:t>
      </w:r>
      <w:r>
        <w:rPr>
          <w:rFonts w:hint="default" w:ascii="Times New Roman" w:hAnsi="Times New Roman" w:eastAsia="宋体" w:cs="Times New Roman"/>
          <w:i/>
          <w:iCs/>
          <w:color w:val="auto"/>
          <w:highlight w:val="none"/>
          <w:lang w:val="en-US" w:eastAsia="zh-CN"/>
        </w:rPr>
        <w:t>Eulaliopsis binata</w:t>
      </w:r>
      <w:r>
        <w:rPr>
          <w:rFonts w:hint="default"/>
          <w:color w:val="auto"/>
          <w:highlight w:val="none"/>
          <w:lang w:val="zh-TW" w:eastAsia="zh-TW"/>
        </w:rPr>
        <w:t>、牛膝</w:t>
      </w:r>
      <w:r>
        <w:rPr>
          <w:rFonts w:hint="default" w:ascii="Times New Roman" w:hAnsi="Times New Roman" w:eastAsia="宋体" w:cs="Times New Roman"/>
          <w:i/>
          <w:iCs/>
          <w:color w:val="auto"/>
          <w:highlight w:val="none"/>
          <w:lang w:val="en-US" w:eastAsia="zh-CN"/>
        </w:rPr>
        <w:t>Achyranthes bidentata</w:t>
      </w:r>
      <w:r>
        <w:rPr>
          <w:rFonts w:hint="default"/>
          <w:color w:val="auto"/>
          <w:highlight w:val="none"/>
          <w:lang w:val="zh-TW" w:eastAsia="zh-TW"/>
        </w:rPr>
        <w:t>、类雀稗</w:t>
      </w:r>
      <w:r>
        <w:rPr>
          <w:rFonts w:hint="default" w:ascii="Times New Roman" w:hAnsi="Times New Roman" w:eastAsia="宋体" w:cs="Times New Roman"/>
          <w:i/>
          <w:iCs/>
          <w:color w:val="auto"/>
          <w:highlight w:val="none"/>
          <w:lang w:val="en-US" w:eastAsia="zh-CN"/>
        </w:rPr>
        <w:t>Paspalidiumflavidum</w:t>
      </w:r>
      <w:r>
        <w:rPr>
          <w:rFonts w:hint="default"/>
          <w:color w:val="auto"/>
          <w:highlight w:val="none"/>
          <w:lang w:val="zh-TW" w:eastAsia="zh-TW"/>
        </w:rPr>
        <w:t>、三叶鬼针草</w:t>
      </w:r>
      <w:r>
        <w:rPr>
          <w:rFonts w:hint="default" w:ascii="Times New Roman" w:hAnsi="Times New Roman" w:eastAsia="宋体" w:cs="Times New Roman"/>
          <w:i/>
          <w:iCs/>
          <w:color w:val="auto"/>
          <w:highlight w:val="none"/>
          <w:lang w:val="en-US" w:eastAsia="zh-CN"/>
        </w:rPr>
        <w:t>Bidens pilosa</w:t>
      </w:r>
      <w:r>
        <w:rPr>
          <w:rFonts w:hint="default"/>
          <w:color w:val="auto"/>
          <w:highlight w:val="none"/>
          <w:lang w:val="zh-TW" w:eastAsia="zh-CN"/>
        </w:rPr>
        <w:t>、</w:t>
      </w:r>
      <w:r>
        <w:rPr>
          <w:rFonts w:hint="default"/>
          <w:color w:val="auto"/>
          <w:highlight w:val="none"/>
          <w:lang w:val="en-US" w:eastAsia="zh-CN"/>
        </w:rPr>
        <w:t>戟叶酸模</w:t>
      </w:r>
      <w:r>
        <w:rPr>
          <w:rFonts w:hint="default" w:ascii="Times New Roman" w:hAnsi="Times New Roman" w:eastAsia="宋体" w:cs="Times New Roman"/>
          <w:i/>
          <w:iCs/>
          <w:color w:val="auto"/>
          <w:highlight w:val="none"/>
          <w:lang w:val="en-US" w:eastAsia="zh-CN"/>
        </w:rPr>
        <w:t>Rumex hastatus</w:t>
      </w:r>
      <w:r>
        <w:rPr>
          <w:rFonts w:hint="default"/>
          <w:color w:val="auto"/>
          <w:highlight w:val="none"/>
          <w:lang w:val="en-US" w:eastAsia="zh-CN"/>
        </w:rPr>
        <w:t>、狗尾草</w:t>
      </w:r>
      <w:r>
        <w:rPr>
          <w:rFonts w:hint="default" w:ascii="Times New Roman" w:hAnsi="Times New Roman" w:eastAsia="宋体" w:cs="Times New Roman"/>
          <w:i/>
          <w:iCs/>
          <w:color w:val="auto"/>
          <w:highlight w:val="none"/>
          <w:lang w:val="en-US" w:eastAsia="zh-CN"/>
        </w:rPr>
        <w:t>Setaria viridis</w:t>
      </w:r>
      <w:r>
        <w:rPr>
          <w:rFonts w:hint="default"/>
          <w:color w:val="auto"/>
          <w:highlight w:val="none"/>
          <w:lang w:val="en-US" w:eastAsia="zh-CN"/>
        </w:rPr>
        <w:t>等</w:t>
      </w:r>
      <w:r>
        <w:rPr>
          <w:rFonts w:hint="default"/>
          <w:color w:val="auto"/>
          <w:highlight w:val="none"/>
          <w:lang w:val="zh-TW" w:eastAsia="zh-TW"/>
        </w:rPr>
        <w:t>。</w:t>
      </w:r>
    </w:p>
    <w:p>
      <w:pPr>
        <w:shd w:val="clear"/>
        <w:bidi w:val="0"/>
        <w:ind w:firstLine="480" w:firstLineChars="200"/>
        <w:rPr>
          <w:rFonts w:hint="default"/>
          <w:color w:val="auto"/>
          <w:highlight w:val="none"/>
        </w:rPr>
      </w:pPr>
      <w:r>
        <w:rPr>
          <w:rFonts w:hint="eastAsia"/>
          <w:color w:val="auto"/>
          <w:highlight w:val="none"/>
          <w:lang w:val="en-US" w:eastAsia="zh-CN"/>
        </w:rPr>
        <w:t>②</w:t>
      </w:r>
      <w:r>
        <w:rPr>
          <w:rFonts w:hint="default"/>
          <w:color w:val="auto"/>
          <w:highlight w:val="none"/>
          <w:lang w:val="zh-TW" w:eastAsia="zh-TW"/>
        </w:rPr>
        <w:t>人工植被</w:t>
      </w:r>
    </w:p>
    <w:p>
      <w:pPr>
        <w:shd w:val="clear"/>
        <w:bidi w:val="0"/>
        <w:ind w:firstLine="480" w:firstLineChars="200"/>
        <w:rPr>
          <w:rFonts w:hint="default"/>
          <w:color w:val="auto"/>
          <w:highlight w:val="none"/>
        </w:rPr>
      </w:pPr>
      <w:r>
        <w:rPr>
          <w:rFonts w:hint="default"/>
          <w:color w:val="auto"/>
          <w:highlight w:val="none"/>
          <w:lang w:val="zh-TW" w:eastAsia="zh-TW"/>
        </w:rPr>
        <w:t>评价区的人工植被可以分为人工用材林，经济林和耕地三种类型，人工林由其生产目标的所确定，首先，人工林是单优的人工群落，通常其培育树种的密度还比较大，林下物种和数量较少；其次，由于每年一次或多次不断的进行人为管理活动，包括砍灌、除草、施肥等，使本来不多的物种和及数量，变得更少了。因此上述各种人工林下的生物多样性都是十分贫乏的。</w:t>
      </w:r>
    </w:p>
    <w:p>
      <w:pPr>
        <w:shd w:val="clear"/>
        <w:bidi w:val="0"/>
        <w:ind w:firstLine="480" w:firstLineChars="200"/>
        <w:rPr>
          <w:rFonts w:hint="default"/>
          <w:color w:val="auto"/>
          <w:highlight w:val="none"/>
          <w:lang w:val="en-US" w:eastAsia="zh-CN"/>
        </w:rPr>
      </w:pPr>
      <w:r>
        <w:rPr>
          <w:rFonts w:hint="eastAsia"/>
          <w:color w:val="auto"/>
          <w:highlight w:val="none"/>
          <w:lang w:val="en-US" w:eastAsia="zh-CN"/>
        </w:rPr>
        <w:t>A、</w:t>
      </w:r>
      <w:r>
        <w:rPr>
          <w:rFonts w:hint="default"/>
          <w:color w:val="auto"/>
          <w:highlight w:val="none"/>
          <w:lang w:val="zh-TW" w:eastAsia="zh-TW"/>
        </w:rPr>
        <w:t>人工林</w:t>
      </w:r>
      <w:r>
        <w:rPr>
          <w:rFonts w:hint="default"/>
          <w:color w:val="auto"/>
          <w:highlight w:val="none"/>
          <w:lang w:val="en-US" w:eastAsia="zh-CN"/>
        </w:rPr>
        <w:t>植被</w:t>
      </w:r>
    </w:p>
    <w:p>
      <w:pPr>
        <w:shd w:val="clear"/>
        <w:bidi w:val="0"/>
        <w:ind w:firstLine="480" w:firstLineChars="200"/>
        <w:rPr>
          <w:rFonts w:hint="default"/>
          <w:color w:val="auto"/>
          <w:highlight w:val="none"/>
        </w:rPr>
      </w:pPr>
      <w:r>
        <w:rPr>
          <w:rFonts w:hint="default"/>
          <w:color w:val="auto"/>
          <w:highlight w:val="none"/>
          <w:lang w:val="zh-TW" w:eastAsia="zh-TW"/>
        </w:rPr>
        <w:t>评价区的桉树林大部分为人工林，层高度多为</w:t>
      </w:r>
      <w:r>
        <w:rPr>
          <w:rFonts w:hint="default"/>
          <w:color w:val="auto"/>
          <w:highlight w:val="none"/>
          <w:lang w:val="en-US" w:eastAsia="en-US"/>
        </w:rPr>
        <w:t>20</w:t>
      </w:r>
      <w:r>
        <w:rPr>
          <w:rFonts w:hint="default"/>
          <w:color w:val="auto"/>
          <w:highlight w:val="none"/>
        </w:rPr>
        <w:t>m</w:t>
      </w:r>
      <w:r>
        <w:rPr>
          <w:rFonts w:hint="default"/>
          <w:color w:val="auto"/>
          <w:highlight w:val="none"/>
          <w:lang w:val="en-US" w:eastAsia="en-US"/>
        </w:rPr>
        <w:t>，</w:t>
      </w:r>
      <w:r>
        <w:rPr>
          <w:rFonts w:hint="default"/>
          <w:color w:val="auto"/>
          <w:highlight w:val="none"/>
          <w:lang w:val="zh-TW" w:eastAsia="zh-TW"/>
        </w:rPr>
        <w:t>盖度达到90%，有一些群落树种单一，只有</w:t>
      </w:r>
      <w:r>
        <w:rPr>
          <w:rFonts w:hint="default"/>
          <w:color w:val="auto"/>
          <w:highlight w:val="none"/>
          <w:lang w:val="en-US" w:eastAsia="zh-CN"/>
        </w:rPr>
        <w:t>桉树</w:t>
      </w:r>
      <w:r>
        <w:rPr>
          <w:rFonts w:hint="default"/>
          <w:color w:val="auto"/>
          <w:highlight w:val="none"/>
          <w:lang w:val="zh-TW" w:eastAsia="zh-TW"/>
        </w:rPr>
        <w:t>—种。群落的下层灌木种类稀少，盖度仅为10</w:t>
      </w:r>
      <w:r>
        <w:rPr>
          <w:rFonts w:hint="default"/>
          <w:color w:val="auto"/>
          <w:highlight w:val="none"/>
          <w:lang w:val="en-US" w:eastAsia="zh-CN"/>
        </w:rPr>
        <w:t>%</w:t>
      </w:r>
      <w:r>
        <w:rPr>
          <w:rFonts w:hint="default"/>
          <w:color w:val="auto"/>
          <w:highlight w:val="none"/>
          <w:lang w:val="zh-TW" w:eastAsia="zh-TW"/>
        </w:rPr>
        <w:t>左右，仅有野拨子</w:t>
      </w:r>
      <w:r>
        <w:rPr>
          <w:rFonts w:hint="default"/>
          <w:color w:val="auto"/>
          <w:highlight w:val="none"/>
          <w:lang w:val="en-US" w:eastAsia="en-US"/>
        </w:rPr>
        <w:t>、</w:t>
      </w:r>
      <w:r>
        <w:rPr>
          <w:rFonts w:hint="default"/>
          <w:color w:val="auto"/>
          <w:highlight w:val="none"/>
          <w:lang w:val="en-US" w:eastAsia="zh-CN"/>
        </w:rPr>
        <w:t>盐肤木</w:t>
      </w:r>
      <w:r>
        <w:rPr>
          <w:rFonts w:hint="default"/>
          <w:color w:val="auto"/>
          <w:highlight w:val="none"/>
          <w:lang w:val="en-US" w:eastAsia="en-US"/>
        </w:rPr>
        <w:t>、</w:t>
      </w:r>
      <w:r>
        <w:rPr>
          <w:rFonts w:hint="default"/>
          <w:color w:val="auto"/>
          <w:highlight w:val="none"/>
          <w:lang w:val="zh-TW" w:eastAsia="zh-TW"/>
        </w:rPr>
        <w:t>云南</w:t>
      </w:r>
      <w:r>
        <w:rPr>
          <w:rFonts w:hint="default"/>
          <w:color w:val="auto"/>
          <w:highlight w:val="none"/>
          <w:lang w:val="en-US" w:eastAsia="zh-CN"/>
        </w:rPr>
        <w:t>山蚂蝗</w:t>
      </w:r>
      <w:r>
        <w:rPr>
          <w:rFonts w:hint="default"/>
          <w:color w:val="auto"/>
          <w:highlight w:val="none"/>
          <w:lang w:val="en-US" w:eastAsia="en-US"/>
        </w:rPr>
        <w:t>、</w:t>
      </w:r>
      <w:r>
        <w:rPr>
          <w:rFonts w:hint="default"/>
          <w:color w:val="auto"/>
          <w:highlight w:val="none"/>
          <w:lang w:val="en-US" w:eastAsia="zh-CN"/>
        </w:rPr>
        <w:t>毛杭子梢</w:t>
      </w:r>
      <w:r>
        <w:rPr>
          <w:rFonts w:hint="default"/>
          <w:color w:val="auto"/>
          <w:highlight w:val="none"/>
          <w:lang w:val="zh-TW" w:eastAsia="zh-TW"/>
        </w:rPr>
        <w:t>等少数几种。</w:t>
      </w:r>
    </w:p>
    <w:p>
      <w:pPr>
        <w:shd w:val="clear"/>
        <w:bidi w:val="0"/>
        <w:ind w:firstLine="480" w:firstLineChars="200"/>
        <w:rPr>
          <w:rFonts w:hint="default"/>
          <w:color w:val="auto"/>
          <w:highlight w:val="none"/>
        </w:rPr>
      </w:pPr>
      <w:r>
        <w:rPr>
          <w:rFonts w:hint="default"/>
          <w:color w:val="auto"/>
          <w:highlight w:val="none"/>
          <w:lang w:val="zh-TW" w:eastAsia="zh-TW"/>
        </w:rPr>
        <w:t>草本的种类和数量也较少，盖度仅为10%，种类有粘冠草、红腺蕨</w:t>
      </w:r>
      <w:r>
        <w:rPr>
          <w:rFonts w:hint="default"/>
          <w:color w:val="auto"/>
          <w:highlight w:val="none"/>
        </w:rPr>
        <w:t>、</w:t>
      </w:r>
      <w:r>
        <w:rPr>
          <w:rFonts w:hint="default"/>
          <w:color w:val="auto"/>
          <w:highlight w:val="none"/>
          <w:lang w:val="zh-TW" w:eastAsia="zh-TW"/>
        </w:rPr>
        <w:t>芒萁</w:t>
      </w:r>
      <w:r>
        <w:rPr>
          <w:rFonts w:hint="default"/>
          <w:color w:val="auto"/>
          <w:highlight w:val="none"/>
        </w:rPr>
        <w:t>、</w:t>
      </w:r>
      <w:r>
        <w:rPr>
          <w:rFonts w:hint="default"/>
          <w:color w:val="auto"/>
          <w:highlight w:val="none"/>
          <w:lang w:val="zh-TW" w:eastAsia="zh-TW"/>
        </w:rPr>
        <w:t>栗柄金粉蕨</w:t>
      </w:r>
      <w:r>
        <w:rPr>
          <w:rFonts w:hint="default"/>
          <w:color w:val="auto"/>
          <w:highlight w:val="none"/>
        </w:rPr>
        <w:t>、</w:t>
      </w:r>
      <w:r>
        <w:rPr>
          <w:rFonts w:hint="default"/>
          <w:color w:val="auto"/>
          <w:highlight w:val="none"/>
          <w:lang w:val="zh-TW" w:eastAsia="zh-TW"/>
        </w:rPr>
        <w:t>毛轴蕨、短莛飞蓬</w:t>
      </w:r>
      <w:r>
        <w:rPr>
          <w:rFonts w:hint="default"/>
          <w:color w:val="auto"/>
          <w:highlight w:val="none"/>
          <w:lang w:eastAsia="zh-CN"/>
        </w:rPr>
        <w:t>、</w:t>
      </w:r>
      <w:r>
        <w:rPr>
          <w:rFonts w:hint="default"/>
          <w:color w:val="auto"/>
          <w:highlight w:val="none"/>
          <w:lang w:val="zh-TW" w:eastAsia="zh-TW"/>
        </w:rPr>
        <w:t>香茶菜</w:t>
      </w:r>
      <w:r>
        <w:rPr>
          <w:rFonts w:hint="default"/>
          <w:color w:val="auto"/>
          <w:highlight w:val="none"/>
        </w:rPr>
        <w:t>、</w:t>
      </w:r>
      <w:r>
        <w:rPr>
          <w:rFonts w:hint="default"/>
          <w:color w:val="auto"/>
          <w:highlight w:val="none"/>
          <w:lang w:val="zh-TW" w:eastAsia="zh-TW"/>
        </w:rPr>
        <w:t>香薷等种类。</w:t>
      </w:r>
    </w:p>
    <w:p>
      <w:pPr>
        <w:shd w:val="clear"/>
        <w:bidi w:val="0"/>
        <w:ind w:firstLine="480" w:firstLineChars="200"/>
        <w:rPr>
          <w:rFonts w:hint="default"/>
          <w:color w:val="auto"/>
          <w:highlight w:val="none"/>
          <w:lang w:val="en-US" w:eastAsia="zh-CN"/>
        </w:rPr>
      </w:pPr>
      <w:r>
        <w:rPr>
          <w:rFonts w:hint="eastAsia"/>
          <w:color w:val="auto"/>
          <w:highlight w:val="none"/>
          <w:lang w:val="en-US" w:eastAsia="zh-CN"/>
        </w:rPr>
        <w:t>B、</w:t>
      </w:r>
      <w:r>
        <w:rPr>
          <w:rFonts w:hint="default"/>
          <w:color w:val="auto"/>
          <w:highlight w:val="none"/>
          <w:lang w:val="en-US" w:eastAsia="zh-CN"/>
        </w:rPr>
        <w:t>园地植被</w:t>
      </w:r>
    </w:p>
    <w:p>
      <w:pPr>
        <w:shd w:val="clear"/>
        <w:bidi w:val="0"/>
        <w:ind w:firstLine="480" w:firstLineChars="200"/>
        <w:rPr>
          <w:rFonts w:hint="default"/>
          <w:color w:val="auto"/>
          <w:highlight w:val="none"/>
        </w:rPr>
      </w:pPr>
      <w:r>
        <w:rPr>
          <w:rFonts w:hint="default"/>
          <w:color w:val="auto"/>
          <w:highlight w:val="none"/>
          <w:lang w:val="zh-TW" w:eastAsia="zh-TW"/>
        </w:rPr>
        <w:t>评价区经济林包括核桃林、花椒林等类型。其中核桃林，主要分布在低海拔区村寨周围坡度较缓坡耕地</w:t>
      </w:r>
      <w:r>
        <w:rPr>
          <w:rFonts w:hint="default"/>
          <w:color w:val="auto"/>
          <w:highlight w:val="none"/>
          <w:lang w:val="zh-TW" w:eastAsia="zh-CN"/>
        </w:rPr>
        <w:t>；</w:t>
      </w:r>
      <w:r>
        <w:rPr>
          <w:rFonts w:hint="default"/>
          <w:color w:val="auto"/>
          <w:highlight w:val="none"/>
          <w:lang w:val="zh-TW" w:eastAsia="zh-TW"/>
        </w:rPr>
        <w:t>在村寨周围有小范围的花椒林。</w:t>
      </w:r>
    </w:p>
    <w:p>
      <w:pPr>
        <w:shd w:val="clear"/>
        <w:bidi w:val="0"/>
        <w:ind w:firstLine="480" w:firstLineChars="200"/>
        <w:rPr>
          <w:rFonts w:hint="default"/>
          <w:color w:val="auto"/>
          <w:highlight w:val="none"/>
        </w:rPr>
      </w:pPr>
      <w:r>
        <w:rPr>
          <w:rFonts w:hint="eastAsia"/>
          <w:color w:val="auto"/>
          <w:highlight w:val="none"/>
          <w:lang w:val="en-US" w:eastAsia="zh-CN"/>
        </w:rPr>
        <w:t>C、</w:t>
      </w:r>
      <w:r>
        <w:rPr>
          <w:rFonts w:hint="default"/>
          <w:color w:val="auto"/>
          <w:highlight w:val="none"/>
          <w:lang w:val="zh-TW" w:eastAsia="zh-TW"/>
        </w:rPr>
        <w:t>耕地植被</w:t>
      </w:r>
    </w:p>
    <w:p>
      <w:pPr>
        <w:shd w:val="clear"/>
        <w:bidi w:val="0"/>
        <w:ind w:firstLine="480" w:firstLineChars="200"/>
        <w:rPr>
          <w:rFonts w:hint="default"/>
          <w:color w:val="auto"/>
          <w:highlight w:val="none"/>
        </w:rPr>
      </w:pPr>
      <w:r>
        <w:rPr>
          <w:rFonts w:hint="default"/>
          <w:color w:val="auto"/>
          <w:highlight w:val="none"/>
          <w:lang w:val="zh-TW" w:eastAsia="zh-TW"/>
        </w:rPr>
        <w:t>耕地包括水田、旱地和轮歇地。评价区的农业生产区，具有大量的农田农地。农地农地所在地段较为开阔平缓、土层深厚。水田作物以水稻为主；农地主要种植玉米、烟草，玉米，小麦，蚕豆等。在农地边主要分布着一些热带地区常见的杂草如蒿、鬼针草、臭灵丹</w:t>
      </w:r>
      <w:r>
        <w:rPr>
          <w:rFonts w:hint="default"/>
          <w:color w:val="auto"/>
          <w:highlight w:val="none"/>
          <w:lang w:val="en-US" w:eastAsia="en-US"/>
        </w:rPr>
        <w:t>、</w:t>
      </w:r>
      <w:r>
        <w:rPr>
          <w:rFonts w:hint="default"/>
          <w:color w:val="auto"/>
          <w:highlight w:val="none"/>
          <w:lang w:val="zh-TW" w:eastAsia="zh-TW"/>
        </w:rPr>
        <w:t>积雪草</w:t>
      </w:r>
      <w:r>
        <w:rPr>
          <w:rFonts w:hint="default"/>
          <w:color w:val="auto"/>
          <w:highlight w:val="none"/>
          <w:lang w:val="en-US" w:eastAsia="en-US"/>
        </w:rPr>
        <w:t>、</w:t>
      </w:r>
      <w:r>
        <w:rPr>
          <w:rFonts w:hint="default"/>
          <w:color w:val="auto"/>
          <w:highlight w:val="none"/>
          <w:lang w:val="en-US" w:eastAsia="zh-CN"/>
        </w:rPr>
        <w:t>酢浆草</w:t>
      </w:r>
      <w:r>
        <w:rPr>
          <w:rFonts w:hint="default"/>
          <w:color w:val="auto"/>
          <w:highlight w:val="none"/>
          <w:lang w:val="zh-TW" w:eastAsia="zh-TW"/>
        </w:rPr>
        <w:t>等。</w:t>
      </w:r>
    </w:p>
    <w:p>
      <w:pPr>
        <w:shd w:val="clear"/>
        <w:bidi w:val="0"/>
        <w:ind w:firstLine="480" w:firstLineChars="200"/>
        <w:rPr>
          <w:rFonts w:hint="default"/>
          <w:color w:val="auto"/>
          <w:highlight w:val="none"/>
          <w:lang w:val="en-US" w:eastAsia="zh-CN"/>
        </w:rPr>
      </w:pPr>
      <w:r>
        <w:rPr>
          <w:rFonts w:hint="eastAsia"/>
          <w:color w:val="auto"/>
          <w:highlight w:val="none"/>
          <w:lang w:val="en-US" w:eastAsia="zh-CN"/>
        </w:rPr>
        <w:t>（2）</w:t>
      </w:r>
      <w:r>
        <w:rPr>
          <w:rFonts w:hint="default"/>
          <w:color w:val="auto"/>
          <w:highlight w:val="none"/>
          <w:lang w:val="en-US" w:eastAsia="zh-CN"/>
        </w:rPr>
        <w:t>植物资源现状</w:t>
      </w:r>
    </w:p>
    <w:p>
      <w:pPr>
        <w:shd w:val="clear"/>
        <w:bidi w:val="0"/>
        <w:ind w:firstLine="480" w:firstLineChars="200"/>
        <w:rPr>
          <w:rFonts w:hint="default"/>
          <w:color w:val="auto"/>
          <w:highlight w:val="none"/>
          <w:lang w:val="en-US" w:eastAsia="zh-CN"/>
        </w:rPr>
      </w:pPr>
      <w:r>
        <w:rPr>
          <w:rFonts w:hint="eastAsia"/>
          <w:color w:val="auto"/>
          <w:highlight w:val="none"/>
          <w:lang w:val="en-US" w:eastAsia="zh-CN"/>
        </w:rPr>
        <w:t>A</w:t>
      </w:r>
      <w:r>
        <w:rPr>
          <w:rFonts w:hint="default"/>
          <w:color w:val="auto"/>
          <w:highlight w:val="none"/>
          <w:lang w:val="en-US" w:eastAsia="zh-CN"/>
        </w:rPr>
        <w:t>、物种多样性</w:t>
      </w:r>
    </w:p>
    <w:p>
      <w:pPr>
        <w:shd w:val="clear"/>
        <w:bidi w:val="0"/>
        <w:ind w:firstLine="480" w:firstLineChars="200"/>
        <w:rPr>
          <w:rFonts w:hint="default"/>
          <w:color w:val="auto"/>
          <w:highlight w:val="none"/>
        </w:rPr>
      </w:pPr>
      <w:r>
        <w:rPr>
          <w:rFonts w:hint="default"/>
          <w:color w:val="auto"/>
          <w:highlight w:val="none"/>
          <w:lang w:val="zh-TW" w:eastAsia="zh-TW"/>
        </w:rPr>
        <w:t>经实地调查，记录到影响评价区布的维管植物有</w:t>
      </w:r>
      <w:r>
        <w:rPr>
          <w:rFonts w:hint="default"/>
          <w:color w:val="auto"/>
          <w:highlight w:val="none"/>
          <w:lang w:val="en-US" w:eastAsia="zh-CN"/>
        </w:rPr>
        <w:t>90</w:t>
      </w:r>
      <w:r>
        <w:rPr>
          <w:rFonts w:hint="default"/>
          <w:color w:val="auto"/>
          <w:highlight w:val="none"/>
          <w:lang w:val="zh-TW" w:eastAsia="zh-TW"/>
        </w:rPr>
        <w:t>科2</w:t>
      </w:r>
      <w:r>
        <w:rPr>
          <w:rFonts w:hint="default"/>
          <w:color w:val="auto"/>
          <w:highlight w:val="none"/>
          <w:lang w:val="en-US" w:eastAsia="zh-CN"/>
        </w:rPr>
        <w:t>47</w:t>
      </w:r>
      <w:r>
        <w:rPr>
          <w:rFonts w:hint="default"/>
          <w:color w:val="auto"/>
          <w:highlight w:val="none"/>
          <w:lang w:val="zh-TW" w:eastAsia="zh-TW"/>
        </w:rPr>
        <w:t>属3</w:t>
      </w:r>
      <w:r>
        <w:rPr>
          <w:rFonts w:hint="default"/>
          <w:color w:val="auto"/>
          <w:highlight w:val="none"/>
          <w:lang w:val="en-US" w:eastAsia="zh-CN"/>
        </w:rPr>
        <w:t>31</w:t>
      </w:r>
      <w:r>
        <w:rPr>
          <w:rFonts w:hint="default"/>
          <w:color w:val="auto"/>
          <w:highlight w:val="none"/>
          <w:lang w:val="zh-TW" w:eastAsia="zh-TW"/>
        </w:rPr>
        <w:t>种；其中：蕨类植物共1</w:t>
      </w:r>
      <w:r>
        <w:rPr>
          <w:rFonts w:hint="default"/>
          <w:color w:val="auto"/>
          <w:highlight w:val="none"/>
          <w:lang w:val="en-US" w:eastAsia="zh-CN"/>
        </w:rPr>
        <w:t>3</w:t>
      </w:r>
      <w:r>
        <w:rPr>
          <w:rFonts w:hint="default"/>
          <w:color w:val="auto"/>
          <w:highlight w:val="none"/>
          <w:lang w:val="zh-TW" w:eastAsia="zh-TW"/>
        </w:rPr>
        <w:t>科1</w:t>
      </w:r>
      <w:r>
        <w:rPr>
          <w:rFonts w:hint="default"/>
          <w:color w:val="auto"/>
          <w:highlight w:val="none"/>
          <w:lang w:val="en-US" w:eastAsia="zh-CN"/>
        </w:rPr>
        <w:t>7</w:t>
      </w:r>
      <w:r>
        <w:rPr>
          <w:rFonts w:hint="default"/>
          <w:color w:val="auto"/>
          <w:highlight w:val="none"/>
          <w:lang w:val="zh-TW" w:eastAsia="zh-TW"/>
        </w:rPr>
        <w:t>属</w:t>
      </w:r>
      <w:r>
        <w:rPr>
          <w:rFonts w:hint="default"/>
          <w:color w:val="auto"/>
          <w:highlight w:val="none"/>
          <w:lang w:val="en-US" w:eastAsia="zh-CN"/>
        </w:rPr>
        <w:t>21</w:t>
      </w:r>
      <w:r>
        <w:rPr>
          <w:rFonts w:hint="default"/>
          <w:color w:val="auto"/>
          <w:highlight w:val="none"/>
          <w:lang w:val="zh-TW" w:eastAsia="zh-TW"/>
        </w:rPr>
        <w:t>种；裸子植物</w:t>
      </w:r>
      <w:r>
        <w:rPr>
          <w:rFonts w:hint="default"/>
          <w:color w:val="auto"/>
          <w:highlight w:val="none"/>
          <w:lang w:val="en-US" w:eastAsia="zh-CN"/>
        </w:rPr>
        <w:t>3</w:t>
      </w:r>
      <w:r>
        <w:rPr>
          <w:rFonts w:hint="default"/>
          <w:color w:val="auto"/>
          <w:highlight w:val="none"/>
          <w:lang w:val="zh-TW" w:eastAsia="zh-TW"/>
        </w:rPr>
        <w:t>科</w:t>
      </w:r>
      <w:r>
        <w:rPr>
          <w:rFonts w:hint="default"/>
          <w:color w:val="auto"/>
          <w:highlight w:val="none"/>
          <w:lang w:val="en-US" w:eastAsia="zh-CN"/>
        </w:rPr>
        <w:t>5</w:t>
      </w:r>
      <w:r>
        <w:rPr>
          <w:rFonts w:hint="default"/>
          <w:color w:val="auto"/>
          <w:highlight w:val="none"/>
          <w:lang w:val="zh-TW" w:eastAsia="zh-TW"/>
        </w:rPr>
        <w:t>属</w:t>
      </w:r>
      <w:r>
        <w:rPr>
          <w:rFonts w:hint="default"/>
          <w:color w:val="auto"/>
          <w:highlight w:val="none"/>
          <w:lang w:val="en-US" w:eastAsia="zh-CN"/>
        </w:rPr>
        <w:t>7</w:t>
      </w:r>
      <w:r>
        <w:rPr>
          <w:rFonts w:hint="default"/>
          <w:color w:val="auto"/>
          <w:highlight w:val="none"/>
          <w:lang w:val="zh-TW" w:eastAsia="zh-TW"/>
        </w:rPr>
        <w:t>种；被子植物7</w:t>
      </w:r>
      <w:r>
        <w:rPr>
          <w:rFonts w:hint="default"/>
          <w:color w:val="auto"/>
          <w:highlight w:val="none"/>
          <w:lang w:val="en-US" w:eastAsia="zh-CN"/>
        </w:rPr>
        <w:t>4</w:t>
      </w:r>
      <w:r>
        <w:rPr>
          <w:rFonts w:hint="default"/>
          <w:color w:val="auto"/>
          <w:highlight w:val="none"/>
          <w:lang w:val="zh-TW" w:eastAsia="zh-TW"/>
        </w:rPr>
        <w:t>科2</w:t>
      </w:r>
      <w:r>
        <w:rPr>
          <w:rFonts w:hint="default"/>
          <w:color w:val="auto"/>
          <w:highlight w:val="none"/>
          <w:lang w:val="en-US" w:eastAsia="zh-CN"/>
        </w:rPr>
        <w:t>25</w:t>
      </w:r>
      <w:r>
        <w:rPr>
          <w:rFonts w:hint="default"/>
          <w:color w:val="auto"/>
          <w:highlight w:val="none"/>
          <w:lang w:val="zh-TW" w:eastAsia="zh-TW"/>
        </w:rPr>
        <w:t>属</w:t>
      </w:r>
      <w:r>
        <w:rPr>
          <w:rFonts w:hint="default"/>
          <w:color w:val="auto"/>
          <w:highlight w:val="none"/>
          <w:lang w:val="en-US" w:eastAsia="zh-CN"/>
        </w:rPr>
        <w:t>303</w:t>
      </w:r>
      <w:r>
        <w:rPr>
          <w:rFonts w:hint="default"/>
          <w:color w:val="auto"/>
          <w:highlight w:val="none"/>
          <w:lang w:val="zh-TW" w:eastAsia="zh-TW"/>
        </w:rPr>
        <w:t>种。拟建工程及周边区域维管束植物名录请见</w:t>
      </w:r>
      <w:r>
        <w:rPr>
          <w:rFonts w:hint="default"/>
          <w:color w:val="auto"/>
          <w:highlight w:val="none"/>
          <w:lang w:val="en-US" w:eastAsia="zh-CN"/>
        </w:rPr>
        <w:t>附录1</w:t>
      </w:r>
      <w:r>
        <w:rPr>
          <w:rFonts w:hint="default"/>
          <w:color w:val="auto"/>
          <w:highlight w:val="none"/>
          <w:lang w:val="zh-TW" w:eastAsia="zh-TW"/>
        </w:rPr>
        <w:t>。</w:t>
      </w:r>
    </w:p>
    <w:p>
      <w:pPr>
        <w:shd w:val="clear"/>
        <w:bidi w:val="0"/>
        <w:ind w:firstLine="480" w:firstLineChars="200"/>
        <w:rPr>
          <w:rFonts w:hint="default"/>
          <w:color w:val="auto"/>
          <w:highlight w:val="none"/>
          <w:lang w:val="zh-TW" w:eastAsia="zh-TW"/>
        </w:rPr>
      </w:pPr>
      <w:r>
        <w:rPr>
          <w:rFonts w:hint="default"/>
          <w:color w:val="auto"/>
          <w:highlight w:val="none"/>
          <w:lang w:val="zh-TW" w:eastAsia="zh-TW"/>
        </w:rPr>
        <w:t>评价区植物的特点是裸子植物种类较多；在种子植物中，典型的干热河谷特征的植被较多；人工林及经济林占有一定的比例。在野生植物中，不同植物种类在种群数量和个体数量上差别很大，有的种类个体数量很多，常</w:t>
      </w:r>
      <w:r>
        <w:rPr>
          <w:rFonts w:hint="eastAsia"/>
          <w:color w:val="auto"/>
          <w:highlight w:val="none"/>
          <w:lang w:val="zh-TW" w:eastAsia="zh-CN"/>
        </w:rPr>
        <w:t>构成</w:t>
      </w:r>
      <w:r>
        <w:rPr>
          <w:rFonts w:hint="default"/>
          <w:color w:val="auto"/>
          <w:highlight w:val="none"/>
          <w:lang w:val="zh-TW" w:eastAsia="zh-TW"/>
        </w:rPr>
        <w:t>单优种群落，如扭黄茅</w:t>
      </w:r>
      <w:r>
        <w:rPr>
          <w:rFonts w:hint="default"/>
          <w:color w:val="auto"/>
          <w:highlight w:val="none"/>
          <w:lang w:val="zh-TW" w:eastAsia="zh-CN"/>
        </w:rPr>
        <w:t>、</w:t>
      </w:r>
      <w:r>
        <w:rPr>
          <w:rFonts w:hint="default"/>
          <w:color w:val="auto"/>
          <w:highlight w:val="none"/>
          <w:lang w:val="zh-TW" w:eastAsia="zh-TW"/>
        </w:rPr>
        <w:t>锥连栎</w:t>
      </w:r>
      <w:r>
        <w:rPr>
          <w:rFonts w:hint="default"/>
          <w:color w:val="auto"/>
          <w:highlight w:val="none"/>
          <w:lang w:val="zh-TW" w:eastAsia="zh-CN"/>
        </w:rPr>
        <w:t>、</w:t>
      </w:r>
      <w:r>
        <w:rPr>
          <w:rFonts w:hint="default"/>
          <w:color w:val="auto"/>
          <w:highlight w:val="none"/>
          <w:lang w:val="zh-TW" w:eastAsia="zh-TW"/>
        </w:rPr>
        <w:t>余甘子</w:t>
      </w:r>
      <w:r>
        <w:rPr>
          <w:rFonts w:hint="default"/>
          <w:color w:val="auto"/>
          <w:highlight w:val="none"/>
          <w:lang w:val="zh-TW" w:eastAsia="zh-CN"/>
        </w:rPr>
        <w:t>、</w:t>
      </w:r>
      <w:r>
        <w:rPr>
          <w:rFonts w:hint="default"/>
          <w:color w:val="auto"/>
          <w:highlight w:val="none"/>
          <w:lang w:val="en-US" w:eastAsia="zh-CN"/>
        </w:rPr>
        <w:t>华西小石积</w:t>
      </w:r>
      <w:r>
        <w:rPr>
          <w:rFonts w:hint="default"/>
          <w:color w:val="auto"/>
          <w:highlight w:val="none"/>
          <w:lang w:val="en-US" w:eastAsia="en-US"/>
        </w:rPr>
        <w:t>、</w:t>
      </w:r>
      <w:r>
        <w:rPr>
          <w:rFonts w:hint="default"/>
          <w:color w:val="auto"/>
          <w:highlight w:val="none"/>
          <w:lang w:val="zh-TW" w:eastAsia="zh-TW"/>
        </w:rPr>
        <w:t>羊蹄甲</w:t>
      </w:r>
      <w:r>
        <w:rPr>
          <w:rFonts w:hint="default"/>
          <w:color w:val="auto"/>
          <w:highlight w:val="none"/>
          <w:lang w:val="en-US" w:eastAsia="en-US"/>
        </w:rPr>
        <w:t>、</w:t>
      </w:r>
      <w:r>
        <w:rPr>
          <w:rFonts w:hint="default"/>
          <w:color w:val="auto"/>
          <w:highlight w:val="none"/>
          <w:lang w:val="zh-TW" w:eastAsia="zh-TW"/>
        </w:rPr>
        <w:t>西南笐子梢</w:t>
      </w:r>
      <w:r>
        <w:rPr>
          <w:rFonts w:hint="default"/>
          <w:color w:val="auto"/>
          <w:highlight w:val="none"/>
          <w:lang w:val="zh-TW" w:eastAsia="zh-CN"/>
        </w:rPr>
        <w:t>、</w:t>
      </w:r>
      <w:r>
        <w:rPr>
          <w:rFonts w:hint="default"/>
          <w:color w:val="auto"/>
          <w:highlight w:val="none"/>
          <w:lang w:val="en-US" w:eastAsia="zh-CN"/>
        </w:rPr>
        <w:t>车桑子</w:t>
      </w:r>
      <w:r>
        <w:rPr>
          <w:rFonts w:hint="default"/>
          <w:color w:val="auto"/>
          <w:highlight w:val="none"/>
          <w:lang w:val="en-US" w:eastAsia="en-US"/>
        </w:rPr>
        <w:t>、</w:t>
      </w:r>
      <w:r>
        <w:rPr>
          <w:rFonts w:hint="default"/>
          <w:color w:val="auto"/>
          <w:highlight w:val="none"/>
          <w:lang w:val="zh-TW" w:eastAsia="zh-TW"/>
        </w:rPr>
        <w:t>清香木等，常见栽培的种类如</w:t>
      </w:r>
      <w:r>
        <w:rPr>
          <w:rFonts w:hint="default"/>
          <w:color w:val="auto"/>
          <w:highlight w:val="none"/>
          <w:lang w:val="en-US" w:eastAsia="zh-CN"/>
        </w:rPr>
        <w:t>荞麦</w:t>
      </w:r>
      <w:r>
        <w:rPr>
          <w:rFonts w:hint="default"/>
          <w:color w:val="auto"/>
          <w:highlight w:val="none"/>
          <w:lang w:val="zh-TW" w:eastAsia="zh-TW"/>
        </w:rPr>
        <w:t>、燕麦、青稞</w:t>
      </w:r>
      <w:r>
        <w:rPr>
          <w:rFonts w:hint="default"/>
          <w:color w:val="auto"/>
          <w:highlight w:val="none"/>
          <w:lang w:val="zh-TW" w:eastAsia="zh-CN"/>
        </w:rPr>
        <w:t>、</w:t>
      </w:r>
      <w:r>
        <w:rPr>
          <w:rFonts w:hint="default"/>
          <w:color w:val="auto"/>
          <w:highlight w:val="none"/>
          <w:lang w:val="zh-TW" w:eastAsia="zh-TW"/>
        </w:rPr>
        <w:t>水稻</w:t>
      </w:r>
      <w:r>
        <w:rPr>
          <w:rFonts w:hint="default"/>
          <w:color w:val="auto"/>
          <w:highlight w:val="none"/>
        </w:rPr>
        <w:t>、</w:t>
      </w:r>
      <w:r>
        <w:rPr>
          <w:rFonts w:hint="default"/>
          <w:color w:val="auto"/>
          <w:highlight w:val="none"/>
          <w:lang w:val="zh-TW" w:eastAsia="zh-TW"/>
        </w:rPr>
        <w:t>玉米</w:t>
      </w:r>
      <w:r>
        <w:rPr>
          <w:rFonts w:hint="default"/>
          <w:color w:val="auto"/>
          <w:highlight w:val="none"/>
        </w:rPr>
        <w:t>、</w:t>
      </w:r>
      <w:r>
        <w:rPr>
          <w:rFonts w:hint="default"/>
          <w:color w:val="auto"/>
          <w:highlight w:val="none"/>
          <w:lang w:val="zh-TW" w:eastAsia="zh-TW"/>
        </w:rPr>
        <w:t>碗豆</w:t>
      </w:r>
      <w:r>
        <w:rPr>
          <w:rFonts w:hint="default"/>
          <w:color w:val="auto"/>
          <w:highlight w:val="none"/>
        </w:rPr>
        <w:t>、</w:t>
      </w:r>
      <w:r>
        <w:rPr>
          <w:rFonts w:hint="default"/>
          <w:color w:val="auto"/>
          <w:highlight w:val="none"/>
          <w:lang w:val="zh-TW" w:eastAsia="zh-TW"/>
        </w:rPr>
        <w:t>花椒</w:t>
      </w:r>
      <w:r>
        <w:rPr>
          <w:rFonts w:hint="default"/>
          <w:color w:val="auto"/>
          <w:highlight w:val="none"/>
        </w:rPr>
        <w:t>、</w:t>
      </w:r>
      <w:r>
        <w:rPr>
          <w:rFonts w:hint="default"/>
          <w:color w:val="auto"/>
          <w:highlight w:val="none"/>
          <w:lang w:val="zh-TW" w:eastAsia="zh-TW"/>
        </w:rPr>
        <w:t>核桃等。具体种类见附录一。</w:t>
      </w:r>
    </w:p>
    <w:p>
      <w:pPr>
        <w:pStyle w:val="40"/>
        <w:shd w:val="clear"/>
        <w:bidi w:val="0"/>
        <w:rPr>
          <w:rFonts w:hint="default"/>
          <w:color w:val="auto"/>
          <w:highlight w:val="none"/>
          <w:lang w:val="zh-TW" w:eastAsia="zh-TW"/>
        </w:rPr>
      </w:pPr>
      <w:r>
        <w:rPr>
          <w:rFonts w:hint="default"/>
          <w:color w:val="auto"/>
          <w:highlight w:val="none"/>
          <w:lang w:val="zh-TW" w:eastAsia="zh-TW"/>
        </w:rPr>
        <w:t>表</w:t>
      </w:r>
      <w:r>
        <w:rPr>
          <w:rFonts w:hint="eastAsia"/>
          <w:color w:val="auto"/>
          <w:highlight w:val="none"/>
          <w:lang w:val="en-US" w:eastAsia="zh-CN"/>
        </w:rPr>
        <w:t>4.2.5</w:t>
      </w:r>
      <w:r>
        <w:rPr>
          <w:rFonts w:hint="default"/>
          <w:color w:val="auto"/>
          <w:highlight w:val="none"/>
          <w:lang w:val="en-US" w:eastAsia="en-US"/>
        </w:rPr>
        <w:t>-</w:t>
      </w:r>
      <w:r>
        <w:rPr>
          <w:rFonts w:hint="eastAsia"/>
          <w:color w:val="auto"/>
          <w:highlight w:val="none"/>
          <w:lang w:val="en-US" w:eastAsia="zh-CN"/>
        </w:rPr>
        <w:t xml:space="preserve">5  </w:t>
      </w:r>
      <w:r>
        <w:rPr>
          <w:rFonts w:hint="default"/>
          <w:color w:val="auto"/>
          <w:highlight w:val="none"/>
          <w:lang w:val="zh-TW" w:eastAsia="zh-TW"/>
        </w:rPr>
        <w:t>评价区维管植物组成情况</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1517"/>
        <w:gridCol w:w="1267"/>
        <w:gridCol w:w="1392"/>
        <w:gridCol w:w="1238"/>
        <w:gridCol w:w="1238"/>
        <w:gridCol w:w="14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5" w:hRule="exact"/>
          <w:jc w:val="center"/>
        </w:trPr>
        <w:tc>
          <w:tcPr>
            <w:tcW w:w="4176" w:type="dxa"/>
            <w:gridSpan w:val="3"/>
            <w:vMerge w:val="restar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植物类群</w:t>
            </w:r>
          </w:p>
        </w:tc>
        <w:tc>
          <w:tcPr>
            <w:tcW w:w="3882" w:type="dxa"/>
            <w:gridSpan w:val="3"/>
            <w:tcBorders>
              <w:tl2br w:val="nil"/>
              <w:tr2bl w:val="nil"/>
            </w:tcBorders>
            <w:shd w:val="clear" w:color="auto" w:fill="auto"/>
            <w:noWrap w:val="0"/>
            <w:vAlign w:val="bottom"/>
          </w:tcPr>
          <w:p>
            <w:pPr>
              <w:pStyle w:val="42"/>
              <w:shd w:val="clear"/>
              <w:bidi w:val="0"/>
              <w:rPr>
                <w:rFonts w:hint="default"/>
                <w:color w:val="auto"/>
                <w:highlight w:val="none"/>
              </w:rPr>
            </w:pPr>
            <w:r>
              <w:rPr>
                <w:rFonts w:hint="default"/>
                <w:color w:val="auto"/>
                <w:highlight w:val="none"/>
                <w:lang w:val="zh-TW" w:eastAsia="zh-TW"/>
              </w:rPr>
              <w:t>统计项目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4176" w:type="dxa"/>
            <w:gridSpan w:val="3"/>
            <w:vMerge w:val="continue"/>
            <w:tcBorders>
              <w:tl2br w:val="nil"/>
              <w:tr2bl w:val="nil"/>
            </w:tcBorders>
            <w:shd w:val="clear" w:color="auto" w:fill="auto"/>
            <w:noWrap w:val="0"/>
            <w:vAlign w:val="center"/>
          </w:tcPr>
          <w:p>
            <w:pPr>
              <w:pStyle w:val="42"/>
              <w:shd w:val="clear"/>
              <w:bidi w:val="0"/>
              <w:rPr>
                <w:rFonts w:hint="default"/>
                <w:color w:val="auto"/>
                <w:highlight w:val="none"/>
              </w:rPr>
            </w:pPr>
          </w:p>
        </w:tc>
        <w:tc>
          <w:tcPr>
            <w:tcW w:w="1238" w:type="dxa"/>
            <w:tcBorders>
              <w:tl2br w:val="nil"/>
              <w:tr2bl w:val="nil"/>
            </w:tcBorders>
            <w:shd w:val="clear" w:color="auto" w:fill="auto"/>
            <w:noWrap w:val="0"/>
            <w:vAlign w:val="top"/>
          </w:tcPr>
          <w:p>
            <w:pPr>
              <w:pStyle w:val="42"/>
              <w:shd w:val="clear"/>
              <w:bidi w:val="0"/>
              <w:rPr>
                <w:rFonts w:hint="default"/>
                <w:color w:val="auto"/>
                <w:highlight w:val="none"/>
              </w:rPr>
            </w:pPr>
            <w:r>
              <w:rPr>
                <w:rFonts w:hint="default"/>
                <w:color w:val="auto"/>
                <w:highlight w:val="none"/>
                <w:lang w:val="zh-TW" w:eastAsia="zh-TW"/>
              </w:rPr>
              <w:t>科</w:t>
            </w:r>
          </w:p>
        </w:tc>
        <w:tc>
          <w:tcPr>
            <w:tcW w:w="1238" w:type="dxa"/>
            <w:tcBorders>
              <w:tl2br w:val="nil"/>
              <w:tr2bl w:val="nil"/>
            </w:tcBorders>
            <w:shd w:val="clear" w:color="auto" w:fill="auto"/>
            <w:noWrap w:val="0"/>
            <w:vAlign w:val="top"/>
          </w:tcPr>
          <w:p>
            <w:pPr>
              <w:pStyle w:val="42"/>
              <w:shd w:val="clear"/>
              <w:bidi w:val="0"/>
              <w:rPr>
                <w:rFonts w:hint="default"/>
                <w:color w:val="auto"/>
                <w:highlight w:val="none"/>
              </w:rPr>
            </w:pPr>
            <w:r>
              <w:rPr>
                <w:rFonts w:hint="default"/>
                <w:color w:val="auto"/>
                <w:highlight w:val="none"/>
                <w:lang w:val="zh-TW" w:eastAsia="zh-TW"/>
              </w:rPr>
              <w:t>属</w:t>
            </w:r>
          </w:p>
        </w:tc>
        <w:tc>
          <w:tcPr>
            <w:tcW w:w="1406" w:type="dxa"/>
            <w:tcBorders>
              <w:tl2br w:val="nil"/>
              <w:tr2bl w:val="nil"/>
            </w:tcBorders>
            <w:shd w:val="clear" w:color="auto" w:fill="auto"/>
            <w:noWrap w:val="0"/>
            <w:vAlign w:val="top"/>
          </w:tcPr>
          <w:p>
            <w:pPr>
              <w:pStyle w:val="42"/>
              <w:shd w:val="clear"/>
              <w:bidi w:val="0"/>
              <w:rPr>
                <w:rFonts w:hint="default"/>
                <w:color w:val="auto"/>
                <w:highlight w:val="none"/>
              </w:rPr>
            </w:pPr>
            <w:r>
              <w:rPr>
                <w:rFonts w:hint="default"/>
                <w:color w:val="auto"/>
                <w:highlight w:val="none"/>
                <w:lang w:val="zh-TW" w:eastAsia="zh-TW"/>
              </w:rPr>
              <w:t>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6" w:hRule="exact"/>
          <w:jc w:val="center"/>
        </w:trPr>
        <w:tc>
          <w:tcPr>
            <w:tcW w:w="1517" w:type="dxa"/>
            <w:vMerge w:val="restar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野生植物</w:t>
            </w:r>
          </w:p>
        </w:tc>
        <w:tc>
          <w:tcPr>
            <w:tcW w:w="2659" w:type="dxa"/>
            <w:gridSpan w:val="2"/>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蕨类植物</w:t>
            </w:r>
          </w:p>
        </w:tc>
        <w:tc>
          <w:tcPr>
            <w:tcW w:w="1238" w:type="dxa"/>
            <w:tcBorders>
              <w:tl2br w:val="nil"/>
              <w:tr2bl w:val="nil"/>
            </w:tcBorders>
            <w:shd w:val="clear" w:color="auto" w:fill="auto"/>
            <w:noWrap w:val="0"/>
            <w:vAlign w:val="center"/>
          </w:tcPr>
          <w:p>
            <w:pPr>
              <w:pStyle w:val="42"/>
              <w:shd w:val="clear"/>
              <w:bidi w:val="0"/>
              <w:rPr>
                <w:rFonts w:hint="default"/>
                <w:color w:val="auto"/>
                <w:highlight w:val="none"/>
                <w:lang w:eastAsia="zh-CN"/>
              </w:rPr>
            </w:pPr>
            <w:r>
              <w:rPr>
                <w:rFonts w:hint="default"/>
                <w:color w:val="auto"/>
                <w:highlight w:val="none"/>
                <w:lang w:val="zh-TW" w:eastAsia="zh-TW"/>
              </w:rPr>
              <w:t>1</w:t>
            </w:r>
            <w:r>
              <w:rPr>
                <w:rFonts w:hint="default"/>
                <w:color w:val="auto"/>
                <w:highlight w:val="none"/>
                <w:lang w:val="en-US" w:eastAsia="zh-CN"/>
              </w:rPr>
              <w:t>3</w:t>
            </w:r>
          </w:p>
        </w:tc>
        <w:tc>
          <w:tcPr>
            <w:tcW w:w="1238" w:type="dxa"/>
            <w:tcBorders>
              <w:tl2br w:val="nil"/>
              <w:tr2bl w:val="nil"/>
            </w:tcBorders>
            <w:shd w:val="clear" w:color="auto" w:fill="auto"/>
            <w:noWrap w:val="0"/>
            <w:vAlign w:val="center"/>
          </w:tcPr>
          <w:p>
            <w:pPr>
              <w:pStyle w:val="42"/>
              <w:shd w:val="clear"/>
              <w:bidi w:val="0"/>
              <w:rPr>
                <w:rFonts w:hint="default"/>
                <w:color w:val="auto"/>
                <w:highlight w:val="none"/>
                <w:lang w:eastAsia="zh-CN"/>
              </w:rPr>
            </w:pPr>
            <w:r>
              <w:rPr>
                <w:rFonts w:hint="default"/>
                <w:color w:val="auto"/>
                <w:highlight w:val="none"/>
                <w:lang w:val="zh-TW" w:eastAsia="zh-TW"/>
              </w:rPr>
              <w:t>1</w:t>
            </w:r>
            <w:r>
              <w:rPr>
                <w:rFonts w:hint="default"/>
                <w:color w:val="auto"/>
                <w:highlight w:val="none"/>
                <w:lang w:val="en-US" w:eastAsia="zh-CN"/>
              </w:rPr>
              <w:t>7</w:t>
            </w:r>
          </w:p>
        </w:tc>
        <w:tc>
          <w:tcPr>
            <w:tcW w:w="1406" w:type="dxa"/>
            <w:tcBorders>
              <w:tl2br w:val="nil"/>
              <w:tr2bl w:val="nil"/>
            </w:tcBorders>
            <w:shd w:val="clear" w:color="auto" w:fill="auto"/>
            <w:noWrap w:val="0"/>
            <w:vAlign w:val="center"/>
          </w:tcPr>
          <w:p>
            <w:pPr>
              <w:pStyle w:val="42"/>
              <w:shd w:val="clear"/>
              <w:bidi w:val="0"/>
              <w:rPr>
                <w:rFonts w:hint="default"/>
                <w:color w:val="auto"/>
                <w:highlight w:val="none"/>
                <w:lang w:val="en-US" w:eastAsia="zh-CN"/>
              </w:rPr>
            </w:pPr>
            <w:r>
              <w:rPr>
                <w:rFonts w:hint="default"/>
                <w:color w:val="auto"/>
                <w:highlight w:val="none"/>
                <w:lang w:val="en-US" w:eastAsia="zh-CN"/>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exact"/>
          <w:jc w:val="center"/>
        </w:trPr>
        <w:tc>
          <w:tcPr>
            <w:tcW w:w="1517" w:type="dxa"/>
            <w:vMerge w:val="continue"/>
            <w:tcBorders>
              <w:tl2br w:val="nil"/>
              <w:tr2bl w:val="nil"/>
            </w:tcBorders>
            <w:shd w:val="clear" w:color="auto" w:fill="auto"/>
            <w:noWrap w:val="0"/>
            <w:vAlign w:val="center"/>
          </w:tcPr>
          <w:p>
            <w:pPr>
              <w:pStyle w:val="42"/>
              <w:shd w:val="clear"/>
              <w:bidi w:val="0"/>
              <w:rPr>
                <w:rFonts w:hint="default"/>
                <w:color w:val="auto"/>
                <w:highlight w:val="none"/>
              </w:rPr>
            </w:pPr>
          </w:p>
        </w:tc>
        <w:tc>
          <w:tcPr>
            <w:tcW w:w="1267" w:type="dxa"/>
            <w:vMerge w:val="restar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种子植物</w:t>
            </w:r>
          </w:p>
        </w:tc>
        <w:tc>
          <w:tcPr>
            <w:tcW w:w="1392" w:type="dxa"/>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裸子植物</w:t>
            </w:r>
          </w:p>
        </w:tc>
        <w:tc>
          <w:tcPr>
            <w:tcW w:w="1238" w:type="dxa"/>
            <w:tcBorders>
              <w:tl2br w:val="nil"/>
              <w:tr2bl w:val="nil"/>
            </w:tcBorders>
            <w:shd w:val="clear" w:color="auto" w:fill="auto"/>
            <w:noWrap w:val="0"/>
            <w:vAlign w:val="center"/>
          </w:tcPr>
          <w:p>
            <w:pPr>
              <w:pStyle w:val="42"/>
              <w:shd w:val="clear"/>
              <w:bidi w:val="0"/>
              <w:rPr>
                <w:rFonts w:hint="default"/>
                <w:color w:val="auto"/>
                <w:highlight w:val="none"/>
                <w:lang w:eastAsia="zh-CN"/>
              </w:rPr>
            </w:pPr>
            <w:r>
              <w:rPr>
                <w:rFonts w:hint="default"/>
                <w:color w:val="auto"/>
                <w:highlight w:val="none"/>
                <w:lang w:val="en-US" w:eastAsia="zh-CN"/>
              </w:rPr>
              <w:t>3</w:t>
            </w:r>
          </w:p>
        </w:tc>
        <w:tc>
          <w:tcPr>
            <w:tcW w:w="1238" w:type="dxa"/>
            <w:tcBorders>
              <w:tl2br w:val="nil"/>
              <w:tr2bl w:val="nil"/>
            </w:tcBorders>
            <w:shd w:val="clear" w:color="auto" w:fill="auto"/>
            <w:noWrap w:val="0"/>
            <w:vAlign w:val="bottom"/>
          </w:tcPr>
          <w:p>
            <w:pPr>
              <w:pStyle w:val="42"/>
              <w:shd w:val="clear"/>
              <w:bidi w:val="0"/>
              <w:rPr>
                <w:rFonts w:hint="default"/>
                <w:color w:val="auto"/>
                <w:highlight w:val="none"/>
                <w:lang w:eastAsia="zh-CN"/>
              </w:rPr>
            </w:pPr>
            <w:r>
              <w:rPr>
                <w:rFonts w:hint="default"/>
                <w:color w:val="auto"/>
                <w:highlight w:val="none"/>
                <w:lang w:val="en-US" w:eastAsia="zh-CN"/>
              </w:rPr>
              <w:t>5</w:t>
            </w:r>
          </w:p>
        </w:tc>
        <w:tc>
          <w:tcPr>
            <w:tcW w:w="1406" w:type="dxa"/>
            <w:tcBorders>
              <w:tl2br w:val="nil"/>
              <w:tr2bl w:val="nil"/>
            </w:tcBorders>
            <w:shd w:val="clear" w:color="auto" w:fill="auto"/>
            <w:noWrap w:val="0"/>
            <w:vAlign w:val="bottom"/>
          </w:tcPr>
          <w:p>
            <w:pPr>
              <w:pStyle w:val="42"/>
              <w:shd w:val="clear"/>
              <w:bidi w:val="0"/>
              <w:rPr>
                <w:rFonts w:hint="default"/>
                <w:color w:val="auto"/>
                <w:highlight w:val="none"/>
                <w:lang w:eastAsia="zh-CN"/>
              </w:rPr>
            </w:pPr>
            <w:r>
              <w:rPr>
                <w:rFonts w:hint="default"/>
                <w:color w:val="auto"/>
                <w:highlight w:val="none"/>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exact"/>
          <w:jc w:val="center"/>
        </w:trPr>
        <w:tc>
          <w:tcPr>
            <w:tcW w:w="1517" w:type="dxa"/>
            <w:vMerge w:val="continue"/>
            <w:tcBorders>
              <w:tl2br w:val="nil"/>
              <w:tr2bl w:val="nil"/>
            </w:tcBorders>
            <w:shd w:val="clear" w:color="auto" w:fill="auto"/>
            <w:noWrap w:val="0"/>
            <w:vAlign w:val="center"/>
          </w:tcPr>
          <w:p>
            <w:pPr>
              <w:pStyle w:val="42"/>
              <w:shd w:val="clear"/>
              <w:bidi w:val="0"/>
              <w:rPr>
                <w:rFonts w:hint="default"/>
                <w:color w:val="auto"/>
                <w:highlight w:val="none"/>
              </w:rPr>
            </w:pPr>
          </w:p>
        </w:tc>
        <w:tc>
          <w:tcPr>
            <w:tcW w:w="1267" w:type="dxa"/>
            <w:vMerge w:val="continue"/>
            <w:tcBorders>
              <w:tl2br w:val="nil"/>
              <w:tr2bl w:val="nil"/>
            </w:tcBorders>
            <w:shd w:val="clear" w:color="auto" w:fill="auto"/>
            <w:noWrap w:val="0"/>
            <w:vAlign w:val="center"/>
          </w:tcPr>
          <w:p>
            <w:pPr>
              <w:pStyle w:val="42"/>
              <w:shd w:val="clear"/>
              <w:bidi w:val="0"/>
              <w:rPr>
                <w:rFonts w:hint="default"/>
                <w:color w:val="auto"/>
                <w:highlight w:val="none"/>
              </w:rPr>
            </w:pPr>
          </w:p>
        </w:tc>
        <w:tc>
          <w:tcPr>
            <w:tcW w:w="1392" w:type="dxa"/>
            <w:tcBorders>
              <w:tl2br w:val="nil"/>
              <w:tr2bl w:val="nil"/>
            </w:tcBorders>
            <w:shd w:val="clear" w:color="auto" w:fill="auto"/>
            <w:noWrap w:val="0"/>
            <w:vAlign w:val="bottom"/>
          </w:tcPr>
          <w:p>
            <w:pPr>
              <w:pStyle w:val="42"/>
              <w:shd w:val="clear"/>
              <w:bidi w:val="0"/>
              <w:rPr>
                <w:rFonts w:hint="default"/>
                <w:color w:val="auto"/>
                <w:highlight w:val="none"/>
              </w:rPr>
            </w:pPr>
            <w:r>
              <w:rPr>
                <w:rFonts w:hint="default"/>
                <w:color w:val="auto"/>
                <w:highlight w:val="none"/>
                <w:lang w:val="zh-TW" w:eastAsia="zh-TW"/>
              </w:rPr>
              <w:t>被子植物</w:t>
            </w:r>
          </w:p>
        </w:tc>
        <w:tc>
          <w:tcPr>
            <w:tcW w:w="1238" w:type="dxa"/>
            <w:tcBorders>
              <w:tl2br w:val="nil"/>
              <w:tr2bl w:val="nil"/>
            </w:tcBorders>
            <w:shd w:val="clear" w:color="auto" w:fill="auto"/>
            <w:noWrap w:val="0"/>
            <w:vAlign w:val="bottom"/>
          </w:tcPr>
          <w:p>
            <w:pPr>
              <w:pStyle w:val="42"/>
              <w:shd w:val="clear"/>
              <w:bidi w:val="0"/>
              <w:rPr>
                <w:rFonts w:hint="default"/>
                <w:color w:val="auto"/>
                <w:highlight w:val="none"/>
                <w:lang w:val="en-US" w:eastAsia="zh-CN"/>
              </w:rPr>
            </w:pPr>
            <w:r>
              <w:rPr>
                <w:rFonts w:hint="default"/>
                <w:color w:val="auto"/>
                <w:highlight w:val="none"/>
                <w:lang w:val="en-US" w:eastAsia="zh-CN"/>
              </w:rPr>
              <w:t>74</w:t>
            </w:r>
          </w:p>
        </w:tc>
        <w:tc>
          <w:tcPr>
            <w:tcW w:w="1238" w:type="dxa"/>
            <w:tcBorders>
              <w:tl2br w:val="nil"/>
              <w:tr2bl w:val="nil"/>
            </w:tcBorders>
            <w:shd w:val="clear" w:color="auto" w:fill="auto"/>
            <w:noWrap w:val="0"/>
            <w:vAlign w:val="bottom"/>
          </w:tcPr>
          <w:p>
            <w:pPr>
              <w:pStyle w:val="42"/>
              <w:shd w:val="clear"/>
              <w:bidi w:val="0"/>
              <w:rPr>
                <w:rFonts w:hint="default"/>
                <w:color w:val="auto"/>
                <w:highlight w:val="none"/>
                <w:lang w:val="en-US" w:eastAsia="zh-CN"/>
              </w:rPr>
            </w:pPr>
            <w:r>
              <w:rPr>
                <w:rFonts w:hint="default"/>
                <w:color w:val="auto"/>
                <w:highlight w:val="none"/>
                <w:lang w:val="zh-TW" w:eastAsia="zh-TW"/>
              </w:rPr>
              <w:t>2</w:t>
            </w:r>
            <w:r>
              <w:rPr>
                <w:rFonts w:hint="default"/>
                <w:color w:val="auto"/>
                <w:highlight w:val="none"/>
                <w:lang w:val="en-US" w:eastAsia="zh-CN"/>
              </w:rPr>
              <w:t>25</w:t>
            </w:r>
          </w:p>
        </w:tc>
        <w:tc>
          <w:tcPr>
            <w:tcW w:w="1406" w:type="dxa"/>
            <w:tcBorders>
              <w:tl2br w:val="nil"/>
              <w:tr2bl w:val="nil"/>
            </w:tcBorders>
            <w:shd w:val="clear" w:color="auto" w:fill="auto"/>
            <w:noWrap w:val="0"/>
            <w:vAlign w:val="bottom"/>
          </w:tcPr>
          <w:p>
            <w:pPr>
              <w:pStyle w:val="42"/>
              <w:shd w:val="clear"/>
              <w:bidi w:val="0"/>
              <w:rPr>
                <w:rFonts w:hint="default"/>
                <w:color w:val="auto"/>
                <w:highlight w:val="none"/>
                <w:lang w:val="en-US" w:eastAsia="zh-CN"/>
              </w:rPr>
            </w:pPr>
            <w:r>
              <w:rPr>
                <w:rFonts w:hint="default"/>
                <w:color w:val="auto"/>
                <w:highlight w:val="none"/>
                <w:lang w:val="en-US" w:eastAsia="zh-CN"/>
              </w:rPr>
              <w:t>303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70" w:hRule="exact"/>
          <w:jc w:val="center"/>
        </w:trPr>
        <w:tc>
          <w:tcPr>
            <w:tcW w:w="4176" w:type="dxa"/>
            <w:gridSpan w:val="3"/>
            <w:tcBorders>
              <w:tl2br w:val="nil"/>
              <w:tr2bl w:val="nil"/>
            </w:tcBorders>
            <w:shd w:val="clear" w:color="auto" w:fill="auto"/>
            <w:noWrap w:val="0"/>
            <w:vAlign w:val="bottom"/>
          </w:tcPr>
          <w:p>
            <w:pPr>
              <w:pStyle w:val="42"/>
              <w:shd w:val="clear"/>
              <w:bidi w:val="0"/>
              <w:rPr>
                <w:rFonts w:hint="default"/>
                <w:color w:val="auto"/>
                <w:highlight w:val="none"/>
              </w:rPr>
            </w:pPr>
            <w:r>
              <w:rPr>
                <w:rFonts w:hint="default"/>
                <w:color w:val="auto"/>
                <w:highlight w:val="none"/>
                <w:lang w:val="zh-TW" w:eastAsia="zh-TW"/>
              </w:rPr>
              <w:t>合计</w:t>
            </w:r>
          </w:p>
        </w:tc>
        <w:tc>
          <w:tcPr>
            <w:tcW w:w="1238" w:type="dxa"/>
            <w:tcBorders>
              <w:tl2br w:val="nil"/>
              <w:tr2bl w:val="nil"/>
            </w:tcBorders>
            <w:shd w:val="clear" w:color="auto" w:fill="auto"/>
            <w:noWrap w:val="0"/>
            <w:vAlign w:val="bottom"/>
          </w:tcPr>
          <w:p>
            <w:pPr>
              <w:pStyle w:val="42"/>
              <w:shd w:val="clear"/>
              <w:bidi w:val="0"/>
              <w:rPr>
                <w:rFonts w:hint="default"/>
                <w:color w:val="auto"/>
                <w:highlight w:val="none"/>
                <w:lang w:val="en-US" w:eastAsia="zh-CN"/>
              </w:rPr>
            </w:pPr>
            <w:r>
              <w:rPr>
                <w:rFonts w:hint="default"/>
                <w:color w:val="auto"/>
                <w:highlight w:val="none"/>
                <w:lang w:val="en-US" w:eastAsia="zh-CN"/>
              </w:rPr>
              <w:t>90</w:t>
            </w:r>
          </w:p>
        </w:tc>
        <w:tc>
          <w:tcPr>
            <w:tcW w:w="1238" w:type="dxa"/>
            <w:tcBorders>
              <w:tl2br w:val="nil"/>
              <w:tr2bl w:val="nil"/>
            </w:tcBorders>
            <w:shd w:val="clear" w:color="auto" w:fill="auto"/>
            <w:noWrap w:val="0"/>
            <w:vAlign w:val="bottom"/>
          </w:tcPr>
          <w:p>
            <w:pPr>
              <w:pStyle w:val="42"/>
              <w:shd w:val="clear"/>
              <w:bidi w:val="0"/>
              <w:rPr>
                <w:rFonts w:hint="default"/>
                <w:color w:val="auto"/>
                <w:highlight w:val="none"/>
                <w:lang w:val="en-US" w:eastAsia="zh-CN"/>
              </w:rPr>
            </w:pPr>
            <w:r>
              <w:rPr>
                <w:rFonts w:hint="default"/>
                <w:color w:val="auto"/>
                <w:highlight w:val="none"/>
                <w:lang w:val="zh-TW" w:eastAsia="zh-TW"/>
              </w:rPr>
              <w:t>2</w:t>
            </w:r>
            <w:r>
              <w:rPr>
                <w:rFonts w:hint="default"/>
                <w:color w:val="auto"/>
                <w:highlight w:val="none"/>
                <w:lang w:val="en-US" w:eastAsia="zh-CN"/>
              </w:rPr>
              <w:t>47</w:t>
            </w:r>
          </w:p>
        </w:tc>
        <w:tc>
          <w:tcPr>
            <w:tcW w:w="1406" w:type="dxa"/>
            <w:tcBorders>
              <w:tl2br w:val="nil"/>
              <w:tr2bl w:val="nil"/>
            </w:tcBorders>
            <w:shd w:val="clear" w:color="auto" w:fill="auto"/>
            <w:noWrap w:val="0"/>
            <w:vAlign w:val="bottom"/>
          </w:tcPr>
          <w:p>
            <w:pPr>
              <w:pStyle w:val="42"/>
              <w:shd w:val="clear"/>
              <w:bidi w:val="0"/>
              <w:rPr>
                <w:rFonts w:hint="default"/>
                <w:color w:val="auto"/>
                <w:highlight w:val="none"/>
                <w:lang w:val="en-US" w:eastAsia="zh-CN"/>
              </w:rPr>
            </w:pPr>
            <w:r>
              <w:rPr>
                <w:rFonts w:hint="default"/>
                <w:color w:val="auto"/>
                <w:highlight w:val="none"/>
                <w:lang w:val="zh-TW" w:eastAsia="zh-TW"/>
              </w:rPr>
              <w:t>3</w:t>
            </w:r>
            <w:r>
              <w:rPr>
                <w:rFonts w:hint="default"/>
                <w:color w:val="auto"/>
                <w:highlight w:val="none"/>
                <w:lang w:val="en-US" w:eastAsia="zh-CN"/>
              </w:rPr>
              <w:t>31</w:t>
            </w:r>
          </w:p>
        </w:tc>
      </w:tr>
    </w:tbl>
    <w:p>
      <w:pPr>
        <w:shd w:val="clear"/>
        <w:bidi w:val="0"/>
        <w:ind w:firstLine="480" w:firstLineChars="200"/>
        <w:rPr>
          <w:rFonts w:hint="default"/>
          <w:color w:val="auto"/>
          <w:highlight w:val="none"/>
          <w:lang w:val="en-US" w:eastAsia="zh-CN"/>
        </w:rPr>
      </w:pPr>
      <w:bookmarkStart w:id="542" w:name="bookmark91"/>
      <w:r>
        <w:rPr>
          <w:rFonts w:hint="eastAsia"/>
          <w:color w:val="auto"/>
          <w:highlight w:val="none"/>
          <w:lang w:val="en-US" w:eastAsia="zh-CN"/>
        </w:rPr>
        <w:t>B</w:t>
      </w:r>
      <w:r>
        <w:rPr>
          <w:rFonts w:hint="default"/>
          <w:color w:val="auto"/>
          <w:highlight w:val="none"/>
          <w:lang w:val="zh-TW" w:eastAsia="zh-TW"/>
        </w:rPr>
        <w:t>、评价区植物区系组成</w:t>
      </w:r>
      <w:bookmarkEnd w:id="542"/>
    </w:p>
    <w:p>
      <w:pPr>
        <w:shd w:val="clear"/>
        <w:bidi w:val="0"/>
        <w:ind w:firstLine="480" w:firstLineChars="200"/>
        <w:rPr>
          <w:rFonts w:hint="default"/>
          <w:color w:val="auto"/>
          <w:highlight w:val="none"/>
          <w:lang w:val="zh-TW" w:eastAsia="zh-TW"/>
        </w:rPr>
      </w:pPr>
      <w:r>
        <w:rPr>
          <w:rFonts w:hint="default"/>
          <w:color w:val="auto"/>
          <w:highlight w:val="none"/>
          <w:lang w:val="zh-TW" w:eastAsia="zh-TW"/>
        </w:rPr>
        <w:t>评价区植物区系属于泛北极植物区中国-喜马拉雅植物亚区云南高原地区的滇中高原小区</w:t>
      </w:r>
      <w:r>
        <w:rPr>
          <w:rFonts w:hint="default"/>
          <w:color w:val="auto"/>
          <w:highlight w:val="none"/>
          <w:lang w:val="en-US" w:eastAsia="en-US"/>
        </w:rPr>
        <w:t>（</w:t>
      </w:r>
      <w:r>
        <w:rPr>
          <w:rFonts w:hint="default"/>
          <w:color w:val="auto"/>
          <w:highlight w:val="none"/>
          <w:lang w:val="zh-TW" w:eastAsia="zh-TW"/>
        </w:rPr>
        <w:t>李锡文1995</w:t>
      </w:r>
      <w:r>
        <w:rPr>
          <w:rFonts w:hint="default"/>
          <w:color w:val="auto"/>
          <w:highlight w:val="none"/>
          <w:lang w:val="zh-TW" w:eastAsia="zh-CN"/>
        </w:rPr>
        <w:t>）</w:t>
      </w:r>
      <w:r>
        <w:rPr>
          <w:rFonts w:hint="default"/>
          <w:color w:val="auto"/>
          <w:highlight w:val="none"/>
          <w:lang w:val="zh-TW" w:eastAsia="zh-TW"/>
        </w:rPr>
        <w:t>。分析结果表明，评价区内自然分布的种子植物2</w:t>
      </w:r>
      <w:r>
        <w:rPr>
          <w:rFonts w:hint="default"/>
          <w:color w:val="auto"/>
          <w:highlight w:val="none"/>
          <w:lang w:val="en-US" w:eastAsia="zh-CN"/>
        </w:rPr>
        <w:t>25</w:t>
      </w:r>
      <w:r>
        <w:rPr>
          <w:rFonts w:hint="default"/>
          <w:color w:val="auto"/>
          <w:highlight w:val="none"/>
          <w:lang w:val="zh-TW" w:eastAsia="zh-TW"/>
        </w:rPr>
        <w:t>属，其中绝大部分为灌木和草本种类。从种子植物的地理成分分析这里的区系成分带有明显的热带性质，其中出现在</w:t>
      </w:r>
      <w:r>
        <w:rPr>
          <w:rFonts w:hint="default"/>
          <w:color w:val="auto"/>
          <w:highlight w:val="none"/>
          <w:lang w:val="en-US" w:eastAsia="zh-CN"/>
        </w:rPr>
        <w:t>项目区的</w:t>
      </w:r>
      <w:r>
        <w:rPr>
          <w:rFonts w:hint="default"/>
          <w:color w:val="auto"/>
          <w:highlight w:val="none"/>
          <w:lang w:val="zh-TW" w:eastAsia="zh-TW"/>
        </w:rPr>
        <w:t>热带属占属总数（不包括世界分布属</w:t>
      </w:r>
      <w:r>
        <w:rPr>
          <w:rFonts w:hint="default"/>
          <w:color w:val="auto"/>
          <w:highlight w:val="none"/>
          <w:lang w:val="en-US" w:eastAsia="en-US"/>
        </w:rPr>
        <w:t>）</w:t>
      </w:r>
      <w:r>
        <w:rPr>
          <w:rFonts w:hint="default"/>
          <w:color w:val="auto"/>
          <w:highlight w:val="none"/>
          <w:lang w:val="zh-TW" w:eastAsia="zh-TW"/>
        </w:rPr>
        <w:t>的</w:t>
      </w:r>
      <w:r>
        <w:rPr>
          <w:rFonts w:hint="default"/>
          <w:color w:val="auto"/>
          <w:highlight w:val="none"/>
          <w:lang w:val="en-US" w:eastAsia="zh-CN"/>
        </w:rPr>
        <w:t>69.19</w:t>
      </w:r>
      <w:r>
        <w:rPr>
          <w:rFonts w:hint="default"/>
          <w:color w:val="auto"/>
          <w:highlight w:val="none"/>
          <w:lang w:val="zh-TW" w:eastAsia="zh-TW"/>
        </w:rPr>
        <w:t>%，温带分布属占2</w:t>
      </w:r>
      <w:r>
        <w:rPr>
          <w:rFonts w:hint="default"/>
          <w:color w:val="auto"/>
          <w:highlight w:val="none"/>
          <w:lang w:val="en-US" w:eastAsia="zh-CN"/>
        </w:rPr>
        <w:t>9.8</w:t>
      </w:r>
      <w:r>
        <w:rPr>
          <w:rFonts w:hint="default"/>
          <w:color w:val="auto"/>
          <w:highlight w:val="none"/>
          <w:lang w:val="zh-TW" w:eastAsia="zh-TW"/>
        </w:rPr>
        <w:t>%，中国特有分布属占1.</w:t>
      </w:r>
      <w:r>
        <w:rPr>
          <w:rFonts w:hint="default"/>
          <w:color w:val="auto"/>
          <w:highlight w:val="none"/>
          <w:lang w:val="en-US" w:eastAsia="zh-CN"/>
        </w:rPr>
        <w:t>01</w:t>
      </w:r>
      <w:r>
        <w:rPr>
          <w:rFonts w:hint="default"/>
          <w:color w:val="auto"/>
          <w:highlight w:val="none"/>
          <w:lang w:val="zh-TW" w:eastAsia="zh-TW"/>
        </w:rPr>
        <w:t>%。这里的区系成分除了与其所处的滇中高原邻近地区关系很密切外，与印度等地的稀树</w:t>
      </w:r>
      <w:r>
        <w:rPr>
          <w:rFonts w:hint="default"/>
          <w:color w:val="auto"/>
          <w:highlight w:val="none"/>
          <w:lang w:val="en-US" w:eastAsia="zh-CN"/>
        </w:rPr>
        <w:t>草</w:t>
      </w:r>
      <w:r>
        <w:rPr>
          <w:rFonts w:hint="default"/>
          <w:color w:val="auto"/>
          <w:highlight w:val="none"/>
          <w:lang w:val="zh-TW" w:eastAsia="zh-TW"/>
        </w:rPr>
        <w:t>原也有联系，表现出了区系成分的古老联系和稀树草原植被的残余性。</w:t>
      </w:r>
    </w:p>
    <w:p>
      <w:pPr>
        <w:pStyle w:val="40"/>
        <w:shd w:val="clear"/>
        <w:bidi w:val="0"/>
        <w:rPr>
          <w:rFonts w:hint="default" w:ascii="Times New Roman" w:hAnsi="Times New Roman" w:eastAsia="宋体" w:cs="Times New Roman"/>
          <w:color w:val="auto"/>
          <w:highlight w:val="none"/>
          <w:lang w:val="zh-TW" w:eastAsia="zh-TW"/>
        </w:rPr>
      </w:pPr>
      <w:r>
        <w:rPr>
          <w:rFonts w:hint="default" w:ascii="Times New Roman" w:hAnsi="Times New Roman" w:eastAsia="宋体" w:cs="Times New Roman"/>
          <w:color w:val="auto"/>
          <w:highlight w:val="none"/>
          <w:lang w:val="zh-TW" w:eastAsia="zh-TW"/>
        </w:rPr>
        <w:t>表</w:t>
      </w:r>
      <w:r>
        <w:rPr>
          <w:rFonts w:hint="eastAsia" w:ascii="Times New Roman" w:hAnsi="Times New Roman" w:eastAsia="宋体" w:cs="Times New Roman"/>
          <w:color w:val="auto"/>
          <w:highlight w:val="none"/>
          <w:lang w:val="en-US" w:eastAsia="zh-CN"/>
        </w:rPr>
        <w:t>4.2.</w:t>
      </w:r>
      <w:r>
        <w:rPr>
          <w:rFonts w:hint="eastAsia" w:cs="Times New Roman"/>
          <w:color w:val="auto"/>
          <w:highlight w:val="none"/>
          <w:lang w:val="en-US" w:eastAsia="zh-CN"/>
        </w:rPr>
        <w:t>5</w:t>
      </w:r>
      <w:r>
        <w:rPr>
          <w:rFonts w:hint="default" w:ascii="Times New Roman" w:hAnsi="Times New Roman" w:eastAsia="宋体" w:cs="Times New Roman"/>
          <w:color w:val="auto"/>
          <w:highlight w:val="none"/>
          <w:lang w:val="en-US" w:eastAsia="en-US"/>
        </w:rPr>
        <w:t>-</w:t>
      </w:r>
      <w:r>
        <w:rPr>
          <w:rFonts w:hint="eastAsia" w:cs="Times New Roman"/>
          <w:color w:val="auto"/>
          <w:highlight w:val="none"/>
          <w:lang w:val="en-US" w:eastAsia="zh-CN"/>
        </w:rPr>
        <w:t>6</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lang w:val="zh-TW" w:eastAsia="zh-TW"/>
        </w:rPr>
        <w:t>评价区域种子植物区系地理成分构成</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078"/>
        <w:gridCol w:w="1950"/>
        <w:gridCol w:w="14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地理成分（根据吴征镒，1991）</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属数</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占总数％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1，世界分布</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27</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2.泛热带分布</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69</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34.85%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3，热带亚洲和热带美洲间断分布</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6</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3.03%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4.旧世界热带分布</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23</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5.热带亚洲和热带大洋洲分布</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6</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3.03%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6.热带亚洲和热带非洲分布</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18</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9.09%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7.热带亚洲分布</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15</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7.58%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热带属合计（2-7）</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137</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69.19%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8.北温带分布</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23</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9.东亚和北美间断分布</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6</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3.03%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10.旧世界温带分布</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13</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6.57%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11.温带亚洲分布</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2</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12.地中海、西亚至中亚分布</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2</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13.中亚分布</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14.东亚分布</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12</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6.06%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温带属合计（8-14）</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59</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29.80%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15.中国特有分布</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2</w:t>
            </w:r>
          </w:p>
        </w:tc>
        <w:tc>
          <w:tcPr>
            <w:tcW w:w="875"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980"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总计</w:t>
            </w:r>
          </w:p>
        </w:tc>
        <w:tc>
          <w:tcPr>
            <w:tcW w:w="1144" w:type="pct"/>
            <w:shd w:val="clear" w:color="auto" w:fill="FFFFFF"/>
            <w:vAlign w:val="center"/>
          </w:tcPr>
          <w:p>
            <w:pPr>
              <w:pStyle w:val="42"/>
              <w:shd w:val="clear"/>
              <w:bidi w:val="0"/>
              <w:rPr>
                <w:rFonts w:hint="default"/>
                <w:color w:val="auto"/>
                <w:highlight w:val="none"/>
              </w:rPr>
            </w:pPr>
            <w:r>
              <w:rPr>
                <w:rFonts w:hint="default"/>
                <w:color w:val="auto"/>
                <w:highlight w:val="none"/>
                <w:lang w:val="en-US" w:eastAsia="zh-CN"/>
              </w:rPr>
              <w:t>225</w:t>
            </w:r>
          </w:p>
        </w:tc>
        <w:tc>
          <w:tcPr>
            <w:tcW w:w="875" w:type="pct"/>
            <w:shd w:val="clear" w:color="auto" w:fill="FFFFFF"/>
            <w:vAlign w:val="center"/>
          </w:tcPr>
          <w:p>
            <w:pPr>
              <w:pStyle w:val="42"/>
              <w:shd w:val="clear"/>
              <w:bidi w:val="0"/>
              <w:rPr>
                <w:rFonts w:hint="default"/>
                <w:color w:val="auto"/>
                <w:highlight w:val="none"/>
              </w:rPr>
            </w:pPr>
          </w:p>
        </w:tc>
      </w:tr>
    </w:tbl>
    <w:p>
      <w:pPr>
        <w:pStyle w:val="76"/>
        <w:keepNext w:val="0"/>
        <w:keepLines w:val="0"/>
        <w:pageBreakBefore w:val="0"/>
        <w:widowControl w:val="0"/>
        <w:shd w:val="clear"/>
        <w:kinsoku/>
        <w:wordWrap/>
        <w:overflowPunct/>
        <w:topLinePunct w:val="0"/>
        <w:autoSpaceDE/>
        <w:autoSpaceDN/>
        <w:bidi w:val="0"/>
        <w:adjustRightInd/>
        <w:snapToGrid/>
        <w:spacing w:before="0" w:beforeLines="0" w:afterLines="0" w:line="360" w:lineRule="auto"/>
        <w:ind w:firstLine="340" w:firstLineChars="200"/>
        <w:jc w:val="both"/>
        <w:textAlignment w:val="auto"/>
        <w:rPr>
          <w:rStyle w:val="92"/>
          <w:rFonts w:hint="default" w:ascii="Times New Roman" w:hAnsi="Times New Roman" w:eastAsia="宋体" w:cs="Times New Roman"/>
          <w:b w:val="0"/>
          <w:bCs/>
          <w:color w:val="auto"/>
          <w:sz w:val="21"/>
          <w:szCs w:val="21"/>
          <w:highlight w:val="none"/>
          <w:lang w:val="zh-TW" w:eastAsia="zh-TW"/>
        </w:rPr>
      </w:pPr>
      <w:r>
        <w:rPr>
          <w:rStyle w:val="95"/>
          <w:rFonts w:hint="default" w:ascii="Times New Roman" w:hAnsi="Times New Roman" w:eastAsia="宋体" w:cs="Times New Roman"/>
          <w:b w:val="0"/>
          <w:bCs/>
          <w:color w:val="auto"/>
          <w:sz w:val="17"/>
          <w:szCs w:val="17"/>
          <w:highlight w:val="none"/>
          <w:lang w:val="en-US" w:eastAsia="en-US"/>
        </w:rPr>
        <w:t>*</w:t>
      </w:r>
      <w:r>
        <w:rPr>
          <w:rStyle w:val="95"/>
          <w:rFonts w:hint="default" w:ascii="Times New Roman" w:hAnsi="Times New Roman" w:eastAsia="宋体" w:cs="Times New Roman"/>
          <w:b w:val="0"/>
          <w:bCs/>
          <w:color w:val="auto"/>
          <w:sz w:val="17"/>
          <w:szCs w:val="17"/>
          <w:highlight w:val="none"/>
          <w:lang w:val="zh-TW" w:eastAsia="zh-TW"/>
        </w:rPr>
        <w:t>仅对种子植物进行分析；各地理成分所占％，世界分布属未计入总数。</w:t>
      </w:r>
    </w:p>
    <w:p>
      <w:pPr>
        <w:shd w:val="clear"/>
        <w:bidi w:val="0"/>
        <w:ind w:firstLine="480" w:firstLineChars="200"/>
        <w:rPr>
          <w:rFonts w:hint="default"/>
          <w:color w:val="auto"/>
          <w:highlight w:val="none"/>
        </w:rPr>
      </w:pPr>
      <w:r>
        <w:rPr>
          <w:rFonts w:hint="default"/>
          <w:color w:val="auto"/>
          <w:highlight w:val="none"/>
          <w:lang w:val="zh-TW" w:eastAsia="zh-TW"/>
        </w:rPr>
        <w:t>世界分布</w:t>
      </w:r>
      <w:r>
        <w:rPr>
          <w:rFonts w:hint="default"/>
          <w:color w:val="auto"/>
          <w:highlight w:val="none"/>
          <w:lang w:val="zh-TW" w:eastAsia="zh-CN"/>
        </w:rPr>
        <w:t>：</w:t>
      </w:r>
      <w:r>
        <w:rPr>
          <w:rFonts w:hint="default"/>
          <w:color w:val="auto"/>
          <w:highlight w:val="none"/>
          <w:lang w:val="zh-TW" w:eastAsia="zh-TW"/>
        </w:rPr>
        <w:t>指遍布世界各大洲而没有特殊分布中心的属，或虽有一个或数个分布中心而包含世界分布种的属。本区属于此分布型的有</w:t>
      </w:r>
      <w:r>
        <w:rPr>
          <w:rFonts w:hint="default"/>
          <w:color w:val="auto"/>
          <w:highlight w:val="none"/>
          <w:lang w:val="en-US" w:eastAsia="zh-CN"/>
        </w:rPr>
        <w:t>27</w:t>
      </w:r>
      <w:r>
        <w:rPr>
          <w:rFonts w:hint="default"/>
          <w:color w:val="auto"/>
          <w:highlight w:val="none"/>
          <w:lang w:val="zh-TW" w:eastAsia="zh-TW"/>
        </w:rPr>
        <w:t>属。常见的如悬钩子属</w:t>
      </w:r>
      <w:r>
        <w:rPr>
          <w:rFonts w:hint="default"/>
          <w:color w:val="auto"/>
          <w:highlight w:val="none"/>
          <w:lang w:val="zh-TW" w:eastAsia="zh-CN"/>
        </w:rPr>
        <w:t>、</w:t>
      </w:r>
      <w:r>
        <w:rPr>
          <w:rFonts w:hint="default"/>
          <w:color w:val="auto"/>
          <w:highlight w:val="none"/>
          <w:lang w:val="en-US" w:eastAsia="zh-CN"/>
        </w:rPr>
        <w:t>蓼属</w:t>
      </w:r>
      <w:r>
        <w:rPr>
          <w:rFonts w:hint="default"/>
          <w:color w:val="auto"/>
          <w:highlight w:val="none"/>
          <w:lang w:val="zh-TW" w:eastAsia="zh-TW"/>
        </w:rPr>
        <w:t>、铁线莲属等。此类分布型属的植物多数为草本，如千里光属、卫矛属、薹草属</w:t>
      </w:r>
      <w:r>
        <w:rPr>
          <w:rFonts w:hint="default"/>
          <w:color w:val="auto"/>
          <w:highlight w:val="none"/>
          <w:lang w:val="en-US" w:eastAsia="en-US"/>
        </w:rPr>
        <w:t>、</w:t>
      </w:r>
      <w:r>
        <w:rPr>
          <w:rFonts w:hint="default"/>
          <w:color w:val="auto"/>
          <w:highlight w:val="none"/>
          <w:lang w:val="zh-TW" w:eastAsia="zh-TW"/>
        </w:rPr>
        <w:t>灯心草属等。</w:t>
      </w:r>
    </w:p>
    <w:p>
      <w:pPr>
        <w:shd w:val="clear"/>
        <w:bidi w:val="0"/>
        <w:ind w:firstLine="480" w:firstLineChars="200"/>
        <w:rPr>
          <w:rFonts w:hint="default"/>
          <w:color w:val="auto"/>
          <w:highlight w:val="none"/>
        </w:rPr>
      </w:pPr>
      <w:r>
        <w:rPr>
          <w:rFonts w:hint="default"/>
          <w:color w:val="auto"/>
          <w:highlight w:val="none"/>
          <w:lang w:val="zh-TW" w:eastAsia="zh-TW"/>
        </w:rPr>
        <w:t>泛热带分布及其变型</w:t>
      </w:r>
      <w:r>
        <w:rPr>
          <w:rFonts w:hint="default"/>
          <w:color w:val="auto"/>
          <w:highlight w:val="none"/>
          <w:lang w:val="zh-TW" w:eastAsia="zh-CN"/>
        </w:rPr>
        <w:t>：</w:t>
      </w:r>
      <w:r>
        <w:rPr>
          <w:rFonts w:hint="default"/>
          <w:color w:val="auto"/>
          <w:highlight w:val="none"/>
          <w:lang w:val="zh-TW" w:eastAsia="zh-TW"/>
        </w:rPr>
        <w:t>泛热带分布属指普遍分布于东、西两半球热带，和在全世界热带范围内有一个或数个分布中心，但在其他地区也有一些种类分布的热带属，有不少属广布于热带、亚热带甚至到温带。本区属于此类型及其变型的有</w:t>
      </w:r>
      <w:r>
        <w:rPr>
          <w:rFonts w:hint="default"/>
          <w:color w:val="auto"/>
          <w:highlight w:val="none"/>
          <w:lang w:val="en-US" w:eastAsia="zh-CN"/>
        </w:rPr>
        <w:t>69</w:t>
      </w:r>
      <w:r>
        <w:rPr>
          <w:rFonts w:hint="default"/>
          <w:color w:val="auto"/>
          <w:highlight w:val="none"/>
          <w:lang w:val="zh-TW" w:eastAsia="zh-TW"/>
        </w:rPr>
        <w:t>属。</w:t>
      </w:r>
      <w:r>
        <w:rPr>
          <w:rFonts w:hint="default"/>
          <w:color w:val="auto"/>
          <w:highlight w:val="none"/>
          <w:lang w:val="en-US" w:eastAsia="zh-CN"/>
        </w:rPr>
        <w:t>评价</w:t>
      </w:r>
      <w:r>
        <w:rPr>
          <w:rFonts w:hint="eastAsia"/>
          <w:color w:val="auto"/>
          <w:highlight w:val="none"/>
          <w:lang w:val="en-US" w:eastAsia="zh-CN"/>
        </w:rPr>
        <w:t>区域</w:t>
      </w:r>
      <w:r>
        <w:rPr>
          <w:rFonts w:hint="default"/>
          <w:color w:val="auto"/>
          <w:highlight w:val="none"/>
          <w:lang w:val="en-US" w:eastAsia="zh-CN"/>
        </w:rPr>
        <w:t>分布型有</w:t>
      </w:r>
      <w:r>
        <w:rPr>
          <w:rFonts w:hint="default"/>
          <w:color w:val="auto"/>
          <w:highlight w:val="none"/>
          <w:lang w:val="zh-TW" w:eastAsia="zh-TW"/>
        </w:rPr>
        <w:t>花椒属</w:t>
      </w:r>
      <w:r>
        <w:rPr>
          <w:rFonts w:hint="default"/>
          <w:color w:val="auto"/>
          <w:highlight w:val="none"/>
          <w:lang w:val="en-US" w:eastAsia="en-US"/>
        </w:rPr>
        <w:t>、</w:t>
      </w:r>
      <w:r>
        <w:rPr>
          <w:rFonts w:hint="default"/>
          <w:color w:val="auto"/>
          <w:highlight w:val="none"/>
          <w:lang w:val="zh-TW" w:eastAsia="zh-TW"/>
        </w:rPr>
        <w:t>醉鱼草属</w:t>
      </w:r>
      <w:r>
        <w:rPr>
          <w:rFonts w:hint="default"/>
          <w:color w:val="auto"/>
          <w:highlight w:val="none"/>
          <w:lang w:val="en-US" w:eastAsia="zh-CN"/>
        </w:rPr>
        <w:t>、</w:t>
      </w:r>
      <w:r>
        <w:rPr>
          <w:rFonts w:hint="default"/>
          <w:color w:val="auto"/>
          <w:highlight w:val="none"/>
          <w:lang w:val="zh-TW" w:eastAsia="zh-TW"/>
        </w:rPr>
        <w:t>牛膝属</w:t>
      </w:r>
      <w:r>
        <w:rPr>
          <w:rFonts w:hint="default"/>
          <w:color w:val="auto"/>
          <w:highlight w:val="none"/>
          <w:lang w:val="en-US" w:eastAsia="zh-CN"/>
        </w:rPr>
        <w:t>、</w:t>
      </w:r>
      <w:r>
        <w:rPr>
          <w:rFonts w:hint="default"/>
          <w:color w:val="auto"/>
          <w:highlight w:val="none"/>
          <w:lang w:val="zh-TW" w:eastAsia="zh-TW"/>
        </w:rPr>
        <w:t>薯蓣属</w:t>
      </w:r>
      <w:r>
        <w:rPr>
          <w:rFonts w:hint="default"/>
          <w:color w:val="auto"/>
          <w:highlight w:val="none"/>
          <w:lang w:val="en-US" w:eastAsia="zh-CN"/>
        </w:rPr>
        <w:t>、</w:t>
      </w:r>
      <w:r>
        <w:rPr>
          <w:rFonts w:hint="default"/>
          <w:color w:val="auto"/>
          <w:highlight w:val="none"/>
          <w:lang w:val="zh-TW" w:eastAsia="zh-TW"/>
        </w:rPr>
        <w:t>素馨属</w:t>
      </w:r>
      <w:r>
        <w:rPr>
          <w:rFonts w:hint="default"/>
          <w:color w:val="auto"/>
          <w:highlight w:val="none"/>
          <w:lang w:val="en-US" w:eastAsia="zh-CN"/>
        </w:rPr>
        <w:t>菝葜</w:t>
      </w:r>
      <w:r>
        <w:rPr>
          <w:rFonts w:hint="default"/>
          <w:color w:val="auto"/>
          <w:highlight w:val="none"/>
          <w:lang w:val="zh-TW" w:eastAsia="zh-TW"/>
        </w:rPr>
        <w:t>属等。</w:t>
      </w:r>
    </w:p>
    <w:p>
      <w:pPr>
        <w:shd w:val="clear"/>
        <w:bidi w:val="0"/>
        <w:ind w:firstLine="480" w:firstLineChars="200"/>
        <w:rPr>
          <w:rFonts w:hint="default"/>
          <w:color w:val="auto"/>
          <w:highlight w:val="none"/>
        </w:rPr>
      </w:pPr>
      <w:r>
        <w:rPr>
          <w:rFonts w:hint="default"/>
          <w:color w:val="auto"/>
          <w:highlight w:val="none"/>
          <w:lang w:val="zh-TW" w:eastAsia="zh-TW"/>
        </w:rPr>
        <w:t>热带亚洲和热带美洲间断分布</w:t>
      </w:r>
      <w:r>
        <w:rPr>
          <w:rFonts w:hint="default"/>
          <w:color w:val="auto"/>
          <w:highlight w:val="none"/>
          <w:lang w:val="zh-TW" w:eastAsia="zh-CN"/>
        </w:rPr>
        <w:t>：</w:t>
      </w:r>
      <w:r>
        <w:rPr>
          <w:rFonts w:hint="default"/>
          <w:color w:val="auto"/>
          <w:highlight w:val="none"/>
          <w:lang w:val="zh-TW" w:eastAsia="zh-TW"/>
        </w:rPr>
        <w:t>指间断分布于美洲和亚洲温暖地区的热带属，在东半球从亚洲可能延伸到澳大利亚东北部或西南太平洋岛屿。本区属于此分布型的有</w:t>
      </w:r>
      <w:r>
        <w:rPr>
          <w:rFonts w:hint="default"/>
          <w:color w:val="auto"/>
          <w:highlight w:val="none"/>
          <w:lang w:val="en-US" w:eastAsia="zh-CN"/>
        </w:rPr>
        <w:t>6</w:t>
      </w:r>
      <w:r>
        <w:rPr>
          <w:rFonts w:hint="default"/>
          <w:color w:val="auto"/>
          <w:highlight w:val="none"/>
          <w:lang w:val="zh-TW" w:eastAsia="zh-TW"/>
        </w:rPr>
        <w:t>属。此分布型在本区出现的主要为木本属，以樟属</w:t>
      </w:r>
      <w:r>
        <w:rPr>
          <w:rFonts w:hint="default"/>
          <w:color w:val="auto"/>
          <w:highlight w:val="none"/>
          <w:lang w:val="en-US" w:eastAsia="en-US"/>
        </w:rPr>
        <w:t>、</w:t>
      </w:r>
      <w:r>
        <w:rPr>
          <w:rFonts w:hint="default"/>
          <w:color w:val="auto"/>
          <w:highlight w:val="none"/>
          <w:lang w:val="zh-TW" w:eastAsia="zh-TW"/>
        </w:rPr>
        <w:t>木姜子属为代表，这些属在评价区出现的种类通常是当地阔叶林或针阔混交林乔、灌木层的主要组成成分。另外还有紫茎泽兰属等入侵植物。</w:t>
      </w:r>
    </w:p>
    <w:p>
      <w:pPr>
        <w:shd w:val="clear"/>
        <w:bidi w:val="0"/>
        <w:ind w:firstLine="480" w:firstLineChars="200"/>
        <w:rPr>
          <w:rFonts w:hint="default"/>
          <w:color w:val="auto"/>
          <w:highlight w:val="none"/>
        </w:rPr>
      </w:pPr>
      <w:r>
        <w:rPr>
          <w:rFonts w:hint="default"/>
          <w:color w:val="auto"/>
          <w:highlight w:val="none"/>
          <w:lang w:val="zh-TW" w:eastAsia="zh-TW"/>
        </w:rPr>
        <w:t>旧世界热带分布及其变型</w:t>
      </w:r>
      <w:r>
        <w:rPr>
          <w:rFonts w:hint="default"/>
          <w:color w:val="auto"/>
          <w:highlight w:val="none"/>
          <w:lang w:val="zh-TW" w:eastAsia="zh-CN"/>
        </w:rPr>
        <w:t>：</w:t>
      </w:r>
      <w:r>
        <w:rPr>
          <w:rFonts w:hint="default"/>
          <w:color w:val="auto"/>
          <w:highlight w:val="none"/>
          <w:lang w:val="zh-TW" w:eastAsia="zh-TW"/>
        </w:rPr>
        <w:t>指分布于亚洲、非洲和大洋洲热带地区及其邻近岛屿的属。</w:t>
      </w:r>
      <w:r>
        <w:rPr>
          <w:rFonts w:hint="default"/>
          <w:color w:val="auto"/>
          <w:highlight w:val="none"/>
          <w:lang w:val="en-US" w:eastAsia="zh-CN"/>
        </w:rPr>
        <w:t>评价</w:t>
      </w:r>
      <w:r>
        <w:rPr>
          <w:rFonts w:hint="default"/>
          <w:color w:val="auto"/>
          <w:highlight w:val="none"/>
          <w:lang w:val="zh-TW" w:eastAsia="zh-TW"/>
        </w:rPr>
        <w:t>区属于此类型的有</w:t>
      </w:r>
      <w:r>
        <w:rPr>
          <w:rFonts w:hint="default"/>
          <w:color w:val="auto"/>
          <w:highlight w:val="none"/>
          <w:lang w:val="en-US" w:eastAsia="zh-CN"/>
        </w:rPr>
        <w:t>23</w:t>
      </w:r>
      <w:r>
        <w:rPr>
          <w:rFonts w:hint="default"/>
          <w:color w:val="auto"/>
          <w:highlight w:val="none"/>
          <w:lang w:val="zh-TW" w:eastAsia="zh-TW"/>
        </w:rPr>
        <w:t>属。</w:t>
      </w:r>
    </w:p>
    <w:p>
      <w:pPr>
        <w:shd w:val="clear"/>
        <w:bidi w:val="0"/>
        <w:ind w:firstLine="480" w:firstLineChars="200"/>
        <w:rPr>
          <w:rFonts w:hint="default"/>
          <w:color w:val="auto"/>
          <w:highlight w:val="none"/>
        </w:rPr>
      </w:pPr>
      <w:r>
        <w:rPr>
          <w:rFonts w:hint="default"/>
          <w:color w:val="auto"/>
          <w:highlight w:val="none"/>
          <w:lang w:val="zh-TW" w:eastAsia="zh-TW"/>
        </w:rPr>
        <w:t>热带亚洲至热带大洋洲分布</w:t>
      </w:r>
      <w:r>
        <w:rPr>
          <w:rFonts w:hint="default"/>
          <w:color w:val="auto"/>
          <w:highlight w:val="none"/>
          <w:lang w:val="zh-TW" w:eastAsia="zh-CN"/>
        </w:rPr>
        <w:t>：</w:t>
      </w:r>
      <w:r>
        <w:rPr>
          <w:rFonts w:hint="default"/>
          <w:color w:val="auto"/>
          <w:highlight w:val="none"/>
          <w:lang w:val="zh-TW" w:eastAsia="zh-TW"/>
        </w:rPr>
        <w:t>指旧世界热带分布区的东翼，其西端有时可达马达加斯加，但一般不到非洲大陆。本区属于此分布型的有崖豆藤属</w:t>
      </w:r>
      <w:r>
        <w:rPr>
          <w:rFonts w:hint="default"/>
          <w:color w:val="auto"/>
          <w:highlight w:val="none"/>
          <w:lang w:val="en-US" w:eastAsia="zh-CN"/>
        </w:rPr>
        <w:t>、</w:t>
      </w:r>
      <w:r>
        <w:rPr>
          <w:rFonts w:hint="default"/>
          <w:color w:val="auto"/>
          <w:highlight w:val="none"/>
          <w:lang w:val="zh-TW" w:eastAsia="zh-TW"/>
        </w:rPr>
        <w:t>崖爬藤属等</w:t>
      </w:r>
      <w:r>
        <w:rPr>
          <w:rFonts w:hint="default"/>
          <w:color w:val="auto"/>
          <w:highlight w:val="none"/>
          <w:lang w:val="en-US" w:eastAsia="zh-CN"/>
        </w:rPr>
        <w:t>6</w:t>
      </w:r>
      <w:r>
        <w:rPr>
          <w:rFonts w:hint="default"/>
          <w:color w:val="auto"/>
          <w:highlight w:val="none"/>
          <w:lang w:val="zh-TW" w:eastAsia="zh-TW"/>
        </w:rPr>
        <w:t>属。</w:t>
      </w:r>
    </w:p>
    <w:p>
      <w:pPr>
        <w:shd w:val="clear"/>
        <w:bidi w:val="0"/>
        <w:ind w:firstLine="480" w:firstLineChars="200"/>
        <w:rPr>
          <w:rFonts w:hint="default"/>
          <w:color w:val="auto"/>
          <w:highlight w:val="none"/>
        </w:rPr>
      </w:pPr>
      <w:r>
        <w:rPr>
          <w:rFonts w:hint="default"/>
          <w:color w:val="auto"/>
          <w:highlight w:val="none"/>
          <w:lang w:val="zh-TW" w:eastAsia="zh-TW"/>
        </w:rPr>
        <w:t>热带亚洲至热带非洲分布及其变型</w:t>
      </w:r>
      <w:r>
        <w:rPr>
          <w:rFonts w:hint="default"/>
          <w:color w:val="auto"/>
          <w:highlight w:val="none"/>
          <w:lang w:val="zh-TW" w:eastAsia="zh-CN"/>
        </w:rPr>
        <w:t>：</w:t>
      </w:r>
      <w:r>
        <w:rPr>
          <w:rFonts w:hint="default"/>
          <w:color w:val="auto"/>
          <w:highlight w:val="none"/>
          <w:lang w:val="zh-TW" w:eastAsia="zh-TW"/>
        </w:rPr>
        <w:t>指旧世界热带分布区的西翼，即从热带非洲至印度-马来西亚</w:t>
      </w:r>
      <w:r>
        <w:rPr>
          <w:rFonts w:hint="default"/>
          <w:color w:val="auto"/>
          <w:highlight w:val="none"/>
          <w:lang w:val="en-US" w:eastAsia="zh-CN"/>
        </w:rPr>
        <w:t>（</w:t>
      </w:r>
      <w:r>
        <w:rPr>
          <w:rFonts w:hint="default"/>
          <w:color w:val="auto"/>
          <w:highlight w:val="none"/>
          <w:lang w:val="zh-TW" w:eastAsia="zh-TW"/>
        </w:rPr>
        <w:t>特别是其西部</w:t>
      </w:r>
      <w:r>
        <w:rPr>
          <w:rFonts w:hint="default"/>
          <w:color w:val="auto"/>
          <w:highlight w:val="none"/>
          <w:lang w:val="en-US" w:eastAsia="zh-CN"/>
        </w:rPr>
        <w:t>）</w:t>
      </w:r>
      <w:r>
        <w:rPr>
          <w:rFonts w:hint="default"/>
          <w:color w:val="auto"/>
          <w:highlight w:val="none"/>
          <w:lang w:val="en-US" w:eastAsia="en-US"/>
        </w:rPr>
        <w:t>，</w:t>
      </w:r>
      <w:r>
        <w:rPr>
          <w:rFonts w:hint="default"/>
          <w:color w:val="auto"/>
          <w:highlight w:val="none"/>
          <w:lang w:val="zh-TW" w:eastAsia="zh-TW"/>
        </w:rPr>
        <w:t>有的属也分布到斐济等南太平洋岛屿，但不见于澳大利亚大陆。</w:t>
      </w:r>
      <w:r>
        <w:rPr>
          <w:rFonts w:hint="default"/>
          <w:color w:val="auto"/>
          <w:highlight w:val="none"/>
          <w:lang w:val="en-US" w:eastAsia="zh-CN"/>
        </w:rPr>
        <w:t>评价</w:t>
      </w:r>
      <w:r>
        <w:rPr>
          <w:rFonts w:hint="default"/>
          <w:color w:val="auto"/>
          <w:highlight w:val="none"/>
          <w:lang w:val="zh-TW" w:eastAsia="zh-TW"/>
        </w:rPr>
        <w:t>区出现的此类型属也多为主要分布到温带地区的属如荩草属</w:t>
      </w:r>
      <w:r>
        <w:rPr>
          <w:rFonts w:hint="default"/>
          <w:color w:val="auto"/>
          <w:highlight w:val="none"/>
          <w:lang w:val="en-US" w:eastAsia="en-US"/>
        </w:rPr>
        <w:t>、</w:t>
      </w:r>
      <w:r>
        <w:rPr>
          <w:rFonts w:hint="default"/>
          <w:color w:val="auto"/>
          <w:highlight w:val="none"/>
          <w:lang w:val="zh-TW" w:eastAsia="zh-TW"/>
        </w:rPr>
        <w:t>沙针属</w:t>
      </w:r>
      <w:r>
        <w:rPr>
          <w:rFonts w:hint="default"/>
          <w:color w:val="auto"/>
          <w:highlight w:val="none"/>
          <w:lang w:val="en-US" w:eastAsia="en-US"/>
        </w:rPr>
        <w:t>、</w:t>
      </w:r>
      <w:r>
        <w:rPr>
          <w:rFonts w:hint="default"/>
          <w:color w:val="auto"/>
          <w:highlight w:val="none"/>
          <w:lang w:val="zh-TW" w:eastAsia="zh-TW"/>
        </w:rPr>
        <w:t>铁仔属等1</w:t>
      </w:r>
      <w:r>
        <w:rPr>
          <w:rFonts w:hint="default"/>
          <w:color w:val="auto"/>
          <w:highlight w:val="none"/>
          <w:lang w:val="en-US" w:eastAsia="zh-CN"/>
        </w:rPr>
        <w:t>8</w:t>
      </w:r>
      <w:r>
        <w:rPr>
          <w:rFonts w:hint="default"/>
          <w:color w:val="auto"/>
          <w:highlight w:val="none"/>
          <w:lang w:val="zh-TW" w:eastAsia="zh-TW"/>
        </w:rPr>
        <w:t>属。</w:t>
      </w:r>
    </w:p>
    <w:p>
      <w:pPr>
        <w:shd w:val="clear"/>
        <w:bidi w:val="0"/>
        <w:ind w:firstLine="480" w:firstLineChars="200"/>
        <w:rPr>
          <w:rFonts w:hint="default"/>
          <w:color w:val="auto"/>
          <w:highlight w:val="none"/>
        </w:rPr>
      </w:pPr>
      <w:r>
        <w:rPr>
          <w:rFonts w:hint="default"/>
          <w:color w:val="auto"/>
          <w:highlight w:val="none"/>
          <w:lang w:val="zh-TW" w:eastAsia="zh-TW"/>
        </w:rPr>
        <w:t>热带亚洲</w:t>
      </w:r>
      <w:r>
        <w:rPr>
          <w:rFonts w:hint="default"/>
          <w:color w:val="auto"/>
          <w:highlight w:val="none"/>
          <w:lang w:val="zh-TW" w:eastAsia="zh-CN"/>
        </w:rPr>
        <w:t>（</w:t>
      </w:r>
      <w:r>
        <w:rPr>
          <w:rFonts w:hint="default"/>
          <w:color w:val="auto"/>
          <w:highlight w:val="none"/>
          <w:lang w:val="zh-TW" w:eastAsia="zh-TW"/>
        </w:rPr>
        <w:t>印度-马来西亚</w:t>
      </w:r>
      <w:r>
        <w:rPr>
          <w:rFonts w:hint="default"/>
          <w:color w:val="auto"/>
          <w:highlight w:val="none"/>
          <w:lang w:val="zh-TW" w:eastAsia="zh-CN"/>
        </w:rPr>
        <w:t>）</w:t>
      </w:r>
      <w:r>
        <w:rPr>
          <w:rFonts w:hint="default"/>
          <w:color w:val="auto"/>
          <w:highlight w:val="none"/>
          <w:lang w:val="zh-TW" w:eastAsia="zh-TW"/>
        </w:rPr>
        <w:t>分布及其变型</w:t>
      </w:r>
      <w:r>
        <w:rPr>
          <w:rFonts w:hint="default"/>
          <w:color w:val="auto"/>
          <w:highlight w:val="none"/>
          <w:lang w:val="zh-TW" w:eastAsia="zh-CN"/>
        </w:rPr>
        <w:t>：</w:t>
      </w:r>
      <w:r>
        <w:rPr>
          <w:rFonts w:hint="default"/>
          <w:color w:val="auto"/>
          <w:highlight w:val="none"/>
          <w:lang w:val="zh-TW" w:eastAsia="zh-TW"/>
        </w:rPr>
        <w:t>热带亚洲是旧世界热带的中心部分，热带亚洲分布的范围包括印度、斯里兰卡、中南半岛、印度尼西亚、加里曼丹、菲律宾及新几内亚等，东可达斐济等南太平洋岛屿，但不到澳大利亚大陆，其分布区的北部边缘，到达我国西南、华南及台湾，甚至更北地区。本区出现的此分布型及其变型属有热带亚洲广布的山茶属、青冈属</w:t>
      </w:r>
      <w:r>
        <w:rPr>
          <w:rFonts w:hint="default"/>
          <w:color w:val="auto"/>
          <w:highlight w:val="none"/>
          <w:lang w:val="en-US" w:eastAsia="en-US"/>
        </w:rPr>
        <w:t>、</w:t>
      </w:r>
      <w:r>
        <w:rPr>
          <w:rFonts w:hint="default"/>
          <w:color w:val="auto"/>
          <w:highlight w:val="none"/>
          <w:lang w:val="zh-TW" w:eastAsia="zh-TW"/>
        </w:rPr>
        <w:t>清香桂属</w:t>
      </w:r>
      <w:r>
        <w:rPr>
          <w:rFonts w:hint="default"/>
          <w:color w:val="auto"/>
          <w:highlight w:val="none"/>
          <w:lang w:val="en-US" w:eastAsia="zh-CN"/>
        </w:rPr>
        <w:t>、</w:t>
      </w:r>
      <w:r>
        <w:rPr>
          <w:rFonts w:hint="default"/>
          <w:color w:val="auto"/>
          <w:highlight w:val="none"/>
          <w:lang w:val="zh-TW" w:eastAsia="zh-TW"/>
        </w:rPr>
        <w:t>鸡屎藤属</w:t>
      </w:r>
      <w:r>
        <w:rPr>
          <w:rFonts w:hint="default"/>
          <w:color w:val="auto"/>
          <w:highlight w:val="none"/>
          <w:lang w:val="en-US" w:eastAsia="en-US"/>
        </w:rPr>
        <w:t>（</w:t>
      </w:r>
      <w:r>
        <w:rPr>
          <w:rFonts w:hint="default"/>
          <w:color w:val="auto"/>
          <w:highlight w:val="none"/>
        </w:rPr>
        <w:t>Paederia</w:t>
      </w:r>
      <w:r>
        <w:rPr>
          <w:rFonts w:hint="default"/>
          <w:color w:val="auto"/>
          <w:highlight w:val="none"/>
          <w:lang w:val="en-US" w:eastAsia="zh-CN"/>
        </w:rPr>
        <w:t>）</w:t>
      </w:r>
      <w:r>
        <w:rPr>
          <w:rFonts w:hint="default"/>
          <w:color w:val="auto"/>
          <w:highlight w:val="none"/>
          <w:lang w:val="zh-TW" w:eastAsia="zh-TW"/>
        </w:rPr>
        <w:t>等</w:t>
      </w:r>
      <w:r>
        <w:rPr>
          <w:rFonts w:hint="default"/>
          <w:color w:val="auto"/>
          <w:highlight w:val="none"/>
          <w:lang w:val="en-US" w:eastAsia="zh-CN"/>
        </w:rPr>
        <w:t>15</w:t>
      </w:r>
      <w:r>
        <w:rPr>
          <w:rFonts w:hint="default"/>
          <w:color w:val="auto"/>
          <w:highlight w:val="none"/>
          <w:lang w:val="zh-TW" w:eastAsia="zh-TW"/>
        </w:rPr>
        <w:t>属。</w:t>
      </w:r>
    </w:p>
    <w:p>
      <w:pPr>
        <w:shd w:val="clear"/>
        <w:bidi w:val="0"/>
        <w:ind w:firstLine="480" w:firstLineChars="200"/>
        <w:rPr>
          <w:rFonts w:hint="default"/>
          <w:color w:val="auto"/>
          <w:highlight w:val="none"/>
          <w:lang w:val="zh-TW" w:eastAsia="zh-TW"/>
        </w:rPr>
      </w:pPr>
      <w:r>
        <w:rPr>
          <w:rFonts w:hint="default"/>
          <w:color w:val="auto"/>
          <w:highlight w:val="none"/>
          <w:lang w:val="zh-TW" w:eastAsia="zh-TW"/>
        </w:rPr>
        <w:t>北温带分布及其变型</w:t>
      </w:r>
      <w:r>
        <w:rPr>
          <w:rFonts w:hint="default"/>
          <w:color w:val="auto"/>
          <w:highlight w:val="none"/>
          <w:lang w:val="zh-TW" w:eastAsia="zh-CN"/>
        </w:rPr>
        <w:t>：</w:t>
      </w:r>
      <w:r>
        <w:rPr>
          <w:rFonts w:hint="default"/>
          <w:color w:val="auto"/>
          <w:highlight w:val="none"/>
          <w:lang w:val="zh-TW" w:eastAsia="zh-TW"/>
        </w:rPr>
        <w:t>指广泛分布于欧洲、亚洲和北美洲温带地区的属，由于历史和地理的原因，有些属沿山脉向南延伸到热带山区，甚至到南半球温带，但其原始类型或分布中心仍在北温带。。许多此类型的属往往是该地常绿阔叶林、针阔混交林或针叶林的建群种、优势种或重要成分，本区属此类型及其变型的有桤木属</w:t>
      </w:r>
      <w:r>
        <w:rPr>
          <w:rFonts w:hint="default"/>
          <w:color w:val="auto"/>
          <w:highlight w:val="none"/>
          <w:lang w:val="en-US" w:eastAsia="en-US"/>
        </w:rPr>
        <w:t>、</w:t>
      </w:r>
      <w:r>
        <w:rPr>
          <w:rFonts w:hint="default"/>
          <w:color w:val="auto"/>
          <w:highlight w:val="none"/>
          <w:lang w:val="zh-TW" w:eastAsia="zh-TW"/>
        </w:rPr>
        <w:t>栎属</w:t>
      </w:r>
      <w:r>
        <w:rPr>
          <w:rFonts w:hint="default"/>
          <w:color w:val="auto"/>
          <w:highlight w:val="none"/>
          <w:lang w:val="en-US" w:eastAsia="en-US"/>
        </w:rPr>
        <w:t>、</w:t>
      </w:r>
      <w:r>
        <w:rPr>
          <w:rFonts w:hint="default"/>
          <w:color w:val="auto"/>
          <w:highlight w:val="none"/>
          <w:lang w:val="zh-TW" w:eastAsia="zh-TW"/>
        </w:rPr>
        <w:t>槭属、杜鹃花属</w:t>
      </w:r>
      <w:r>
        <w:rPr>
          <w:rFonts w:hint="default"/>
          <w:color w:val="auto"/>
          <w:highlight w:val="none"/>
          <w:lang w:val="en-US" w:eastAsia="en-US"/>
        </w:rPr>
        <w:t>、</w:t>
      </w:r>
      <w:r>
        <w:rPr>
          <w:rFonts w:hint="default"/>
          <w:color w:val="auto"/>
          <w:highlight w:val="none"/>
          <w:lang w:val="zh-TW" w:eastAsia="zh-TW"/>
        </w:rPr>
        <w:t>蔷薇属、荚蒾属</w:t>
      </w:r>
      <w:r>
        <w:rPr>
          <w:rFonts w:hint="default"/>
          <w:color w:val="auto"/>
          <w:highlight w:val="none"/>
          <w:lang w:val="zh-TW" w:eastAsia="zh-CN"/>
        </w:rPr>
        <w:t>、</w:t>
      </w:r>
      <w:r>
        <w:rPr>
          <w:rFonts w:hint="default"/>
          <w:color w:val="auto"/>
          <w:highlight w:val="none"/>
          <w:lang w:val="zh-TW" w:eastAsia="zh-TW"/>
        </w:rPr>
        <w:t>香青属等</w:t>
      </w:r>
      <w:r>
        <w:rPr>
          <w:rFonts w:hint="default"/>
          <w:color w:val="auto"/>
          <w:highlight w:val="none"/>
          <w:lang w:val="en-US" w:eastAsia="zh-CN"/>
        </w:rPr>
        <w:t>23</w:t>
      </w:r>
      <w:r>
        <w:rPr>
          <w:rFonts w:hint="default"/>
          <w:color w:val="auto"/>
          <w:highlight w:val="none"/>
          <w:lang w:val="zh-TW" w:eastAsia="zh-TW"/>
        </w:rPr>
        <w:t>属。</w:t>
      </w:r>
    </w:p>
    <w:p>
      <w:pPr>
        <w:shd w:val="clear"/>
        <w:bidi w:val="0"/>
        <w:ind w:firstLine="480" w:firstLineChars="200"/>
        <w:rPr>
          <w:rFonts w:hint="default"/>
          <w:color w:val="auto"/>
          <w:highlight w:val="none"/>
          <w:lang w:val="en-US" w:eastAsia="zh-CN"/>
        </w:rPr>
      </w:pPr>
      <w:r>
        <w:rPr>
          <w:rFonts w:hint="default"/>
          <w:color w:val="auto"/>
          <w:highlight w:val="none"/>
          <w:lang w:val="zh-TW" w:eastAsia="zh-TW"/>
        </w:rPr>
        <w:t>东亚和北美洲间断分布及其变型</w:t>
      </w:r>
      <w:r>
        <w:rPr>
          <w:rFonts w:hint="default"/>
          <w:color w:val="auto"/>
          <w:highlight w:val="none"/>
          <w:lang w:val="zh-TW" w:eastAsia="zh-CN"/>
        </w:rPr>
        <w:t>：</w:t>
      </w:r>
      <w:r>
        <w:rPr>
          <w:rFonts w:hint="default"/>
          <w:color w:val="auto"/>
          <w:highlight w:val="none"/>
          <w:lang w:val="zh-TW" w:eastAsia="zh-TW"/>
        </w:rPr>
        <w:t>指间断分布于东亚和北美洲温带及亚热带地区的属。</w:t>
      </w:r>
      <w:r>
        <w:rPr>
          <w:rFonts w:hint="default"/>
          <w:color w:val="auto"/>
          <w:highlight w:val="none"/>
          <w:lang w:val="en-US" w:eastAsia="zh-CN"/>
        </w:rPr>
        <w:t>评价</w:t>
      </w:r>
      <w:r>
        <w:rPr>
          <w:rFonts w:hint="default"/>
          <w:color w:val="auto"/>
          <w:highlight w:val="none"/>
          <w:lang w:val="zh-TW" w:eastAsia="zh-TW"/>
        </w:rPr>
        <w:t>区属于此分布正型的有石栎属</w:t>
      </w:r>
      <w:r>
        <w:rPr>
          <w:rFonts w:hint="default"/>
          <w:color w:val="auto"/>
          <w:highlight w:val="none"/>
          <w:lang w:val="zh-TW" w:eastAsia="zh-CN"/>
        </w:rPr>
        <w:t>、</w:t>
      </w:r>
      <w:r>
        <w:rPr>
          <w:rFonts w:hint="default"/>
          <w:color w:val="auto"/>
          <w:highlight w:val="none"/>
          <w:lang w:val="zh-TW" w:eastAsia="zh-TW"/>
        </w:rPr>
        <w:t>米饭花属</w:t>
      </w:r>
      <w:r>
        <w:rPr>
          <w:rFonts w:hint="default"/>
          <w:color w:val="auto"/>
          <w:highlight w:val="none"/>
          <w:lang w:val="en-US" w:eastAsia="en-US"/>
        </w:rPr>
        <w:t>、</w:t>
      </w:r>
      <w:r>
        <w:rPr>
          <w:rFonts w:hint="default"/>
          <w:color w:val="auto"/>
          <w:highlight w:val="none"/>
          <w:lang w:val="zh-TW" w:eastAsia="zh-TW"/>
        </w:rPr>
        <w:t>石楠属</w:t>
      </w:r>
      <w:r>
        <w:rPr>
          <w:rFonts w:hint="default"/>
          <w:color w:val="auto"/>
          <w:highlight w:val="none"/>
          <w:lang w:val="en-US" w:eastAsia="zh-CN"/>
        </w:rPr>
        <w:t>等6</w:t>
      </w:r>
      <w:r>
        <w:rPr>
          <w:rFonts w:hint="default"/>
          <w:color w:val="auto"/>
          <w:highlight w:val="none"/>
          <w:lang w:val="zh-TW" w:eastAsia="zh-TW"/>
        </w:rPr>
        <w:t>属。</w:t>
      </w:r>
    </w:p>
    <w:p>
      <w:pPr>
        <w:shd w:val="clear"/>
        <w:bidi w:val="0"/>
        <w:ind w:firstLine="480" w:firstLineChars="200"/>
        <w:rPr>
          <w:rFonts w:hint="default"/>
          <w:color w:val="auto"/>
          <w:highlight w:val="none"/>
        </w:rPr>
      </w:pPr>
      <w:r>
        <w:rPr>
          <w:rFonts w:hint="default"/>
          <w:color w:val="auto"/>
          <w:highlight w:val="none"/>
          <w:lang w:val="zh-TW" w:eastAsia="zh-TW"/>
        </w:rPr>
        <w:t>旧世界温带分布及其变型</w:t>
      </w:r>
      <w:r>
        <w:rPr>
          <w:rFonts w:hint="default"/>
          <w:color w:val="auto"/>
          <w:highlight w:val="none"/>
          <w:lang w:val="zh-TW" w:eastAsia="zh-CN"/>
        </w:rPr>
        <w:t>：</w:t>
      </w:r>
      <w:r>
        <w:rPr>
          <w:rFonts w:hint="default"/>
          <w:color w:val="auto"/>
          <w:highlight w:val="none"/>
          <w:lang w:val="zh-TW" w:eastAsia="zh-TW"/>
        </w:rPr>
        <w:t>指广泛分布于欧洲、亚洲中高纬度的温带和寒温带，或最多有个别延伸到北非及亚洲-非洲热带山地或澳大利亚的属。本区属此分布型及其变型的有</w:t>
      </w:r>
      <w:r>
        <w:rPr>
          <w:rFonts w:hint="default"/>
          <w:color w:val="auto"/>
          <w:highlight w:val="none"/>
          <w:lang w:val="en-US" w:eastAsia="zh-CN"/>
        </w:rPr>
        <w:t>13</w:t>
      </w:r>
      <w:r>
        <w:rPr>
          <w:rFonts w:hint="default"/>
          <w:color w:val="auto"/>
          <w:highlight w:val="none"/>
          <w:lang w:val="zh-TW" w:eastAsia="zh-TW"/>
        </w:rPr>
        <w:t>属。本</w:t>
      </w:r>
      <w:r>
        <w:rPr>
          <w:rFonts w:hint="default"/>
          <w:color w:val="auto"/>
          <w:highlight w:val="none"/>
          <w:lang w:val="en-US" w:eastAsia="zh-CN"/>
        </w:rPr>
        <w:t>分别为栒子</w:t>
      </w:r>
      <w:r>
        <w:rPr>
          <w:rFonts w:hint="default"/>
          <w:color w:val="auto"/>
          <w:highlight w:val="none"/>
          <w:lang w:val="zh-TW" w:eastAsia="zh-TW"/>
        </w:rPr>
        <w:t>属</w:t>
      </w:r>
      <w:r>
        <w:rPr>
          <w:rFonts w:hint="default"/>
          <w:color w:val="auto"/>
          <w:highlight w:val="none"/>
          <w:lang w:val="en-US" w:eastAsia="zh-CN"/>
        </w:rPr>
        <w:t>、</w:t>
      </w:r>
      <w:r>
        <w:rPr>
          <w:rFonts w:hint="default"/>
          <w:color w:val="auto"/>
          <w:highlight w:val="none"/>
          <w:lang w:val="zh-TW" w:eastAsia="zh-TW"/>
        </w:rPr>
        <w:t>蜜蜂花属</w:t>
      </w:r>
      <w:r>
        <w:rPr>
          <w:rFonts w:hint="default"/>
          <w:color w:val="auto"/>
          <w:highlight w:val="none"/>
          <w:lang w:val="en-US" w:eastAsia="en-US"/>
        </w:rPr>
        <w:t>、</w:t>
      </w:r>
      <w:r>
        <w:rPr>
          <w:rFonts w:hint="default"/>
          <w:color w:val="auto"/>
          <w:highlight w:val="none"/>
          <w:lang w:val="zh-TW" w:eastAsia="zh-TW"/>
        </w:rPr>
        <w:t>香薷属</w:t>
      </w:r>
      <w:r>
        <w:rPr>
          <w:rFonts w:hint="default"/>
          <w:color w:val="auto"/>
          <w:highlight w:val="none"/>
          <w:lang w:val="en-US" w:eastAsia="en-US"/>
        </w:rPr>
        <w:t>、</w:t>
      </w:r>
      <w:r>
        <w:rPr>
          <w:rFonts w:hint="default"/>
          <w:color w:val="auto"/>
          <w:highlight w:val="none"/>
          <w:lang w:val="zh-TW" w:eastAsia="zh-TW"/>
        </w:rPr>
        <w:t>荆芥属</w:t>
      </w:r>
      <w:r>
        <w:rPr>
          <w:rFonts w:hint="default"/>
          <w:color w:val="auto"/>
          <w:highlight w:val="none"/>
          <w:lang w:val="en-US" w:eastAsia="en-US"/>
        </w:rPr>
        <w:t>、</w:t>
      </w:r>
      <w:r>
        <w:rPr>
          <w:rFonts w:hint="default"/>
          <w:color w:val="auto"/>
          <w:highlight w:val="none"/>
          <w:lang w:val="zh-TW" w:eastAsia="zh-TW"/>
        </w:rPr>
        <w:t>女贞属</w:t>
      </w:r>
      <w:r>
        <w:rPr>
          <w:rFonts w:hint="default"/>
          <w:color w:val="auto"/>
          <w:highlight w:val="none"/>
          <w:lang w:val="en-US" w:eastAsia="zh-CN"/>
        </w:rPr>
        <w:t>等</w:t>
      </w:r>
      <w:r>
        <w:rPr>
          <w:rFonts w:hint="default"/>
          <w:color w:val="auto"/>
          <w:highlight w:val="none"/>
          <w:lang w:val="zh-TW" w:eastAsia="zh-TW"/>
        </w:rPr>
        <w:t>。</w:t>
      </w:r>
    </w:p>
    <w:p>
      <w:pPr>
        <w:shd w:val="clear"/>
        <w:bidi w:val="0"/>
        <w:ind w:firstLine="480" w:firstLineChars="200"/>
        <w:rPr>
          <w:rFonts w:hint="default"/>
          <w:color w:val="auto"/>
          <w:highlight w:val="none"/>
        </w:rPr>
      </w:pPr>
      <w:r>
        <w:rPr>
          <w:rFonts w:hint="default"/>
          <w:color w:val="auto"/>
          <w:highlight w:val="none"/>
          <w:lang w:val="zh-TW" w:eastAsia="zh-TW"/>
        </w:rPr>
        <w:t>温带亚洲分布</w:t>
      </w:r>
      <w:r>
        <w:rPr>
          <w:rFonts w:hint="default"/>
          <w:color w:val="auto"/>
          <w:highlight w:val="none"/>
          <w:lang w:val="zh-TW" w:eastAsia="zh-CN"/>
        </w:rPr>
        <w:t>：</w:t>
      </w:r>
      <w:r>
        <w:rPr>
          <w:rFonts w:hint="default"/>
          <w:color w:val="auto"/>
          <w:highlight w:val="none"/>
          <w:lang w:val="zh-TW" w:eastAsia="zh-TW"/>
        </w:rPr>
        <w:t>指分布区主要局限于亚洲温带地区的属，其分布区范围一般包括从中亚至东西伯利亚和东北亚，南部界限至喜马拉雅山区，我国西南、华北至东北，朝鲜和日本北部。也有一些属种分布到亚热带，个别属种到达亚洲热带，甚至到新几内亚。本区属此类型的属有附地菜属、杭子梢属等</w:t>
      </w:r>
      <w:r>
        <w:rPr>
          <w:rFonts w:hint="default"/>
          <w:color w:val="auto"/>
          <w:highlight w:val="none"/>
          <w:lang w:val="en-US" w:eastAsia="zh-CN"/>
        </w:rPr>
        <w:t>2</w:t>
      </w:r>
      <w:r>
        <w:rPr>
          <w:rFonts w:hint="default"/>
          <w:color w:val="auto"/>
          <w:highlight w:val="none"/>
          <w:lang w:val="zh-TW" w:eastAsia="zh-TW"/>
        </w:rPr>
        <w:t>属。</w:t>
      </w:r>
    </w:p>
    <w:p>
      <w:pPr>
        <w:shd w:val="clear"/>
        <w:bidi w:val="0"/>
        <w:ind w:firstLine="480" w:firstLineChars="200"/>
        <w:rPr>
          <w:rFonts w:hint="default"/>
          <w:color w:val="auto"/>
          <w:highlight w:val="none"/>
        </w:rPr>
      </w:pPr>
      <w:r>
        <w:rPr>
          <w:rFonts w:hint="default"/>
          <w:color w:val="auto"/>
          <w:highlight w:val="none"/>
          <w:lang w:val="zh-TW" w:eastAsia="zh-TW"/>
        </w:rPr>
        <w:t>地中海区、西亚至中亚分布及其变型</w:t>
      </w:r>
      <w:r>
        <w:rPr>
          <w:rFonts w:hint="default"/>
          <w:color w:val="auto"/>
          <w:highlight w:val="none"/>
          <w:lang w:val="zh-TW" w:eastAsia="zh-CN"/>
        </w:rPr>
        <w:t>：</w:t>
      </w:r>
      <w:r>
        <w:rPr>
          <w:rFonts w:hint="default"/>
          <w:color w:val="auto"/>
          <w:highlight w:val="none"/>
          <w:lang w:val="zh-TW" w:eastAsia="zh-TW"/>
        </w:rPr>
        <w:t>指分布于现代地中海周围，经过西亚和西南亚至中亚和我国新疆、青藏高原及蒙古高原一带的属。本区属于此分布型的属只有黄连木</w:t>
      </w:r>
      <w:r>
        <w:rPr>
          <w:rFonts w:hint="default"/>
          <w:color w:val="auto"/>
          <w:highlight w:val="none"/>
          <w:lang w:val="en-US" w:eastAsia="zh-CN"/>
        </w:rPr>
        <w:t>等2</w:t>
      </w:r>
      <w:r>
        <w:rPr>
          <w:rFonts w:hint="default"/>
          <w:color w:val="auto"/>
          <w:highlight w:val="none"/>
          <w:lang w:val="zh-TW" w:eastAsia="zh-TW"/>
        </w:rPr>
        <w:t>属。</w:t>
      </w:r>
    </w:p>
    <w:p>
      <w:pPr>
        <w:shd w:val="clear"/>
        <w:bidi w:val="0"/>
        <w:ind w:firstLine="480" w:firstLineChars="200"/>
        <w:rPr>
          <w:rFonts w:hint="default"/>
          <w:color w:val="auto"/>
          <w:highlight w:val="none"/>
        </w:rPr>
      </w:pPr>
      <w:r>
        <w:rPr>
          <w:rFonts w:hint="default"/>
          <w:color w:val="auto"/>
          <w:highlight w:val="none"/>
          <w:lang w:val="zh-TW" w:eastAsia="zh-TW"/>
        </w:rPr>
        <w:t>中亚分布</w:t>
      </w:r>
      <w:r>
        <w:rPr>
          <w:rFonts w:hint="default"/>
          <w:color w:val="auto"/>
          <w:highlight w:val="none"/>
          <w:lang w:val="zh-TW" w:eastAsia="zh-CN"/>
        </w:rPr>
        <w:t>：</w:t>
      </w:r>
      <w:r>
        <w:rPr>
          <w:rFonts w:hint="default"/>
          <w:color w:val="auto"/>
          <w:highlight w:val="none"/>
          <w:lang w:val="zh-TW" w:eastAsia="zh-TW"/>
        </w:rPr>
        <w:t>指仅分布于中亚，延伸至云南高原的属。本区属此分布型的有2属，这表明本区系与地中海地区的联系十分微弱。</w:t>
      </w:r>
    </w:p>
    <w:p>
      <w:pPr>
        <w:shd w:val="clear"/>
        <w:bidi w:val="0"/>
        <w:ind w:firstLine="480" w:firstLineChars="200"/>
        <w:rPr>
          <w:rFonts w:hint="default"/>
          <w:color w:val="auto"/>
          <w:highlight w:val="none"/>
        </w:rPr>
      </w:pPr>
      <w:r>
        <w:rPr>
          <w:rFonts w:hint="default"/>
          <w:color w:val="auto"/>
          <w:highlight w:val="none"/>
          <w:lang w:val="zh-TW" w:eastAsia="zh-TW"/>
        </w:rPr>
        <w:t>东亚分布</w:t>
      </w:r>
      <w:r>
        <w:rPr>
          <w:rFonts w:hint="default"/>
          <w:color w:val="auto"/>
          <w:highlight w:val="none"/>
          <w:lang w:val="zh-TW" w:eastAsia="zh-CN"/>
        </w:rPr>
        <w:t>：</w:t>
      </w:r>
      <w:r>
        <w:rPr>
          <w:rFonts w:hint="default"/>
          <w:color w:val="auto"/>
          <w:highlight w:val="none"/>
          <w:lang w:val="zh-TW" w:eastAsia="zh-TW"/>
        </w:rPr>
        <w:t>指的是从东喜马拉雅一直分布到日本的属。本区属此分布型及其变型的有</w:t>
      </w:r>
      <w:r>
        <w:rPr>
          <w:rFonts w:hint="default"/>
          <w:color w:val="auto"/>
          <w:highlight w:val="none"/>
          <w:lang w:val="en-US" w:eastAsia="zh-CN"/>
        </w:rPr>
        <w:t>12</w:t>
      </w:r>
      <w:r>
        <w:rPr>
          <w:rFonts w:hint="default"/>
          <w:color w:val="auto"/>
          <w:highlight w:val="none"/>
          <w:lang w:val="zh-TW" w:eastAsia="zh-TW"/>
        </w:rPr>
        <w:t>属。</w:t>
      </w:r>
      <w:r>
        <w:rPr>
          <w:rFonts w:hint="default"/>
          <w:color w:val="auto"/>
          <w:highlight w:val="none"/>
          <w:lang w:val="en-US" w:eastAsia="zh-CN"/>
        </w:rPr>
        <w:t>常见的有</w:t>
      </w:r>
      <w:r>
        <w:rPr>
          <w:rFonts w:hint="default"/>
          <w:color w:val="auto"/>
          <w:highlight w:val="none"/>
          <w:lang w:val="zh-TW" w:eastAsia="zh-TW"/>
        </w:rPr>
        <w:t>青刺尖属</w:t>
      </w:r>
      <w:r>
        <w:rPr>
          <w:rFonts w:hint="default"/>
          <w:color w:val="auto"/>
          <w:highlight w:val="none"/>
          <w:lang w:val="en-US" w:eastAsia="en-US"/>
        </w:rPr>
        <w:t>、</w:t>
      </w:r>
      <w:r>
        <w:rPr>
          <w:rFonts w:hint="default"/>
          <w:color w:val="auto"/>
          <w:highlight w:val="none"/>
          <w:lang w:val="zh-TW" w:eastAsia="zh-TW"/>
        </w:rPr>
        <w:t>青荚叶属</w:t>
      </w:r>
      <w:r>
        <w:rPr>
          <w:rFonts w:hint="default"/>
          <w:color w:val="auto"/>
          <w:highlight w:val="none"/>
          <w:lang w:val="en-US" w:eastAsia="en-US"/>
        </w:rPr>
        <w:t>、</w:t>
      </w:r>
      <w:r>
        <w:rPr>
          <w:rFonts w:hint="default"/>
          <w:color w:val="auto"/>
          <w:highlight w:val="none"/>
          <w:lang w:val="zh-TW" w:eastAsia="zh-TW"/>
        </w:rPr>
        <w:t>粘冠草属</w:t>
      </w:r>
      <w:r>
        <w:rPr>
          <w:rFonts w:hint="default"/>
          <w:color w:val="auto"/>
          <w:highlight w:val="none"/>
          <w:lang w:val="zh-TW" w:eastAsia="zh-CN"/>
        </w:rPr>
        <w:t>、</w:t>
      </w:r>
      <w:r>
        <w:rPr>
          <w:rFonts w:hint="default"/>
          <w:color w:val="auto"/>
          <w:highlight w:val="none"/>
          <w:lang w:val="zh-TW" w:eastAsia="zh-TW"/>
        </w:rPr>
        <w:t>半夏属</w:t>
      </w:r>
      <w:r>
        <w:rPr>
          <w:rFonts w:hint="default"/>
          <w:color w:val="auto"/>
          <w:highlight w:val="none"/>
          <w:lang w:val="en-US" w:eastAsia="en-US"/>
        </w:rPr>
        <w:t>、</w:t>
      </w:r>
      <w:r>
        <w:rPr>
          <w:rFonts w:hint="default"/>
          <w:color w:val="auto"/>
          <w:highlight w:val="none"/>
          <w:lang w:val="zh-TW" w:eastAsia="zh-TW"/>
        </w:rPr>
        <w:t>莸属、沿阶草属等，这些属的种类往往是当地不同类型群落中草本层的优势或常见成分。</w:t>
      </w:r>
    </w:p>
    <w:p>
      <w:pPr>
        <w:shd w:val="clear"/>
        <w:bidi w:val="0"/>
        <w:ind w:firstLine="480" w:firstLineChars="200"/>
        <w:rPr>
          <w:rFonts w:hint="default"/>
          <w:color w:val="auto"/>
          <w:highlight w:val="none"/>
        </w:rPr>
      </w:pPr>
      <w:r>
        <w:rPr>
          <w:rFonts w:hint="default"/>
          <w:color w:val="auto"/>
          <w:highlight w:val="none"/>
          <w:lang w:val="zh-TW" w:eastAsia="zh-TW"/>
        </w:rPr>
        <w:t>中国特有分布</w:t>
      </w:r>
      <w:r>
        <w:rPr>
          <w:rFonts w:hint="default"/>
          <w:color w:val="auto"/>
          <w:highlight w:val="none"/>
          <w:lang w:val="zh-TW" w:eastAsia="zh-CN"/>
        </w:rPr>
        <w:t>：</w:t>
      </w:r>
      <w:r>
        <w:rPr>
          <w:rFonts w:hint="default"/>
          <w:color w:val="auto"/>
          <w:highlight w:val="none"/>
          <w:lang w:val="zh-TW" w:eastAsia="zh-TW"/>
        </w:rPr>
        <w:t>以云南或西南诸省为分布中心，向东北、东或西北方向辐射并逐渐减少，主要分布于秦岭-山东以南的亚热带和热带地区。评价区仅发现</w:t>
      </w:r>
      <w:r>
        <w:rPr>
          <w:rFonts w:hint="default"/>
          <w:color w:val="auto"/>
          <w:highlight w:val="none"/>
          <w:lang w:val="en-US" w:eastAsia="zh-CN"/>
        </w:rPr>
        <w:t>2</w:t>
      </w:r>
      <w:r>
        <w:rPr>
          <w:rFonts w:hint="default"/>
          <w:color w:val="auto"/>
          <w:highlight w:val="none"/>
          <w:lang w:val="zh-TW" w:eastAsia="zh-TW"/>
        </w:rPr>
        <w:t>个中国特有属，即：地涌金莲属</w:t>
      </w:r>
      <w:r>
        <w:rPr>
          <w:rFonts w:hint="default"/>
          <w:color w:val="auto"/>
          <w:highlight w:val="none"/>
          <w:lang w:val="en-US" w:eastAsia="zh-CN"/>
        </w:rPr>
        <w:t>和杉木属</w:t>
      </w:r>
      <w:r>
        <w:rPr>
          <w:rFonts w:hint="default"/>
          <w:color w:val="auto"/>
          <w:highlight w:val="none"/>
          <w:lang w:val="en-US" w:eastAsia="en-US"/>
        </w:rPr>
        <w:t>。</w:t>
      </w:r>
    </w:p>
    <w:p>
      <w:pPr>
        <w:shd w:val="clear"/>
        <w:bidi w:val="0"/>
        <w:ind w:firstLine="480" w:firstLineChars="200"/>
        <w:rPr>
          <w:rFonts w:hint="default"/>
          <w:color w:val="auto"/>
          <w:highlight w:val="none"/>
        </w:rPr>
      </w:pPr>
      <w:r>
        <w:rPr>
          <w:rFonts w:hint="default"/>
          <w:color w:val="auto"/>
          <w:highlight w:val="none"/>
          <w:lang w:val="zh-TW" w:eastAsia="zh-TW"/>
        </w:rPr>
        <w:t>评价区内世界分布、外来物种引种及栽培植物的种类较多。这是由于当地经济开发历史久远、人口密集，尤其是近年来当地经济开发迅猛，人类活动对植被和环境破坏很大，当地生长的植物区系</w:t>
      </w:r>
      <w:r>
        <w:rPr>
          <w:rFonts w:hint="eastAsia"/>
          <w:color w:val="auto"/>
          <w:highlight w:val="none"/>
          <w:lang w:val="zh-TW" w:eastAsia="zh-CN"/>
        </w:rPr>
        <w:t>已经</w:t>
      </w:r>
      <w:r>
        <w:rPr>
          <w:rFonts w:hint="default"/>
          <w:color w:val="auto"/>
          <w:highlight w:val="none"/>
          <w:lang w:val="zh-TW" w:eastAsia="zh-TW"/>
        </w:rPr>
        <w:t>受到较为严重的人为干扰。原生植物退缩到一些不可耕种的陡坡、岩石、缺水地区，区系成分较为复杂，植物种类较多。</w:t>
      </w:r>
    </w:p>
    <w:p>
      <w:pPr>
        <w:keepNext w:val="0"/>
        <w:keepLines w:val="0"/>
        <w:pageBreakBefore w:val="0"/>
        <w:widowControl w:val="0"/>
        <w:shd w:val="clear"/>
        <w:kinsoku/>
        <w:wordWrap/>
        <w:overflowPunct/>
        <w:topLinePunct w:val="0"/>
        <w:autoSpaceDE/>
        <w:autoSpaceDN/>
        <w:bidi w:val="0"/>
        <w:adjustRightInd/>
        <w:snapToGrid/>
        <w:spacing w:line="360" w:lineRule="auto"/>
        <w:ind w:left="0" w:right="0" w:firstLine="482" w:firstLineChars="200"/>
        <w:textAlignment w:val="auto"/>
        <w:rPr>
          <w:rStyle w:val="64"/>
          <w:rFonts w:hint="default" w:ascii="Times New Roman" w:hAnsi="Times New Roman" w:eastAsia="宋体" w:cs="Times New Roman"/>
          <w:b/>
          <w:bCs/>
          <w:color w:val="auto"/>
          <w:sz w:val="24"/>
          <w:szCs w:val="24"/>
          <w:highlight w:val="none"/>
          <w:lang w:val="zh-TW" w:eastAsia="zh-TW"/>
        </w:rPr>
      </w:pPr>
      <w:r>
        <w:rPr>
          <w:rStyle w:val="64"/>
          <w:rFonts w:hint="eastAsia" w:ascii="Times New Roman" w:hAnsi="Times New Roman" w:eastAsia="宋体" w:cs="Times New Roman"/>
          <w:b/>
          <w:bCs/>
          <w:color w:val="auto"/>
          <w:sz w:val="24"/>
          <w:szCs w:val="24"/>
          <w:highlight w:val="none"/>
          <w:lang w:val="en-US" w:eastAsia="zh-CN"/>
        </w:rPr>
        <w:t>C</w:t>
      </w:r>
      <w:r>
        <w:rPr>
          <w:rStyle w:val="64"/>
          <w:rFonts w:hint="default" w:ascii="Times New Roman" w:hAnsi="Times New Roman" w:eastAsia="宋体" w:cs="Times New Roman"/>
          <w:b/>
          <w:bCs/>
          <w:color w:val="auto"/>
          <w:sz w:val="24"/>
          <w:szCs w:val="24"/>
          <w:highlight w:val="none"/>
          <w:lang w:val="en-US" w:eastAsia="zh-CN"/>
        </w:rPr>
        <w:t>、</w:t>
      </w:r>
      <w:r>
        <w:rPr>
          <w:rStyle w:val="64"/>
          <w:rFonts w:hint="default" w:ascii="Times New Roman" w:hAnsi="Times New Roman" w:eastAsia="宋体" w:cs="Times New Roman"/>
          <w:b/>
          <w:bCs/>
          <w:color w:val="auto"/>
          <w:sz w:val="24"/>
          <w:szCs w:val="24"/>
          <w:highlight w:val="none"/>
          <w:lang w:val="zh-TW" w:eastAsia="zh-TW"/>
        </w:rPr>
        <w:t>重点保护植物及名木古树资源</w:t>
      </w:r>
    </w:p>
    <w:p>
      <w:pPr>
        <w:shd w:val="clear"/>
        <w:bidi w:val="0"/>
        <w:ind w:firstLine="480" w:firstLineChars="200"/>
        <w:rPr>
          <w:rFonts w:hint="default"/>
          <w:color w:val="auto"/>
          <w:highlight w:val="none"/>
          <w:lang w:val="en-US" w:eastAsia="zh-CN"/>
        </w:rPr>
      </w:pPr>
      <w:r>
        <w:rPr>
          <w:rFonts w:hint="eastAsia"/>
          <w:color w:val="auto"/>
          <w:highlight w:val="none"/>
          <w:lang w:val="en-US" w:eastAsia="zh-CN"/>
        </w:rPr>
        <w:t>a、</w:t>
      </w:r>
      <w:r>
        <w:rPr>
          <w:rFonts w:hint="default"/>
          <w:color w:val="auto"/>
          <w:highlight w:val="none"/>
          <w:lang w:val="zh-TW" w:eastAsia="zh-TW"/>
        </w:rPr>
        <w:t>重点保护植物</w:t>
      </w:r>
      <w:r>
        <w:rPr>
          <w:rFonts w:hint="default"/>
          <w:color w:val="auto"/>
          <w:highlight w:val="none"/>
          <w:lang w:val="en-US" w:eastAsia="zh-CN"/>
        </w:rPr>
        <w:t>及珍稀濒危植物</w:t>
      </w:r>
    </w:p>
    <w:p>
      <w:pPr>
        <w:shd w:val="clear"/>
        <w:bidi w:val="0"/>
        <w:ind w:firstLine="480" w:firstLineChars="200"/>
        <w:rPr>
          <w:rFonts w:hint="default"/>
          <w:color w:val="auto"/>
          <w:highlight w:val="none"/>
        </w:rPr>
      </w:pPr>
      <w:r>
        <w:rPr>
          <w:rFonts w:hint="default"/>
          <w:color w:val="auto"/>
          <w:highlight w:val="none"/>
          <w:lang w:val="zh-TW" w:eastAsia="zh-TW"/>
        </w:rPr>
        <w:t>根据2次现场调查，参考《国家重点保护野生植物名录（国家林业和草原局农业农村部公告2021年第15号）》，《中国生物多样性红色名录一高等植物卷》</w:t>
      </w:r>
      <w:r>
        <w:rPr>
          <w:rFonts w:hint="default"/>
          <w:color w:val="auto"/>
          <w:highlight w:val="none"/>
          <w:lang w:val="en-US" w:eastAsia="en-US"/>
        </w:rPr>
        <w:t>（20</w:t>
      </w:r>
      <w:r>
        <w:rPr>
          <w:rFonts w:hint="default"/>
          <w:color w:val="auto"/>
          <w:highlight w:val="none"/>
          <w:lang w:val="en-US" w:eastAsia="zh-CN"/>
        </w:rPr>
        <w:t>20</w:t>
      </w:r>
      <w:r>
        <w:rPr>
          <w:rFonts w:hint="default"/>
          <w:color w:val="auto"/>
          <w:highlight w:val="none"/>
          <w:lang w:val="zh-TW" w:eastAsia="zh-TW"/>
        </w:rPr>
        <w:t>年），</w:t>
      </w:r>
      <w:r>
        <w:rPr>
          <w:rFonts w:hint="default"/>
          <w:color w:val="0000FF"/>
          <w:highlight w:val="none"/>
          <w:lang w:val="zh-TW" w:eastAsia="zh-TW"/>
        </w:rPr>
        <w:t>《云南省重点保护野生植物名录》</w:t>
      </w:r>
      <w:r>
        <w:rPr>
          <w:rFonts w:hint="default"/>
          <w:color w:val="0000FF"/>
          <w:highlight w:val="none"/>
          <w:lang w:val="en-US" w:eastAsia="en-US"/>
        </w:rPr>
        <w:t>（</w:t>
      </w:r>
      <w:r>
        <w:rPr>
          <w:rFonts w:hint="eastAsia"/>
          <w:color w:val="0000FF"/>
          <w:highlight w:val="none"/>
          <w:lang w:val="en-US" w:eastAsia="zh-CN"/>
        </w:rPr>
        <w:t>2023</w:t>
      </w:r>
      <w:r>
        <w:rPr>
          <w:rFonts w:hint="default"/>
          <w:color w:val="0000FF"/>
          <w:highlight w:val="none"/>
          <w:lang w:val="en-US" w:eastAsia="zh-CN"/>
        </w:rPr>
        <w:t>）</w:t>
      </w:r>
      <w:r>
        <w:rPr>
          <w:rFonts w:hint="default"/>
          <w:color w:val="0000FF"/>
          <w:highlight w:val="none"/>
          <w:lang w:val="zh-TW" w:eastAsia="zh-TW"/>
        </w:rPr>
        <w:t>等资料</w:t>
      </w:r>
      <w:r>
        <w:rPr>
          <w:rFonts w:hint="default"/>
          <w:color w:val="auto"/>
          <w:highlight w:val="none"/>
          <w:lang w:val="zh-TW" w:eastAsia="zh-TW"/>
        </w:rPr>
        <w:t>，评价范围内没有发现</w:t>
      </w:r>
      <w:r>
        <w:rPr>
          <w:rFonts w:hint="default"/>
          <w:color w:val="auto"/>
          <w:highlight w:val="none"/>
          <w:lang w:val="en-US" w:eastAsia="zh-CN"/>
        </w:rPr>
        <w:t>国家级及云南省级</w:t>
      </w:r>
      <w:r>
        <w:rPr>
          <w:rFonts w:hint="default"/>
          <w:color w:val="auto"/>
          <w:highlight w:val="none"/>
          <w:lang w:val="zh-TW" w:eastAsia="zh-TW"/>
        </w:rPr>
        <w:t>重点保护植物</w:t>
      </w:r>
      <w:r>
        <w:rPr>
          <w:rFonts w:hint="default"/>
          <w:color w:val="auto"/>
          <w:highlight w:val="none"/>
          <w:lang w:val="en-US" w:eastAsia="zh-CN"/>
        </w:rPr>
        <w:t>和各类珍稀濒危植物</w:t>
      </w:r>
      <w:r>
        <w:rPr>
          <w:rFonts w:hint="default"/>
          <w:color w:val="auto"/>
          <w:highlight w:val="none"/>
          <w:lang w:val="zh-TW" w:eastAsia="zh-TW"/>
        </w:rPr>
        <w:t>。</w:t>
      </w:r>
    </w:p>
    <w:p>
      <w:pPr>
        <w:shd w:val="clear"/>
        <w:bidi w:val="0"/>
        <w:ind w:firstLine="480" w:firstLineChars="200"/>
        <w:rPr>
          <w:rFonts w:hint="default"/>
          <w:color w:val="auto"/>
          <w:highlight w:val="none"/>
        </w:rPr>
      </w:pPr>
      <w:r>
        <w:rPr>
          <w:rFonts w:hint="eastAsia"/>
          <w:color w:val="auto"/>
          <w:highlight w:val="none"/>
          <w:lang w:val="en-US" w:eastAsia="zh-CN"/>
        </w:rPr>
        <w:t>b、</w:t>
      </w:r>
      <w:r>
        <w:rPr>
          <w:rFonts w:hint="default"/>
          <w:color w:val="auto"/>
          <w:highlight w:val="none"/>
          <w:lang w:val="zh-TW" w:eastAsia="zh-TW"/>
        </w:rPr>
        <w:t>名木古树</w:t>
      </w:r>
    </w:p>
    <w:p>
      <w:pPr>
        <w:shd w:val="clear"/>
        <w:bidi w:val="0"/>
        <w:ind w:firstLine="480" w:firstLineChars="200"/>
        <w:rPr>
          <w:rFonts w:hint="default"/>
          <w:color w:val="auto"/>
          <w:highlight w:val="none"/>
        </w:rPr>
      </w:pPr>
      <w:r>
        <w:rPr>
          <w:rFonts w:hint="default"/>
          <w:color w:val="auto"/>
          <w:highlight w:val="none"/>
          <w:lang w:val="zh-TW" w:eastAsia="zh-TW"/>
        </w:rPr>
        <w:t>按照全国绿化委员会、国家林业局文件</w:t>
      </w:r>
      <w:r>
        <w:rPr>
          <w:rFonts w:hint="default"/>
          <w:color w:val="auto"/>
          <w:highlight w:val="none"/>
          <w:lang w:val="en-US" w:eastAsia="en-US"/>
        </w:rPr>
        <w:t>（</w:t>
      </w:r>
      <w:r>
        <w:rPr>
          <w:rFonts w:hint="default"/>
          <w:color w:val="auto"/>
          <w:highlight w:val="none"/>
          <w:lang w:val="zh-TW" w:eastAsia="zh-TW"/>
        </w:rPr>
        <w:t>全绿字</w:t>
      </w:r>
      <w:r>
        <w:rPr>
          <w:rFonts w:hint="eastAsia"/>
          <w:color w:val="auto"/>
          <w:highlight w:val="none"/>
          <w:lang w:val="zh-TW" w:eastAsia="zh-CN"/>
        </w:rPr>
        <w:t>〔</w:t>
      </w:r>
      <w:r>
        <w:rPr>
          <w:rFonts w:hint="default"/>
          <w:color w:val="auto"/>
          <w:highlight w:val="none"/>
          <w:lang w:val="zh-TW" w:eastAsia="zh-TW"/>
        </w:rPr>
        <w:t>2001]15号）对古树名木的界定，古树指树龄在100年以上的树木；名木指在历史上或社会上有重大影响的中外历代名人、领袖人物所植或者具有极其重要的历史、文化价值、纪念意义的树木。古树名木的分级及标准：古树分为国家I、II、III级，国家I级古树树龄500年以上，国家</w:t>
      </w:r>
      <w:r>
        <w:rPr>
          <w:rFonts w:hint="eastAsia"/>
          <w:color w:val="auto"/>
          <w:highlight w:val="none"/>
          <w:lang w:val="zh-TW" w:eastAsia="zh-CN"/>
        </w:rPr>
        <w:t>Ⅱ级</w:t>
      </w:r>
      <w:r>
        <w:rPr>
          <w:rFonts w:hint="default"/>
          <w:color w:val="auto"/>
          <w:highlight w:val="none"/>
          <w:lang w:val="zh-TW" w:eastAsia="zh-TW"/>
        </w:rPr>
        <w:t>古树</w:t>
      </w:r>
      <w:r>
        <w:rPr>
          <w:rFonts w:hint="default"/>
          <w:color w:val="auto"/>
          <w:highlight w:val="none"/>
          <w:lang w:val="en-US" w:eastAsia="en-US"/>
        </w:rPr>
        <w:t>300-499</w:t>
      </w:r>
      <w:r>
        <w:rPr>
          <w:rFonts w:hint="default"/>
          <w:color w:val="auto"/>
          <w:highlight w:val="none"/>
          <w:lang w:val="zh-TW" w:eastAsia="zh-TW"/>
        </w:rPr>
        <w:t>年，国家III级古树</w:t>
      </w:r>
      <w:r>
        <w:rPr>
          <w:rFonts w:hint="default"/>
          <w:color w:val="auto"/>
          <w:highlight w:val="none"/>
          <w:lang w:val="en-US" w:eastAsia="en-US"/>
        </w:rPr>
        <w:t>100-299</w:t>
      </w:r>
      <w:r>
        <w:rPr>
          <w:rFonts w:hint="default"/>
          <w:color w:val="auto"/>
          <w:highlight w:val="none"/>
          <w:lang w:val="zh-TW" w:eastAsia="zh-TW"/>
        </w:rPr>
        <w:t>年。国家级名木不受年龄限制，不分级。</w:t>
      </w:r>
    </w:p>
    <w:p>
      <w:pPr>
        <w:shd w:val="clear"/>
        <w:bidi w:val="0"/>
        <w:rPr>
          <w:rFonts w:hint="default"/>
          <w:color w:val="0000FF"/>
          <w:highlight w:val="none"/>
        </w:rPr>
      </w:pPr>
      <w:r>
        <w:rPr>
          <w:rFonts w:hint="default"/>
          <w:color w:val="0000FF"/>
          <w:highlight w:val="none"/>
          <w:lang w:val="zh-TW" w:eastAsia="zh-TW"/>
        </w:rPr>
        <w:t>据野外实地调查，评价区未调查到名木古树。</w:t>
      </w:r>
    </w:p>
    <w:p>
      <w:pPr>
        <w:shd w:val="clear"/>
        <w:bidi w:val="0"/>
        <w:ind w:firstLine="480" w:firstLineChars="200"/>
        <w:rPr>
          <w:rFonts w:hint="default"/>
          <w:color w:val="auto"/>
          <w:highlight w:val="none"/>
        </w:rPr>
      </w:pPr>
      <w:r>
        <w:rPr>
          <w:rFonts w:hint="eastAsia"/>
          <w:color w:val="auto"/>
          <w:highlight w:val="none"/>
          <w:lang w:val="en-US" w:eastAsia="zh-CN"/>
        </w:rPr>
        <w:t>c、</w:t>
      </w:r>
      <w:r>
        <w:rPr>
          <w:rFonts w:hint="default"/>
          <w:color w:val="auto"/>
          <w:highlight w:val="none"/>
          <w:lang w:val="zh-TW" w:eastAsia="zh-TW"/>
        </w:rPr>
        <w:t>地方特有种</w:t>
      </w:r>
    </w:p>
    <w:p>
      <w:pPr>
        <w:shd w:val="clear"/>
        <w:bidi w:val="0"/>
        <w:ind w:firstLine="480" w:firstLineChars="200"/>
        <w:rPr>
          <w:rFonts w:hint="default"/>
          <w:color w:val="auto"/>
          <w:highlight w:val="none"/>
          <w:lang w:val="zh-TW" w:eastAsia="zh-TW"/>
        </w:rPr>
      </w:pPr>
      <w:r>
        <w:rPr>
          <w:rFonts w:hint="default"/>
          <w:color w:val="auto"/>
          <w:highlight w:val="none"/>
          <w:lang w:val="zh-TW" w:eastAsia="zh-TW"/>
        </w:rPr>
        <w:t>评价区没有发现仅分布于元谋县的狭域特有植物。</w:t>
      </w:r>
    </w:p>
    <w:p>
      <w:pPr>
        <w:keepNext w:val="0"/>
        <w:keepLines w:val="0"/>
        <w:pageBreakBefore w:val="0"/>
        <w:widowControl w:val="0"/>
        <w:numPr>
          <w:ilvl w:val="0"/>
          <w:numId w:val="0"/>
        </w:numPr>
        <w:shd w:val="clear"/>
        <w:kinsoku/>
        <w:wordWrap/>
        <w:overflowPunct/>
        <w:topLinePunct w:val="0"/>
        <w:autoSpaceDE/>
        <w:autoSpaceDN/>
        <w:bidi w:val="0"/>
        <w:adjustRightInd/>
        <w:snapToGrid w:val="0"/>
        <w:ind w:firstLine="480" w:firstLineChars="200"/>
        <w:textAlignment w:val="auto"/>
        <w:rPr>
          <w:rFonts w:hint="eastAsia"/>
          <w:color w:val="0000FF"/>
          <w:lang w:val="en-US" w:eastAsia="zh-CN"/>
        </w:rPr>
      </w:pPr>
      <w:r>
        <w:rPr>
          <w:rFonts w:hint="eastAsia"/>
          <w:color w:val="0000FF"/>
          <w:lang w:val="en-US" w:eastAsia="zh-CN"/>
        </w:rPr>
        <w:t>d、外来入侵植物</w:t>
      </w:r>
    </w:p>
    <w:p>
      <w:pPr>
        <w:shd w:val="clear"/>
        <w:bidi w:val="0"/>
        <w:ind w:firstLine="480" w:firstLineChars="200"/>
        <w:rPr>
          <w:rFonts w:hint="default"/>
          <w:color w:val="0000FF"/>
          <w:lang w:val="en-US" w:eastAsia="zh-CN"/>
        </w:rPr>
      </w:pPr>
      <w:r>
        <w:rPr>
          <w:rFonts w:hint="default"/>
          <w:color w:val="0000FF"/>
          <w:lang w:val="en-US" w:eastAsia="zh-CN"/>
        </w:rPr>
        <w:t>经现场调查得知，评价区内分布的入侵植物种类不多，但有一定的数量，主要为</w:t>
      </w:r>
      <w:r>
        <w:rPr>
          <w:rFonts w:hint="eastAsia" w:ascii="宋体" w:hAnsi="宋体"/>
          <w:color w:val="0000FF"/>
          <w:kern w:val="0"/>
          <w:sz w:val="24"/>
          <w:szCs w:val="24"/>
        </w:rPr>
        <w:t>紫茎泽兰</w:t>
      </w:r>
      <w:r>
        <w:rPr>
          <w:color w:val="0000FF"/>
          <w:kern w:val="0"/>
          <w:sz w:val="24"/>
          <w:szCs w:val="24"/>
        </w:rPr>
        <w:t xml:space="preserve"> </w:t>
      </w:r>
      <w:r>
        <w:rPr>
          <w:i/>
          <w:color w:val="0000FF"/>
          <w:kern w:val="0"/>
          <w:sz w:val="24"/>
          <w:szCs w:val="24"/>
        </w:rPr>
        <w:t>Ageratina</w:t>
      </w:r>
      <w:r>
        <w:rPr>
          <w:color w:val="0000FF"/>
          <w:kern w:val="0"/>
          <w:sz w:val="24"/>
          <w:szCs w:val="24"/>
        </w:rPr>
        <w:t xml:space="preserve"> </w:t>
      </w:r>
      <w:r>
        <w:rPr>
          <w:i/>
          <w:color w:val="0000FF"/>
          <w:kern w:val="0"/>
          <w:sz w:val="24"/>
          <w:szCs w:val="24"/>
        </w:rPr>
        <w:t>adenophora</w:t>
      </w:r>
      <w:r>
        <w:rPr>
          <w:rFonts w:hint="eastAsia"/>
          <w:i/>
          <w:color w:val="0000FF"/>
          <w:kern w:val="0"/>
          <w:sz w:val="24"/>
          <w:szCs w:val="24"/>
          <w:lang w:eastAsia="zh-CN"/>
        </w:rPr>
        <w:t>、</w:t>
      </w:r>
      <w:r>
        <w:rPr>
          <w:rFonts w:hint="eastAsia" w:ascii="宋体" w:hAnsi="宋体"/>
          <w:color w:val="0000FF"/>
          <w:kern w:val="0"/>
          <w:sz w:val="24"/>
          <w:szCs w:val="24"/>
        </w:rPr>
        <w:t>土荆芥</w:t>
      </w:r>
      <w:r>
        <w:rPr>
          <w:color w:val="0000FF"/>
          <w:kern w:val="0"/>
          <w:sz w:val="24"/>
          <w:szCs w:val="24"/>
        </w:rPr>
        <w:t xml:space="preserve"> </w:t>
      </w:r>
      <w:r>
        <w:rPr>
          <w:i/>
          <w:color w:val="0000FF"/>
          <w:kern w:val="0"/>
          <w:sz w:val="24"/>
          <w:szCs w:val="24"/>
        </w:rPr>
        <w:t>Chenopodium</w:t>
      </w:r>
      <w:r>
        <w:rPr>
          <w:color w:val="0000FF"/>
          <w:kern w:val="0"/>
          <w:sz w:val="24"/>
          <w:szCs w:val="24"/>
        </w:rPr>
        <w:t xml:space="preserve"> </w:t>
      </w:r>
      <w:r>
        <w:rPr>
          <w:i/>
          <w:color w:val="0000FF"/>
          <w:kern w:val="0"/>
          <w:sz w:val="24"/>
          <w:szCs w:val="24"/>
        </w:rPr>
        <w:t>ambrosioides</w:t>
      </w:r>
      <w:r>
        <w:rPr>
          <w:rFonts w:hint="eastAsia"/>
          <w:i/>
          <w:color w:val="0000FF"/>
          <w:kern w:val="0"/>
          <w:sz w:val="24"/>
          <w:szCs w:val="24"/>
          <w:lang w:eastAsia="zh-CN"/>
        </w:rPr>
        <w:t>、</w:t>
      </w:r>
      <w:r>
        <w:rPr>
          <w:rFonts w:hint="eastAsia" w:ascii="宋体" w:hAnsi="宋体"/>
          <w:color w:val="0000FF"/>
          <w:kern w:val="0"/>
          <w:sz w:val="24"/>
          <w:szCs w:val="24"/>
        </w:rPr>
        <w:t>喜旱莲子草</w:t>
      </w:r>
      <w:r>
        <w:rPr>
          <w:color w:val="0000FF"/>
          <w:kern w:val="0"/>
          <w:sz w:val="24"/>
          <w:szCs w:val="24"/>
        </w:rPr>
        <w:t xml:space="preserve"> </w:t>
      </w:r>
      <w:r>
        <w:rPr>
          <w:i/>
          <w:color w:val="0000FF"/>
          <w:kern w:val="0"/>
          <w:sz w:val="24"/>
          <w:szCs w:val="24"/>
        </w:rPr>
        <w:t>Alternanthera</w:t>
      </w:r>
      <w:r>
        <w:rPr>
          <w:color w:val="0000FF"/>
          <w:kern w:val="0"/>
          <w:sz w:val="24"/>
          <w:szCs w:val="24"/>
        </w:rPr>
        <w:t xml:space="preserve"> </w:t>
      </w:r>
      <w:r>
        <w:rPr>
          <w:i/>
          <w:color w:val="0000FF"/>
          <w:kern w:val="0"/>
          <w:sz w:val="24"/>
          <w:szCs w:val="24"/>
        </w:rPr>
        <w:t>philoxeroides</w:t>
      </w:r>
      <w:r>
        <w:rPr>
          <w:rFonts w:hint="default"/>
          <w:color w:val="0000FF"/>
          <w:lang w:val="en-US" w:eastAsia="zh-CN"/>
        </w:rPr>
        <w:t>藿香蓟</w:t>
      </w:r>
      <w:r>
        <w:rPr>
          <w:rFonts w:hint="default"/>
          <w:i/>
          <w:color w:val="0000FF"/>
          <w:kern w:val="0"/>
          <w:sz w:val="24"/>
          <w:szCs w:val="24"/>
          <w:lang w:val="en-US" w:eastAsia="zh-CN"/>
        </w:rPr>
        <w:t>Ageratum conyzoides</w:t>
      </w:r>
      <w:r>
        <w:rPr>
          <w:rFonts w:hint="eastAsia"/>
          <w:i w:val="0"/>
          <w:iCs/>
          <w:color w:val="0000FF"/>
          <w:kern w:val="0"/>
          <w:sz w:val="24"/>
          <w:szCs w:val="24"/>
          <w:lang w:val="en-US" w:eastAsia="zh-CN"/>
        </w:rPr>
        <w:t>、</w:t>
      </w:r>
      <w:r>
        <w:rPr>
          <w:rFonts w:hint="default"/>
          <w:color w:val="0000FF"/>
          <w:lang w:val="en-US" w:eastAsia="zh-CN"/>
        </w:rPr>
        <w:t>三叶鬼针草</w:t>
      </w:r>
      <w:r>
        <w:rPr>
          <w:rFonts w:hint="default"/>
          <w:i/>
          <w:color w:val="0000FF"/>
          <w:kern w:val="0"/>
          <w:sz w:val="24"/>
          <w:szCs w:val="24"/>
          <w:lang w:val="en-US" w:eastAsia="zh-CN"/>
        </w:rPr>
        <w:t>Bidens Pilosa</w:t>
      </w:r>
      <w:r>
        <w:rPr>
          <w:rFonts w:hint="default"/>
          <w:color w:val="0000FF"/>
          <w:lang w:val="en-US" w:eastAsia="zh-CN"/>
        </w:rPr>
        <w:t>和牛膝菊</w:t>
      </w:r>
      <w:r>
        <w:rPr>
          <w:rFonts w:hint="default"/>
          <w:i/>
          <w:color w:val="0000FF"/>
          <w:kern w:val="0"/>
          <w:sz w:val="24"/>
          <w:szCs w:val="24"/>
          <w:lang w:val="en-US" w:eastAsia="zh-CN"/>
        </w:rPr>
        <w:t>Galinsoga parviflora</w:t>
      </w:r>
      <w:r>
        <w:rPr>
          <w:rFonts w:hint="default"/>
          <w:color w:val="0000FF"/>
          <w:lang w:val="en-US" w:eastAsia="zh-CN"/>
        </w:rPr>
        <w:t>。以上植物主要分布在耕地附近或灌草丛区域，具有一定数量，尤其是</w:t>
      </w:r>
      <w:r>
        <w:rPr>
          <w:rFonts w:hint="eastAsia"/>
          <w:color w:val="0000FF"/>
          <w:lang w:val="en-US" w:eastAsia="zh-CN"/>
        </w:rPr>
        <w:t>紫茎泽兰、</w:t>
      </w:r>
      <w:r>
        <w:rPr>
          <w:rFonts w:hint="default"/>
          <w:color w:val="0000FF"/>
          <w:lang w:val="en-US" w:eastAsia="zh-CN"/>
        </w:rPr>
        <w:t>鬼针草危害较大，应注意防范。</w:t>
      </w:r>
    </w:p>
    <w:p>
      <w:pPr>
        <w:pStyle w:val="5"/>
        <w:numPr>
          <w:ilvl w:val="3"/>
          <w:numId w:val="2"/>
        </w:numPr>
        <w:shd w:val="clear"/>
        <w:bidi w:val="0"/>
        <w:ind w:left="480" w:leftChars="0" w:firstLineChars="0"/>
        <w:rPr>
          <w:rFonts w:hint="default"/>
          <w:color w:val="auto"/>
          <w:highlight w:val="none"/>
        </w:rPr>
      </w:pPr>
      <w:r>
        <w:rPr>
          <w:rFonts w:hint="default"/>
          <w:color w:val="auto"/>
          <w:highlight w:val="none"/>
          <w:lang w:val="en-US" w:eastAsia="zh-CN"/>
        </w:rPr>
        <w:t>野生动物现状调查及评价</w:t>
      </w:r>
    </w:p>
    <w:p>
      <w:pPr>
        <w:shd w:val="clear"/>
        <w:bidi w:val="0"/>
        <w:ind w:firstLine="482" w:firstLineChars="200"/>
        <w:rPr>
          <w:rFonts w:hint="default"/>
          <w:b/>
          <w:bCs/>
          <w:color w:val="auto"/>
          <w:highlight w:val="none"/>
          <w:lang w:val="en-US" w:eastAsia="zh-CN"/>
        </w:rPr>
      </w:pPr>
      <w:r>
        <w:rPr>
          <w:rFonts w:hint="eastAsia"/>
          <w:b/>
          <w:bCs/>
          <w:color w:val="auto"/>
          <w:highlight w:val="none"/>
          <w:lang w:val="zh-TW" w:eastAsia="zh-CN"/>
        </w:rPr>
        <w:t>（</w:t>
      </w:r>
      <w:r>
        <w:rPr>
          <w:rFonts w:hint="eastAsia"/>
          <w:b/>
          <w:bCs/>
          <w:color w:val="auto"/>
          <w:highlight w:val="none"/>
          <w:lang w:val="en-US" w:eastAsia="zh-CN"/>
        </w:rPr>
        <w:t>1</w:t>
      </w:r>
      <w:r>
        <w:rPr>
          <w:rFonts w:hint="eastAsia"/>
          <w:b/>
          <w:bCs/>
          <w:color w:val="auto"/>
          <w:highlight w:val="none"/>
          <w:lang w:val="zh-TW" w:eastAsia="zh-CN"/>
        </w:rPr>
        <w:t>）</w:t>
      </w:r>
      <w:r>
        <w:rPr>
          <w:rFonts w:hint="default"/>
          <w:b/>
          <w:bCs/>
          <w:color w:val="auto"/>
          <w:highlight w:val="none"/>
          <w:lang w:val="zh-TW" w:eastAsia="zh-TW"/>
        </w:rPr>
        <w:t>调查</w:t>
      </w:r>
      <w:r>
        <w:rPr>
          <w:rFonts w:hint="default"/>
          <w:b/>
          <w:bCs/>
          <w:color w:val="auto"/>
          <w:highlight w:val="none"/>
          <w:lang w:val="en-US" w:eastAsia="zh-CN"/>
        </w:rPr>
        <w:t>方法及调查</w:t>
      </w:r>
      <w:r>
        <w:rPr>
          <w:rFonts w:hint="default"/>
          <w:b/>
          <w:bCs/>
          <w:color w:val="auto"/>
          <w:highlight w:val="none"/>
          <w:lang w:val="zh-TW" w:eastAsia="zh-TW"/>
        </w:rPr>
        <w:t>时间</w:t>
      </w:r>
    </w:p>
    <w:p>
      <w:pPr>
        <w:shd w:val="clear"/>
        <w:bidi w:val="0"/>
        <w:ind w:firstLine="480" w:firstLineChars="200"/>
        <w:rPr>
          <w:rFonts w:hint="default"/>
          <w:color w:val="auto"/>
          <w:highlight w:val="none"/>
          <w:lang w:val="en-US" w:eastAsia="zh-CN"/>
        </w:rPr>
      </w:pPr>
      <w:r>
        <w:rPr>
          <w:rFonts w:hint="eastAsia"/>
          <w:color w:val="auto"/>
          <w:highlight w:val="none"/>
          <w:lang w:val="en-US" w:eastAsia="zh-CN"/>
        </w:rPr>
        <w:t>1）</w:t>
      </w:r>
      <w:r>
        <w:rPr>
          <w:rFonts w:hint="default"/>
          <w:color w:val="auto"/>
          <w:highlight w:val="none"/>
          <w:lang w:val="en-US" w:eastAsia="zh-CN"/>
        </w:rPr>
        <w:t>调查范围</w:t>
      </w:r>
    </w:p>
    <w:p>
      <w:pPr>
        <w:shd w:val="clear"/>
        <w:bidi w:val="0"/>
        <w:ind w:firstLine="480" w:firstLineChars="200"/>
        <w:rPr>
          <w:rFonts w:hint="default"/>
          <w:color w:val="auto"/>
          <w:highlight w:val="none"/>
          <w:lang w:val="zh-TW" w:eastAsia="zh-TW"/>
        </w:rPr>
      </w:pPr>
      <w:r>
        <w:rPr>
          <w:rFonts w:hint="default"/>
          <w:color w:val="auto"/>
          <w:highlight w:val="none"/>
          <w:lang w:val="zh-TW" w:eastAsia="zh-TW"/>
        </w:rPr>
        <w:t>本次调查将</w:t>
      </w:r>
      <w:r>
        <w:rPr>
          <w:rFonts w:hint="default"/>
          <w:color w:val="auto"/>
          <w:highlight w:val="none"/>
          <w:lang w:val="en-US" w:eastAsia="zh-CN"/>
        </w:rPr>
        <w:t>本</w:t>
      </w:r>
      <w:r>
        <w:rPr>
          <w:rFonts w:hint="default"/>
          <w:color w:val="auto"/>
          <w:highlight w:val="none"/>
          <w:lang w:val="zh-TW" w:eastAsia="zh-TW"/>
        </w:rPr>
        <w:t>工程的野生动物调查</w:t>
      </w:r>
      <w:r>
        <w:rPr>
          <w:rFonts w:hint="default"/>
          <w:color w:val="auto"/>
          <w:highlight w:val="none"/>
          <w:lang w:val="en-US" w:eastAsia="zh-CN"/>
        </w:rPr>
        <w:t>重点</w:t>
      </w:r>
      <w:r>
        <w:rPr>
          <w:rFonts w:hint="default"/>
          <w:color w:val="auto"/>
          <w:highlight w:val="none"/>
          <w:lang w:val="zh-TW" w:eastAsia="zh-TW"/>
        </w:rPr>
        <w:t>为工程引水</w:t>
      </w:r>
      <w:r>
        <w:rPr>
          <w:rFonts w:hint="default"/>
          <w:color w:val="auto"/>
          <w:highlight w:val="none"/>
          <w:lang w:val="en-US" w:eastAsia="zh-CN"/>
        </w:rPr>
        <w:t>线路沿线</w:t>
      </w:r>
      <w:r>
        <w:rPr>
          <w:rFonts w:hint="default"/>
          <w:color w:val="auto"/>
          <w:highlight w:val="none"/>
          <w:lang w:val="zh-TW" w:eastAsia="zh-TW"/>
        </w:rPr>
        <w:t>，其次是与评价区相邻的地区。野外调查中，主要观察记录了陆栖脊椎动物的生境状况；鸟类调查主要使用双筒望远镜观察记录；询问有关野生脊椎动物的情况；调阅了楚雄州、元谋县收集的相关资料；并查阅和参考该区域动物区系</w:t>
      </w:r>
      <w:r>
        <w:rPr>
          <w:rFonts w:hint="eastAsia"/>
          <w:color w:val="auto"/>
          <w:highlight w:val="none"/>
          <w:lang w:val="zh-TW" w:eastAsia="zh-CN"/>
        </w:rPr>
        <w:t>方面已</w:t>
      </w:r>
      <w:r>
        <w:rPr>
          <w:rFonts w:hint="default"/>
          <w:color w:val="auto"/>
          <w:highlight w:val="none"/>
          <w:lang w:val="zh-TW" w:eastAsia="zh-TW"/>
        </w:rPr>
        <w:t>发表的相关文献资料。</w:t>
      </w:r>
    </w:p>
    <w:p>
      <w:pPr>
        <w:shd w:val="clear"/>
        <w:bidi w:val="0"/>
        <w:ind w:firstLine="480" w:firstLineChars="200"/>
        <w:rPr>
          <w:rFonts w:hint="default"/>
          <w:color w:val="auto"/>
          <w:highlight w:val="none"/>
          <w:lang w:val="en-US" w:eastAsia="zh-CN"/>
        </w:rPr>
      </w:pPr>
      <w:r>
        <w:rPr>
          <w:rFonts w:hint="eastAsia"/>
          <w:color w:val="auto"/>
          <w:highlight w:val="none"/>
          <w:lang w:val="en-US" w:eastAsia="zh-CN"/>
        </w:rPr>
        <w:t>2）</w:t>
      </w:r>
      <w:r>
        <w:rPr>
          <w:rFonts w:hint="default"/>
          <w:color w:val="auto"/>
          <w:highlight w:val="none"/>
          <w:lang w:val="en-US" w:eastAsia="zh-CN"/>
        </w:rPr>
        <w:t>调查时间及人员</w:t>
      </w:r>
    </w:p>
    <w:p>
      <w:pPr>
        <w:shd w:val="clear"/>
        <w:bidi w:val="0"/>
        <w:ind w:firstLine="480" w:firstLineChars="200"/>
        <w:rPr>
          <w:rFonts w:hint="default"/>
          <w:color w:val="auto"/>
          <w:highlight w:val="none"/>
          <w:lang w:val="en-US" w:eastAsia="zh-CN"/>
        </w:rPr>
      </w:pPr>
      <w:r>
        <w:rPr>
          <w:rFonts w:hint="default"/>
          <w:color w:val="auto"/>
          <w:highlight w:val="none"/>
          <w:lang w:val="zh-TW" w:eastAsia="zh-TW"/>
        </w:rPr>
        <w:t>实地调查</w:t>
      </w:r>
      <w:r>
        <w:rPr>
          <w:rFonts w:hint="default"/>
          <w:color w:val="auto"/>
          <w:highlight w:val="none"/>
          <w:lang w:val="en-US" w:eastAsia="zh-CN"/>
        </w:rPr>
        <w:t>时间为：</w:t>
      </w:r>
      <w:r>
        <w:rPr>
          <w:rFonts w:hint="default"/>
          <w:color w:val="auto"/>
          <w:highlight w:val="none"/>
          <w:lang w:val="zh-TW" w:eastAsia="zh-TW"/>
        </w:rPr>
        <w:t>202</w:t>
      </w:r>
      <w:r>
        <w:rPr>
          <w:rFonts w:hint="default"/>
          <w:color w:val="auto"/>
          <w:highlight w:val="none"/>
          <w:lang w:val="en-US" w:eastAsia="zh-CN"/>
        </w:rPr>
        <w:t>3</w:t>
      </w:r>
      <w:r>
        <w:rPr>
          <w:rFonts w:hint="default"/>
          <w:color w:val="auto"/>
          <w:highlight w:val="none"/>
          <w:lang w:val="zh-TW" w:eastAsia="zh-TW"/>
        </w:rPr>
        <w:t>年</w:t>
      </w:r>
      <w:r>
        <w:rPr>
          <w:rFonts w:hint="default"/>
          <w:color w:val="auto"/>
          <w:highlight w:val="none"/>
          <w:lang w:val="en-US" w:eastAsia="zh-CN"/>
        </w:rPr>
        <w:t>9</w:t>
      </w:r>
      <w:r>
        <w:rPr>
          <w:rFonts w:hint="default"/>
          <w:color w:val="auto"/>
          <w:highlight w:val="none"/>
          <w:lang w:val="zh-TW" w:eastAsia="zh-TW"/>
        </w:rPr>
        <w:t>月</w:t>
      </w:r>
      <w:r>
        <w:rPr>
          <w:rFonts w:hint="default"/>
          <w:color w:val="auto"/>
          <w:highlight w:val="none"/>
          <w:lang w:val="en-US" w:eastAsia="zh-CN"/>
        </w:rPr>
        <w:t>13-17</w:t>
      </w:r>
      <w:r>
        <w:rPr>
          <w:rFonts w:hint="default"/>
          <w:color w:val="auto"/>
          <w:highlight w:val="none"/>
          <w:lang w:val="zh-TW" w:eastAsia="zh-TW"/>
        </w:rPr>
        <w:t>日、11月</w:t>
      </w:r>
      <w:r>
        <w:rPr>
          <w:rFonts w:hint="default"/>
          <w:color w:val="auto"/>
          <w:highlight w:val="none"/>
          <w:lang w:val="en-US" w:eastAsia="en-US"/>
        </w:rPr>
        <w:t>12-14</w:t>
      </w:r>
      <w:r>
        <w:rPr>
          <w:rFonts w:hint="default"/>
          <w:color w:val="auto"/>
          <w:highlight w:val="none"/>
          <w:lang w:val="zh-TW" w:eastAsia="zh-TW"/>
        </w:rPr>
        <w:t>日，202</w:t>
      </w:r>
      <w:r>
        <w:rPr>
          <w:rFonts w:hint="default"/>
          <w:color w:val="auto"/>
          <w:highlight w:val="none"/>
          <w:lang w:val="en-US" w:eastAsia="zh-CN"/>
        </w:rPr>
        <w:t>4</w:t>
      </w:r>
      <w:r>
        <w:rPr>
          <w:rFonts w:hint="default"/>
          <w:color w:val="auto"/>
          <w:highlight w:val="none"/>
          <w:lang w:val="zh-TW" w:eastAsia="zh-TW"/>
        </w:rPr>
        <w:t>年1月</w:t>
      </w:r>
      <w:r>
        <w:rPr>
          <w:rFonts w:hint="default"/>
          <w:color w:val="auto"/>
          <w:highlight w:val="none"/>
          <w:lang w:val="en-US" w:eastAsia="zh-CN"/>
        </w:rPr>
        <w:t>1-3</w:t>
      </w:r>
      <w:r>
        <w:rPr>
          <w:rFonts w:hint="default"/>
          <w:color w:val="auto"/>
          <w:highlight w:val="none"/>
          <w:lang w:val="zh-TW" w:eastAsia="zh-TW"/>
        </w:rPr>
        <w:t>日完成，有效调查时间为</w:t>
      </w:r>
      <w:r>
        <w:rPr>
          <w:rFonts w:hint="default"/>
          <w:color w:val="auto"/>
          <w:highlight w:val="none"/>
          <w:lang w:val="en-US" w:eastAsia="zh-CN"/>
        </w:rPr>
        <w:t>11</w:t>
      </w:r>
      <w:r>
        <w:rPr>
          <w:rFonts w:hint="default"/>
          <w:color w:val="auto"/>
          <w:highlight w:val="none"/>
          <w:lang w:val="zh-TW" w:eastAsia="zh-TW"/>
        </w:rPr>
        <w:t>天，调查期间</w:t>
      </w:r>
      <w:r>
        <w:rPr>
          <w:rFonts w:hint="eastAsia"/>
          <w:color w:val="auto"/>
          <w:highlight w:val="none"/>
          <w:lang w:val="zh-TW" w:eastAsia="zh-CN"/>
        </w:rPr>
        <w:t>包括</w:t>
      </w:r>
      <w:r>
        <w:rPr>
          <w:rFonts w:hint="default"/>
          <w:color w:val="auto"/>
          <w:highlight w:val="none"/>
          <w:lang w:val="zh-TW" w:eastAsia="zh-TW"/>
        </w:rPr>
        <w:t>阴天</w:t>
      </w:r>
      <w:r>
        <w:rPr>
          <w:rFonts w:hint="default"/>
          <w:color w:val="auto"/>
          <w:highlight w:val="none"/>
          <w:lang w:val="zh-TW" w:eastAsia="zh-CN"/>
        </w:rPr>
        <w:t>、</w:t>
      </w:r>
      <w:r>
        <w:rPr>
          <w:rFonts w:hint="default"/>
          <w:color w:val="auto"/>
          <w:highlight w:val="none"/>
          <w:lang w:val="zh-TW" w:eastAsia="zh-TW"/>
        </w:rPr>
        <w:t>多云</w:t>
      </w:r>
      <w:r>
        <w:rPr>
          <w:rFonts w:hint="default"/>
          <w:color w:val="auto"/>
          <w:highlight w:val="none"/>
          <w:lang w:val="en-US" w:eastAsia="zh-CN"/>
        </w:rPr>
        <w:t>及晴朗</w:t>
      </w:r>
      <w:r>
        <w:rPr>
          <w:rFonts w:hint="default"/>
          <w:color w:val="auto"/>
          <w:highlight w:val="none"/>
          <w:lang w:val="zh-TW" w:eastAsia="zh-TW"/>
        </w:rPr>
        <w:t>天气。在调查时段上，上午12时之前及下午16</w:t>
      </w:r>
      <w:r>
        <w:rPr>
          <w:rFonts w:hint="default"/>
          <w:color w:val="auto"/>
          <w:highlight w:val="none"/>
          <w:lang w:val="zh-TW" w:eastAsia="zh-CN"/>
        </w:rPr>
        <w:t>：</w:t>
      </w:r>
      <w:r>
        <w:rPr>
          <w:rFonts w:hint="default"/>
          <w:color w:val="auto"/>
          <w:highlight w:val="none"/>
          <w:lang w:val="zh-TW" w:eastAsia="zh-TW"/>
        </w:rPr>
        <w:t>30之后主要进行路线调查，其余时段主要进行访问调查、非线路区调查</w:t>
      </w:r>
      <w:r>
        <w:rPr>
          <w:rFonts w:hint="default"/>
          <w:color w:val="0000FF"/>
          <w:highlight w:val="none"/>
          <w:lang w:val="zh-TW" w:eastAsia="zh-CN"/>
        </w:rPr>
        <w:t>。</w:t>
      </w:r>
      <w:r>
        <w:rPr>
          <w:rFonts w:hint="default"/>
          <w:color w:val="0000FF"/>
          <w:highlight w:val="none"/>
          <w:lang w:val="zh-TW" w:eastAsia="zh-TW"/>
        </w:rPr>
        <w:t>重点针对</w:t>
      </w:r>
      <w:r>
        <w:rPr>
          <w:rFonts w:hint="eastAsia"/>
          <w:color w:val="0000FF"/>
          <w:highlight w:val="none"/>
          <w:lang w:val="en-US" w:eastAsia="zh-CN"/>
        </w:rPr>
        <w:t>高位水池、</w:t>
      </w:r>
      <w:r>
        <w:rPr>
          <w:rFonts w:hint="default"/>
          <w:color w:val="0000FF"/>
          <w:highlight w:val="none"/>
          <w:lang w:val="zh-TW" w:eastAsia="zh-TW"/>
        </w:rPr>
        <w:t>输水管线周边等区域进行调查。</w:t>
      </w:r>
      <w:r>
        <w:rPr>
          <w:rFonts w:hint="default"/>
          <w:color w:val="0000FF"/>
          <w:highlight w:val="none"/>
          <w:lang w:val="en-US" w:eastAsia="zh-CN"/>
        </w:rPr>
        <w:t>调查时间包括动物繁殖期，符合生态二级调查规范。</w:t>
      </w:r>
    </w:p>
    <w:p>
      <w:pPr>
        <w:shd w:val="clear"/>
        <w:bidi w:val="0"/>
        <w:ind w:firstLine="480" w:firstLineChars="200"/>
        <w:rPr>
          <w:rFonts w:hint="default"/>
          <w:color w:val="auto"/>
          <w:highlight w:val="none"/>
          <w:lang w:val="en-US" w:eastAsia="zh-CN"/>
        </w:rPr>
      </w:pPr>
      <w:r>
        <w:rPr>
          <w:rFonts w:hint="default"/>
          <w:color w:val="auto"/>
          <w:highlight w:val="none"/>
          <w:lang w:val="en-US" w:eastAsia="zh-CN"/>
        </w:rPr>
        <w:t>本次调查人员如下：</w:t>
      </w:r>
    </w:p>
    <w:p>
      <w:pPr>
        <w:pStyle w:val="62"/>
        <w:keepNext w:val="0"/>
        <w:keepLines w:val="0"/>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textAlignment w:val="auto"/>
        <w:rPr>
          <w:rStyle w:val="64"/>
          <w:rFonts w:hint="default" w:ascii="Times New Roman" w:hAnsi="Times New Roman" w:eastAsia="宋体" w:cs="Times New Roman"/>
          <w:color w:val="0000FF"/>
          <w:sz w:val="24"/>
          <w:szCs w:val="24"/>
          <w:highlight w:val="none"/>
          <w:lang w:val="zh-TW" w:eastAsia="zh-TW"/>
        </w:rPr>
      </w:pPr>
      <w:r>
        <w:rPr>
          <w:rStyle w:val="64"/>
          <w:rFonts w:hint="eastAsia" w:ascii="Times New Roman" w:hAnsi="Times New Roman" w:cs="Times New Roman"/>
          <w:color w:val="0000FF"/>
          <w:sz w:val="24"/>
          <w:szCs w:val="24"/>
          <w:highlight w:val="none"/>
          <w:lang w:val="en-US" w:eastAsia="zh-CN"/>
        </w:rPr>
        <w:t>吴亚萍</w:t>
      </w:r>
      <w:r>
        <w:rPr>
          <w:rStyle w:val="64"/>
          <w:rFonts w:hint="default" w:ascii="Times New Roman" w:hAnsi="Times New Roman" w:eastAsia="宋体" w:cs="Times New Roman"/>
          <w:color w:val="0000FF"/>
          <w:sz w:val="24"/>
          <w:szCs w:val="24"/>
          <w:highlight w:val="none"/>
          <w:lang w:val="zh-TW" w:eastAsia="zh-TW"/>
        </w:rPr>
        <w:t>，</w:t>
      </w:r>
      <w:r>
        <w:rPr>
          <w:rStyle w:val="64"/>
          <w:rFonts w:hint="eastAsia" w:ascii="Times New Roman" w:hAnsi="Times New Roman" w:cs="Times New Roman"/>
          <w:color w:val="0000FF"/>
          <w:sz w:val="24"/>
          <w:szCs w:val="24"/>
          <w:highlight w:val="none"/>
          <w:lang w:val="en-US" w:eastAsia="zh-CN"/>
        </w:rPr>
        <w:t>西南林业大学</w:t>
      </w:r>
      <w:r>
        <w:rPr>
          <w:rStyle w:val="64"/>
          <w:rFonts w:hint="default" w:ascii="Times New Roman" w:hAnsi="Times New Roman" w:eastAsia="宋体" w:cs="Times New Roman"/>
          <w:color w:val="0000FF"/>
          <w:sz w:val="24"/>
          <w:szCs w:val="24"/>
          <w:highlight w:val="none"/>
          <w:lang w:val="zh-TW" w:eastAsia="zh-TW"/>
        </w:rPr>
        <w:t>，</w:t>
      </w:r>
      <w:r>
        <w:rPr>
          <w:rStyle w:val="64"/>
          <w:rFonts w:hint="eastAsia" w:ascii="Times New Roman" w:hAnsi="Times New Roman" w:cs="Times New Roman"/>
          <w:color w:val="0000FF"/>
          <w:sz w:val="24"/>
          <w:szCs w:val="24"/>
          <w:highlight w:val="none"/>
          <w:lang w:val="en-US" w:eastAsia="zh-CN"/>
        </w:rPr>
        <w:t>硕士研究生（林</w:t>
      </w:r>
      <w:r>
        <w:rPr>
          <w:rStyle w:val="64"/>
          <w:rFonts w:hint="default" w:ascii="Times New Roman" w:hAnsi="Times New Roman" w:eastAsia="宋体" w:cs="Times New Roman"/>
          <w:color w:val="0000FF"/>
          <w:sz w:val="24"/>
          <w:szCs w:val="24"/>
          <w:highlight w:val="none"/>
          <w:lang w:val="zh-TW" w:eastAsia="zh-TW"/>
        </w:rPr>
        <w:t>学专业</w:t>
      </w:r>
      <w:r>
        <w:rPr>
          <w:rStyle w:val="64"/>
          <w:rFonts w:hint="eastAsia" w:ascii="Times New Roman" w:hAnsi="Times New Roman" w:cs="Times New Roman"/>
          <w:color w:val="0000FF"/>
          <w:sz w:val="24"/>
          <w:szCs w:val="24"/>
          <w:highlight w:val="none"/>
          <w:lang w:val="en-US" w:eastAsia="zh-CN"/>
        </w:rPr>
        <w:t>）</w:t>
      </w:r>
      <w:r>
        <w:rPr>
          <w:rStyle w:val="64"/>
          <w:rFonts w:hint="default" w:ascii="Times New Roman" w:hAnsi="Times New Roman" w:eastAsia="宋体" w:cs="Times New Roman"/>
          <w:color w:val="0000FF"/>
          <w:sz w:val="24"/>
          <w:szCs w:val="24"/>
          <w:highlight w:val="none"/>
          <w:lang w:val="zh-TW" w:eastAsia="zh-TW"/>
        </w:rPr>
        <w:t>，野外调查、数据整理及报告编制；</w:t>
      </w:r>
    </w:p>
    <w:p>
      <w:pPr>
        <w:pStyle w:val="62"/>
        <w:keepNext w:val="0"/>
        <w:keepLines w:val="0"/>
        <w:pageBreakBefore w:val="0"/>
        <w:widowControl w:val="0"/>
        <w:shd w:val="clear" w:color="auto"/>
        <w:kinsoku/>
        <w:wordWrap/>
        <w:overflowPunct/>
        <w:topLinePunct w:val="0"/>
        <w:autoSpaceDE/>
        <w:autoSpaceDN/>
        <w:bidi w:val="0"/>
        <w:adjustRightInd/>
        <w:snapToGrid/>
        <w:spacing w:before="0" w:beforeLines="0" w:after="0" w:afterLines="0" w:line="360" w:lineRule="auto"/>
        <w:ind w:left="0" w:right="0" w:firstLine="480" w:firstLineChars="200"/>
        <w:textAlignment w:val="auto"/>
        <w:rPr>
          <w:rStyle w:val="64"/>
          <w:rFonts w:hint="default" w:ascii="Times New Roman" w:hAnsi="Times New Roman" w:cs="Times New Roman"/>
          <w:color w:val="0000FF"/>
          <w:sz w:val="24"/>
          <w:szCs w:val="24"/>
          <w:highlight w:val="none"/>
          <w:lang w:val="en-US" w:eastAsia="zh-CN"/>
        </w:rPr>
      </w:pPr>
      <w:r>
        <w:rPr>
          <w:rStyle w:val="64"/>
          <w:rFonts w:hint="default" w:ascii="Times New Roman" w:hAnsi="Times New Roman" w:cs="Times New Roman"/>
          <w:color w:val="0000FF"/>
          <w:sz w:val="24"/>
          <w:szCs w:val="24"/>
          <w:highlight w:val="none"/>
          <w:lang w:val="en-US" w:eastAsia="zh-CN"/>
        </w:rPr>
        <w:t>孟凡胜，云南水工源工程设计有限公司，工程师，环境科学，野外调查、报告编制</w:t>
      </w:r>
      <w:r>
        <w:rPr>
          <w:rFonts w:hint="default"/>
          <w:color w:val="auto"/>
          <w:highlight w:val="none"/>
          <w:lang w:val="zh-TW" w:eastAsia="zh-TW"/>
        </w:rPr>
        <w:t>。</w:t>
      </w:r>
    </w:p>
    <w:p>
      <w:pPr>
        <w:shd w:val="clear"/>
        <w:bidi w:val="0"/>
        <w:ind w:firstLine="480" w:firstLineChars="200"/>
        <w:rPr>
          <w:rFonts w:hint="default"/>
          <w:color w:val="0000FF"/>
          <w:highlight w:val="none"/>
          <w:lang w:val="en-US" w:eastAsia="zh-CN"/>
        </w:rPr>
      </w:pPr>
      <w:r>
        <w:rPr>
          <w:rFonts w:hint="eastAsia"/>
          <w:color w:val="0000FF"/>
          <w:highlight w:val="none"/>
          <w:lang w:val="en-US" w:eastAsia="zh-CN"/>
        </w:rPr>
        <w:t>3）</w:t>
      </w:r>
      <w:r>
        <w:rPr>
          <w:rFonts w:hint="default"/>
          <w:color w:val="0000FF"/>
          <w:highlight w:val="none"/>
          <w:lang w:val="en-US" w:eastAsia="zh-CN"/>
        </w:rPr>
        <w:t>调查方法</w:t>
      </w:r>
    </w:p>
    <w:p>
      <w:pPr>
        <w:shd w:val="clear"/>
        <w:bidi w:val="0"/>
        <w:ind w:firstLine="480" w:firstLineChars="200"/>
        <w:rPr>
          <w:rFonts w:hint="default"/>
          <w:color w:val="0000FF"/>
          <w:highlight w:val="none"/>
          <w:lang w:val="en-US" w:eastAsia="zh-CN"/>
        </w:rPr>
      </w:pPr>
      <w:r>
        <w:rPr>
          <w:rFonts w:hint="default"/>
          <w:color w:val="0000FF"/>
          <w:highlight w:val="none"/>
          <w:lang w:val="zh-TW" w:eastAsia="zh-TW"/>
        </w:rPr>
        <w:t>鉴于各陆生脊椎动物类群的生物学和生态学特点，本次调查主要采用了路线调查、访问调查以及生境判定法。调查期间，除了对调查路线出现的动物进行记录以外，对出现在调查区，但未出现在调查路线和位点的动物也进行记录。此外，对调查区内出现的国家级和云南省省级保护动物发现点进行定位记录。</w:t>
      </w:r>
    </w:p>
    <w:p>
      <w:pPr>
        <w:shd w:val="clear"/>
        <w:bidi w:val="0"/>
        <w:ind w:firstLine="480" w:firstLineChars="200"/>
        <w:rPr>
          <w:rFonts w:hint="default"/>
          <w:color w:val="0000FF"/>
          <w:highlight w:val="none"/>
        </w:rPr>
      </w:pPr>
      <w:r>
        <w:rPr>
          <w:rFonts w:hint="eastAsia"/>
          <w:color w:val="0000FF"/>
          <w:highlight w:val="none"/>
          <w:lang w:val="en-US" w:eastAsia="zh-CN"/>
        </w:rPr>
        <w:t>①</w:t>
      </w:r>
      <w:r>
        <w:rPr>
          <w:rFonts w:hint="default"/>
          <w:color w:val="0000FF"/>
          <w:highlight w:val="none"/>
          <w:lang w:val="zh-TW" w:eastAsia="zh-TW"/>
        </w:rPr>
        <w:t>路线调查</w:t>
      </w:r>
      <w:r>
        <w:rPr>
          <w:rFonts w:hint="default"/>
          <w:color w:val="0000FF"/>
          <w:highlight w:val="none"/>
          <w:lang w:val="zh-TW" w:eastAsia="zh-CN"/>
        </w:rPr>
        <w:t>：</w:t>
      </w:r>
      <w:r>
        <w:rPr>
          <w:rFonts w:hint="default"/>
          <w:color w:val="0000FF"/>
          <w:highlight w:val="none"/>
          <w:lang w:val="zh-TW" w:eastAsia="zh-TW"/>
        </w:rPr>
        <w:t>在调查区内根据不同海拔、不同生境布设调查路线。基于以上前提，主要利用调查区内现有的公路、小路、便道、机耕道路作为调查路线，沿途利用卡尔蔡司、尼康等品牌的</w:t>
      </w:r>
      <w:r>
        <w:rPr>
          <w:rFonts w:hint="default"/>
          <w:color w:val="0000FF"/>
          <w:highlight w:val="none"/>
          <w:lang w:val="en-US" w:eastAsia="en-US"/>
        </w:rPr>
        <w:t>8</w:t>
      </w:r>
      <w:r>
        <w:rPr>
          <w:rFonts w:hint="default"/>
          <w:color w:val="0000FF"/>
          <w:highlight w:val="none"/>
        </w:rPr>
        <w:t>x</w:t>
      </w:r>
      <w:r>
        <w:rPr>
          <w:rFonts w:hint="default"/>
          <w:color w:val="0000FF"/>
          <w:highlight w:val="none"/>
          <w:lang w:val="en-US" w:eastAsia="en-US"/>
        </w:rPr>
        <w:t>42</w:t>
      </w:r>
      <w:r>
        <w:rPr>
          <w:rFonts w:hint="default"/>
          <w:color w:val="0000FF"/>
          <w:highlight w:val="none"/>
          <w:lang w:val="zh-TW" w:eastAsia="zh-TW"/>
        </w:rPr>
        <w:t>双筒望远镜进行观察记录路线两侧（视野范围内，不定宽）出现的动物实体和踪迹（粪便、足迹、羽毛等），鉴定其种类，记录个体数量以及生境类型等资料。在调查过程中，对调查路线沿途听到动物鸣声也进行鉴定记录。本次调查共设置调查路线</w:t>
      </w:r>
      <w:r>
        <w:rPr>
          <w:rFonts w:hint="default"/>
          <w:color w:val="0000FF"/>
          <w:highlight w:val="none"/>
          <w:lang w:val="en-US" w:eastAsia="zh-CN"/>
        </w:rPr>
        <w:t>12</w:t>
      </w:r>
      <w:r>
        <w:rPr>
          <w:rFonts w:hint="default"/>
          <w:color w:val="0000FF"/>
          <w:highlight w:val="none"/>
          <w:lang w:val="zh-TW" w:eastAsia="zh-TW"/>
        </w:rPr>
        <w:t>条，每种生境设置</w:t>
      </w:r>
      <w:r>
        <w:rPr>
          <w:rFonts w:hint="default"/>
          <w:color w:val="0000FF"/>
          <w:highlight w:val="none"/>
          <w:lang w:val="en-US" w:eastAsia="zh-CN"/>
        </w:rPr>
        <w:t>3</w:t>
      </w:r>
      <w:r>
        <w:rPr>
          <w:rFonts w:hint="default"/>
          <w:color w:val="0000FF"/>
          <w:highlight w:val="none"/>
          <w:lang w:val="zh-TW" w:eastAsia="zh-TW"/>
        </w:rPr>
        <w:t>条调查线路，共</w:t>
      </w:r>
      <w:r>
        <w:rPr>
          <w:rFonts w:hint="default"/>
          <w:color w:val="0000FF"/>
          <w:highlight w:val="none"/>
          <w:lang w:val="en-US" w:eastAsia="zh-CN"/>
        </w:rPr>
        <w:t>23.14</w:t>
      </w:r>
      <w:r>
        <w:rPr>
          <w:rFonts w:hint="default"/>
          <w:color w:val="0000FF"/>
          <w:highlight w:val="none"/>
        </w:rPr>
        <w:t>km</w:t>
      </w:r>
      <w:r>
        <w:rPr>
          <w:rFonts w:hint="default"/>
          <w:color w:val="0000FF"/>
          <w:highlight w:val="none"/>
          <w:lang w:val="en-US" w:eastAsia="en-US"/>
        </w:rPr>
        <w:t>。</w:t>
      </w:r>
    </w:p>
    <w:p>
      <w:pPr>
        <w:shd w:val="clear"/>
        <w:bidi w:val="0"/>
        <w:ind w:firstLine="480" w:firstLineChars="200"/>
        <w:rPr>
          <w:rFonts w:hint="default"/>
          <w:color w:val="0000FF"/>
          <w:highlight w:val="none"/>
        </w:rPr>
      </w:pPr>
      <w:r>
        <w:rPr>
          <w:rFonts w:hint="eastAsia"/>
          <w:color w:val="0000FF"/>
          <w:highlight w:val="none"/>
          <w:lang w:val="en-US" w:eastAsia="zh-CN"/>
        </w:rPr>
        <w:t>②</w:t>
      </w:r>
      <w:r>
        <w:rPr>
          <w:rFonts w:hint="default"/>
          <w:color w:val="0000FF"/>
          <w:highlight w:val="none"/>
          <w:lang w:val="zh-TW" w:eastAsia="zh-TW"/>
        </w:rPr>
        <w:t>访问调查</w:t>
      </w:r>
      <w:r>
        <w:rPr>
          <w:rFonts w:hint="default"/>
          <w:color w:val="0000FF"/>
          <w:highlight w:val="none"/>
          <w:lang w:val="zh-TW" w:eastAsia="zh-CN"/>
        </w:rPr>
        <w:t>：</w:t>
      </w:r>
      <w:r>
        <w:rPr>
          <w:rFonts w:hint="default"/>
          <w:color w:val="0000FF"/>
          <w:highlight w:val="none"/>
          <w:lang w:val="zh-TW" w:eastAsia="zh-TW"/>
        </w:rPr>
        <w:t>由于调查季节、调查时间的限制，且部分动物的警惕性较高，在实地调查过程中难以遇见，故访查调查可有效收集调查区内辨识度较高的动物资料。本次访查对象主要为调查区内的居民和劳作人员等。访查内容主要为：①调查区及周边可见的大中型动物主要有哪些；②当地历史上和现在是否存在狩猎习俗，主要狩猎对象有哪些；③当地是否有毒蛇分布，大概特征是什么；④当地主要的食用蛙类有哪些；在调查区是否有分布</w:t>
      </w:r>
      <w:r>
        <w:rPr>
          <w:rFonts w:hint="default"/>
          <w:color w:val="0000FF"/>
          <w:highlight w:val="none"/>
          <w:lang w:val="zh-TW" w:eastAsia="zh-CN"/>
        </w:rPr>
        <w:t>；</w:t>
      </w:r>
      <w:r>
        <w:rPr>
          <w:rFonts w:hint="default"/>
          <w:color w:val="0000FF"/>
          <w:highlight w:val="none"/>
          <w:lang w:val="zh-TW" w:eastAsia="zh-TW"/>
        </w:rPr>
        <w:t>⑤周边是否有秋季夜间上山采用灯光或火光捕鸟的情况；⑥秋季夜间是否有鸟类飞入村舍的现象；⑦秋季夜间是否听到鸟叫声；⑧调查区周边是否有秋季捕鹰场所。</w:t>
      </w:r>
    </w:p>
    <w:p>
      <w:pPr>
        <w:shd w:val="clear"/>
        <w:bidi w:val="0"/>
        <w:ind w:firstLine="480" w:firstLineChars="200"/>
        <w:rPr>
          <w:rFonts w:hint="default"/>
          <w:color w:val="0000FF"/>
          <w:highlight w:val="none"/>
        </w:rPr>
      </w:pPr>
      <w:r>
        <w:rPr>
          <w:rFonts w:hint="eastAsia"/>
          <w:color w:val="0000FF"/>
          <w:highlight w:val="none"/>
          <w:lang w:val="en-US" w:eastAsia="zh-CN"/>
        </w:rPr>
        <w:t>③</w:t>
      </w:r>
      <w:r>
        <w:rPr>
          <w:rFonts w:hint="default"/>
          <w:color w:val="0000FF"/>
          <w:highlight w:val="none"/>
          <w:lang w:val="zh-TW" w:eastAsia="zh-TW"/>
        </w:rPr>
        <w:t>资料查阅及生境判定</w:t>
      </w:r>
      <w:r>
        <w:rPr>
          <w:rFonts w:hint="default"/>
          <w:color w:val="0000FF"/>
          <w:highlight w:val="none"/>
          <w:lang w:val="zh-TW" w:eastAsia="zh-CN"/>
        </w:rPr>
        <w:t>：</w:t>
      </w:r>
      <w:r>
        <w:rPr>
          <w:rFonts w:hint="default"/>
          <w:color w:val="0000FF"/>
          <w:highlight w:val="none"/>
          <w:lang w:val="zh-TW" w:eastAsia="zh-TW"/>
        </w:rPr>
        <w:t>调查人员根据《中国两栖动物及其分布彩色图鉴》、《云南两栖爬行动物》、《云南两栖类志》、《中国爬行动物图鉴》、《中国蛇类》、《中国鸟类野外手册》、《中国鸟类观察手册》、《中国哺乳动物多样性及地理分布》、《中国兽类野外手册》等书籍记录的动物生境、习性和分布，结合项目区的地理位置、生境类型、人为干扰程度等信息，判定项目调查区可能分布的脊椎动物。此外，还引用调查组成员在项目区周边永仁县、楚雄和攀枝花地区等的历史调查资料。</w:t>
      </w:r>
    </w:p>
    <w:p>
      <w:pPr>
        <w:shd w:val="clear"/>
        <w:bidi w:val="0"/>
        <w:ind w:firstLine="480" w:firstLineChars="200"/>
        <w:rPr>
          <w:rFonts w:hint="default"/>
          <w:color w:val="0000FF"/>
          <w:highlight w:val="none"/>
        </w:rPr>
      </w:pPr>
      <w:r>
        <w:rPr>
          <w:rFonts w:hint="eastAsia"/>
          <w:color w:val="0000FF"/>
          <w:highlight w:val="none"/>
          <w:lang w:val="en-US" w:eastAsia="zh-CN"/>
        </w:rPr>
        <w:t>④</w:t>
      </w:r>
      <w:r>
        <w:rPr>
          <w:rFonts w:hint="default"/>
          <w:color w:val="0000FF"/>
          <w:highlight w:val="none"/>
          <w:lang w:val="zh-TW" w:eastAsia="zh-TW"/>
        </w:rPr>
        <w:t>分类系统及编目</w:t>
      </w:r>
      <w:r>
        <w:rPr>
          <w:rFonts w:hint="default"/>
          <w:color w:val="0000FF"/>
          <w:highlight w:val="none"/>
          <w:lang w:val="zh-TW" w:eastAsia="zh-CN"/>
        </w:rPr>
        <w:t>：</w:t>
      </w:r>
      <w:r>
        <w:rPr>
          <w:rFonts w:hint="default"/>
          <w:color w:val="0000FF"/>
          <w:highlight w:val="none"/>
          <w:lang w:val="zh-TW" w:eastAsia="zh-TW"/>
        </w:rPr>
        <w:t>兽类的名称、分类和排序参照</w:t>
      </w:r>
      <w:r>
        <w:rPr>
          <w:rFonts w:hint="eastAsia"/>
          <w:color w:val="0000FF"/>
          <w:highlight w:val="none"/>
          <w:lang w:val="zh-TW" w:eastAsia="zh-CN"/>
        </w:rPr>
        <w:t>“</w:t>
      </w:r>
      <w:r>
        <w:rPr>
          <w:rFonts w:hint="default"/>
          <w:color w:val="0000FF"/>
          <w:highlight w:val="none"/>
          <w:lang w:val="zh-TW" w:eastAsia="zh-TW"/>
        </w:rPr>
        <w:t>中国兽类名录</w:t>
      </w:r>
      <w:r>
        <w:rPr>
          <w:rFonts w:hint="default"/>
          <w:color w:val="0000FF"/>
          <w:highlight w:val="none"/>
          <w:lang w:val="en-US" w:eastAsia="en-US"/>
        </w:rPr>
        <w:t>（2021</w:t>
      </w:r>
      <w:r>
        <w:rPr>
          <w:rFonts w:hint="default"/>
          <w:color w:val="0000FF"/>
          <w:highlight w:val="none"/>
          <w:lang w:val="zh-TW" w:eastAsia="zh-TW"/>
        </w:rPr>
        <w:t>版</w:t>
      </w:r>
      <w:r>
        <w:rPr>
          <w:rFonts w:hint="default"/>
          <w:color w:val="0000FF"/>
          <w:highlight w:val="none"/>
          <w:lang w:val="en-US" w:eastAsia="en-US"/>
        </w:rPr>
        <w:t>）</w:t>
      </w:r>
      <w:r>
        <w:rPr>
          <w:rFonts w:hint="eastAsia"/>
          <w:color w:val="0000FF"/>
          <w:highlight w:val="none"/>
          <w:lang w:val="zh-TW" w:eastAsia="zh-CN"/>
        </w:rPr>
        <w:t>”</w:t>
      </w:r>
      <w:r>
        <w:rPr>
          <w:rFonts w:hint="default"/>
          <w:color w:val="0000FF"/>
          <w:highlight w:val="none"/>
          <w:lang w:val="zh-TW" w:eastAsia="zh-TW"/>
        </w:rPr>
        <w:t>（魏辅文等，</w:t>
      </w:r>
      <w:r>
        <w:rPr>
          <w:rFonts w:hint="default"/>
          <w:color w:val="0000FF"/>
          <w:highlight w:val="none"/>
          <w:lang w:val="en-US" w:eastAsia="en-US"/>
        </w:rPr>
        <w:t>2021</w:t>
      </w:r>
      <w:r>
        <w:rPr>
          <w:rFonts w:hint="default"/>
          <w:color w:val="0000FF"/>
          <w:highlight w:val="none"/>
          <w:lang w:val="en-US" w:eastAsia="zh-CN"/>
        </w:rPr>
        <w:t>）</w:t>
      </w:r>
      <w:r>
        <w:rPr>
          <w:rFonts w:hint="default"/>
          <w:color w:val="0000FF"/>
          <w:highlight w:val="none"/>
          <w:lang w:val="zh-TW" w:eastAsia="zh-TW"/>
        </w:rPr>
        <w:t>进行编目。鸟类的名称、分类和排序参照《中国鸟类分类与分布名录</w:t>
      </w:r>
      <w:r>
        <w:rPr>
          <w:rFonts w:hint="default"/>
          <w:color w:val="0000FF"/>
          <w:highlight w:val="none"/>
          <w:lang w:val="en-US" w:eastAsia="en-US"/>
        </w:rPr>
        <w:t>（</w:t>
      </w:r>
      <w:r>
        <w:rPr>
          <w:rFonts w:hint="default"/>
          <w:color w:val="0000FF"/>
          <w:highlight w:val="none"/>
          <w:lang w:val="zh-TW" w:eastAsia="zh-TW"/>
        </w:rPr>
        <w:t>第三版）》（郑光美，</w:t>
      </w:r>
      <w:r>
        <w:rPr>
          <w:rFonts w:hint="default"/>
          <w:color w:val="0000FF"/>
          <w:highlight w:val="none"/>
          <w:lang w:val="en-US" w:eastAsia="en-US"/>
        </w:rPr>
        <w:t>2017</w:t>
      </w:r>
      <w:r>
        <w:rPr>
          <w:rFonts w:hint="default"/>
          <w:color w:val="0000FF"/>
          <w:highlight w:val="none"/>
          <w:lang w:val="en-US" w:eastAsia="zh-CN"/>
        </w:rPr>
        <w:t>）</w:t>
      </w:r>
      <w:r>
        <w:rPr>
          <w:rFonts w:hint="default"/>
          <w:color w:val="0000FF"/>
          <w:highlight w:val="none"/>
          <w:lang w:val="zh-TW" w:eastAsia="zh-TW"/>
        </w:rPr>
        <w:t>进行编目。爬行类的名称、分类和排序参照</w:t>
      </w:r>
      <w:r>
        <w:rPr>
          <w:rFonts w:hint="eastAsia"/>
          <w:color w:val="0000FF"/>
          <w:highlight w:val="none"/>
          <w:lang w:val="zh-TW" w:eastAsia="zh-CN"/>
        </w:rPr>
        <w:t>“</w:t>
      </w:r>
      <w:r>
        <w:rPr>
          <w:rFonts w:hint="default"/>
          <w:color w:val="0000FF"/>
          <w:highlight w:val="none"/>
          <w:lang w:val="zh-TW" w:eastAsia="zh-TW"/>
        </w:rPr>
        <w:t>中国两栖、爬行动物更新名录</w:t>
      </w:r>
      <w:r>
        <w:rPr>
          <w:rFonts w:hint="eastAsia"/>
          <w:color w:val="0000FF"/>
          <w:highlight w:val="none"/>
          <w:lang w:val="zh-TW" w:eastAsia="zh-CN"/>
        </w:rPr>
        <w:t>”</w:t>
      </w:r>
      <w:r>
        <w:rPr>
          <w:rFonts w:hint="default"/>
          <w:color w:val="0000FF"/>
          <w:highlight w:val="none"/>
          <w:lang w:val="zh-TW" w:eastAsia="zh-CN"/>
        </w:rPr>
        <w:t>（</w:t>
      </w:r>
      <w:r>
        <w:rPr>
          <w:rFonts w:hint="default"/>
          <w:color w:val="0000FF"/>
          <w:highlight w:val="none"/>
          <w:lang w:val="zh-TW" w:eastAsia="zh-TW"/>
        </w:rPr>
        <w:t>王剀等，</w:t>
      </w:r>
      <w:r>
        <w:rPr>
          <w:rFonts w:hint="default"/>
          <w:color w:val="0000FF"/>
          <w:highlight w:val="none"/>
          <w:lang w:val="en-US" w:eastAsia="en-US"/>
        </w:rPr>
        <w:t>2020</w:t>
      </w:r>
      <w:r>
        <w:rPr>
          <w:rFonts w:hint="default"/>
          <w:color w:val="0000FF"/>
          <w:highlight w:val="none"/>
          <w:lang w:val="en-US" w:eastAsia="zh-CN"/>
        </w:rPr>
        <w:t>）</w:t>
      </w:r>
      <w:r>
        <w:rPr>
          <w:rFonts w:hint="default"/>
          <w:color w:val="0000FF"/>
          <w:highlight w:val="none"/>
          <w:lang w:val="zh-TW" w:eastAsia="zh-TW"/>
        </w:rPr>
        <w:t>进行编目。两栖类的名称、分类和排序参照</w:t>
      </w:r>
      <w:r>
        <w:rPr>
          <w:rFonts w:hint="eastAsia"/>
          <w:color w:val="0000FF"/>
          <w:highlight w:val="none"/>
          <w:lang w:val="zh-TW" w:eastAsia="zh-CN"/>
        </w:rPr>
        <w:t>“</w:t>
      </w:r>
      <w:r>
        <w:rPr>
          <w:rFonts w:hint="default"/>
          <w:color w:val="0000FF"/>
          <w:highlight w:val="none"/>
          <w:lang w:val="zh-TW" w:eastAsia="zh-TW"/>
        </w:rPr>
        <w:t>中国两栖类</w:t>
      </w:r>
      <w:r>
        <w:rPr>
          <w:rFonts w:hint="eastAsia"/>
          <w:color w:val="0000FF"/>
          <w:highlight w:val="none"/>
          <w:lang w:val="zh-TW" w:eastAsia="zh-CN"/>
        </w:rPr>
        <w:t>”</w:t>
      </w:r>
      <w:r>
        <w:rPr>
          <w:rFonts w:hint="default"/>
          <w:color w:val="0000FF"/>
          <w:highlight w:val="none"/>
          <w:lang w:val="zh-TW" w:eastAsia="zh-TW"/>
        </w:rPr>
        <w:t>信息系统</w:t>
      </w:r>
      <w:r>
        <w:rPr>
          <w:rFonts w:hint="default"/>
          <w:color w:val="0000FF"/>
          <w:highlight w:val="none"/>
          <w:lang w:val="en-US" w:eastAsia="zh-CN"/>
        </w:rPr>
        <w:t>（</w:t>
      </w:r>
      <w:r>
        <w:rPr>
          <w:rFonts w:hint="default"/>
          <w:color w:val="0000FF"/>
          <w:highlight w:val="none"/>
          <w:lang w:val="en-US" w:eastAsia="en-US"/>
        </w:rPr>
        <w:t>2022</w:t>
      </w:r>
      <w:r>
        <w:rPr>
          <w:rFonts w:hint="default"/>
          <w:color w:val="0000FF"/>
          <w:highlight w:val="none"/>
          <w:lang w:val="en-US" w:eastAsia="zh-CN"/>
        </w:rPr>
        <w:t>）</w:t>
      </w:r>
      <w:r>
        <w:rPr>
          <w:rFonts w:hint="default"/>
          <w:color w:val="0000FF"/>
          <w:highlight w:val="none"/>
          <w:lang w:val="zh-TW" w:eastAsia="zh-TW"/>
        </w:rPr>
        <w:t>进行编目。</w:t>
      </w:r>
    </w:p>
    <w:p>
      <w:pPr>
        <w:numPr>
          <w:ilvl w:val="0"/>
          <w:numId w:val="0"/>
        </w:numPr>
        <w:shd w:val="clear"/>
        <w:bidi w:val="0"/>
        <w:ind w:firstLine="480" w:firstLineChars="200"/>
        <w:rPr>
          <w:rFonts w:hint="default"/>
          <w:color w:val="0000FF"/>
          <w:highlight w:val="none"/>
          <w:lang w:val="zh-TW" w:eastAsia="zh-TW"/>
        </w:rPr>
      </w:pPr>
      <w:r>
        <w:rPr>
          <w:rFonts w:hint="eastAsia"/>
          <w:color w:val="0000FF"/>
          <w:highlight w:val="none"/>
          <w:lang w:val="en-US" w:eastAsia="zh-CN"/>
        </w:rPr>
        <w:t>⑤</w:t>
      </w:r>
      <w:r>
        <w:rPr>
          <w:rFonts w:hint="default"/>
          <w:color w:val="0000FF"/>
          <w:highlight w:val="none"/>
          <w:lang w:val="zh-TW" w:eastAsia="zh-TW"/>
        </w:rPr>
        <w:t>保护界定</w:t>
      </w:r>
      <w:r>
        <w:rPr>
          <w:rFonts w:hint="default"/>
          <w:color w:val="0000FF"/>
          <w:highlight w:val="none"/>
          <w:lang w:val="zh-TW" w:eastAsia="zh-CN"/>
        </w:rPr>
        <w:t>：</w:t>
      </w:r>
      <w:r>
        <w:rPr>
          <w:rFonts w:hint="default"/>
          <w:color w:val="0000FF"/>
          <w:highlight w:val="none"/>
          <w:lang w:val="zh-TW" w:eastAsia="zh-TW"/>
        </w:rPr>
        <w:t>动物的保护级别界定主要依据《国家重点保护野生动物名录》（2021</w:t>
      </w:r>
      <w:r>
        <w:rPr>
          <w:rFonts w:hint="default"/>
          <w:color w:val="0000FF"/>
          <w:highlight w:val="none"/>
          <w:lang w:val="zh-TW" w:eastAsia="zh-CN"/>
        </w:rPr>
        <w:t>）</w:t>
      </w:r>
      <w:r>
        <w:rPr>
          <w:rFonts w:hint="default"/>
          <w:color w:val="0000FF"/>
          <w:highlight w:val="none"/>
          <w:lang w:val="zh-TW" w:eastAsia="zh-TW"/>
        </w:rPr>
        <w:t>、《云南省省级重点保护野生动物名录》（1988</w:t>
      </w:r>
      <w:r>
        <w:rPr>
          <w:rFonts w:hint="default"/>
          <w:color w:val="0000FF"/>
          <w:highlight w:val="none"/>
          <w:lang w:val="zh-TW" w:eastAsia="zh-CN"/>
        </w:rPr>
        <w:t>）</w:t>
      </w:r>
      <w:r>
        <w:rPr>
          <w:rFonts w:hint="default"/>
          <w:color w:val="0000FF"/>
          <w:highlight w:val="none"/>
          <w:lang w:val="zh-TW" w:eastAsia="zh-TW"/>
        </w:rPr>
        <w:t>、《</w:t>
      </w:r>
      <w:r>
        <w:rPr>
          <w:rFonts w:hint="default"/>
          <w:color w:val="0000FF"/>
          <w:highlight w:val="none"/>
          <w:lang w:val="en-US" w:eastAsia="zh-CN"/>
        </w:rPr>
        <w:t>中国生物多样性红色名录——脊椎动物卷</w:t>
      </w:r>
      <w:r>
        <w:rPr>
          <w:rFonts w:hint="default"/>
          <w:color w:val="0000FF"/>
          <w:highlight w:val="none"/>
          <w:lang w:val="zh-TW" w:eastAsia="zh-TW"/>
        </w:rPr>
        <w:t>》（20</w:t>
      </w:r>
      <w:r>
        <w:rPr>
          <w:rFonts w:hint="default"/>
          <w:color w:val="0000FF"/>
          <w:highlight w:val="none"/>
          <w:lang w:val="en-US" w:eastAsia="zh-CN"/>
        </w:rPr>
        <w:t>20</w:t>
      </w:r>
      <w:r>
        <w:rPr>
          <w:rFonts w:hint="default"/>
          <w:color w:val="0000FF"/>
          <w:highlight w:val="none"/>
          <w:lang w:val="zh-TW" w:eastAsia="zh-CN"/>
        </w:rPr>
        <w:t>）</w:t>
      </w:r>
      <w:r>
        <w:rPr>
          <w:rFonts w:hint="default"/>
          <w:color w:val="0000FF"/>
          <w:highlight w:val="none"/>
          <w:lang w:val="zh-TW" w:eastAsia="zh-TW"/>
        </w:rPr>
        <w:t>。</w:t>
      </w:r>
    </w:p>
    <w:p>
      <w:pPr>
        <w:shd w:val="clear"/>
        <w:bidi w:val="0"/>
        <w:ind w:firstLine="482" w:firstLineChars="200"/>
        <w:rPr>
          <w:rFonts w:hint="default"/>
          <w:b/>
          <w:bCs/>
          <w:color w:val="auto"/>
          <w:highlight w:val="none"/>
          <w:lang w:val="en-US" w:eastAsia="zh-CN"/>
        </w:rPr>
      </w:pPr>
      <w:r>
        <w:rPr>
          <w:rFonts w:hint="eastAsia"/>
          <w:b/>
          <w:bCs/>
          <w:color w:val="auto"/>
          <w:highlight w:val="none"/>
          <w:lang w:val="zh-TW" w:eastAsia="zh-CN"/>
        </w:rPr>
        <w:t>（</w:t>
      </w:r>
      <w:r>
        <w:rPr>
          <w:rFonts w:hint="eastAsia"/>
          <w:b/>
          <w:bCs/>
          <w:color w:val="auto"/>
          <w:highlight w:val="none"/>
          <w:lang w:val="en-US" w:eastAsia="zh-CN"/>
        </w:rPr>
        <w:t>2</w:t>
      </w:r>
      <w:r>
        <w:rPr>
          <w:rFonts w:hint="eastAsia"/>
          <w:b/>
          <w:bCs/>
          <w:color w:val="auto"/>
          <w:highlight w:val="none"/>
          <w:lang w:val="zh-TW" w:eastAsia="zh-CN"/>
        </w:rPr>
        <w:t>）</w:t>
      </w:r>
      <w:r>
        <w:rPr>
          <w:rFonts w:hint="default"/>
          <w:b/>
          <w:bCs/>
          <w:color w:val="auto"/>
          <w:highlight w:val="none"/>
          <w:lang w:val="zh-TW" w:eastAsia="zh-TW"/>
        </w:rPr>
        <w:t>动物资源现状</w:t>
      </w:r>
    </w:p>
    <w:p>
      <w:pPr>
        <w:shd w:val="clear"/>
        <w:bidi w:val="0"/>
        <w:ind w:firstLine="480" w:firstLineChars="200"/>
        <w:rPr>
          <w:rFonts w:hint="default"/>
          <w:color w:val="0000FF"/>
          <w:highlight w:val="none"/>
        </w:rPr>
      </w:pPr>
      <w:bookmarkStart w:id="543" w:name="bookmark105"/>
      <w:r>
        <w:rPr>
          <w:rFonts w:hint="default"/>
          <w:color w:val="0000FF"/>
          <w:highlight w:val="none"/>
          <w:lang w:val="zh-TW" w:eastAsia="zh-TW"/>
        </w:rPr>
        <w:t>工程区域所处地理位置在中国动物地理二级区划中属于东洋界、中印亚界、西南区、西南山地亚区，在云南陆栖脊椎动物地理三级区划中属于西南山地亚区，滇中高原小区。根据实地调查、访谈和查阅相关文献资料，评价区及附近地区分布陆生脊椎动物4纲1</w:t>
      </w:r>
      <w:r>
        <w:rPr>
          <w:rFonts w:hint="default"/>
          <w:color w:val="0000FF"/>
          <w:highlight w:val="none"/>
          <w:lang w:val="en-US" w:eastAsia="zh-CN"/>
        </w:rPr>
        <w:t>4</w:t>
      </w:r>
      <w:r>
        <w:rPr>
          <w:rFonts w:hint="default"/>
          <w:color w:val="0000FF"/>
          <w:highlight w:val="none"/>
          <w:lang w:val="zh-TW" w:eastAsia="zh-TW"/>
        </w:rPr>
        <w:t>目</w:t>
      </w:r>
      <w:r>
        <w:rPr>
          <w:rFonts w:hint="eastAsia"/>
          <w:color w:val="0000FF"/>
          <w:highlight w:val="none"/>
          <w:lang w:val="en-US" w:eastAsia="zh-CN"/>
        </w:rPr>
        <w:t>36</w:t>
      </w:r>
      <w:r>
        <w:rPr>
          <w:rFonts w:hint="default"/>
          <w:color w:val="0000FF"/>
          <w:highlight w:val="none"/>
          <w:lang w:val="zh-TW" w:eastAsia="zh-TW"/>
        </w:rPr>
        <w:t>科</w:t>
      </w:r>
      <w:r>
        <w:rPr>
          <w:rFonts w:hint="eastAsia"/>
          <w:color w:val="0000FF"/>
          <w:highlight w:val="none"/>
          <w:lang w:val="en-US" w:eastAsia="zh-CN"/>
        </w:rPr>
        <w:t>53</w:t>
      </w:r>
      <w:r>
        <w:rPr>
          <w:rFonts w:hint="default"/>
          <w:color w:val="0000FF"/>
          <w:highlight w:val="none"/>
          <w:lang w:val="zh-TW" w:eastAsia="zh-TW"/>
        </w:rPr>
        <w:t>属</w:t>
      </w:r>
      <w:r>
        <w:rPr>
          <w:rFonts w:hint="eastAsia"/>
          <w:color w:val="0000FF"/>
          <w:highlight w:val="none"/>
          <w:lang w:val="en-US" w:eastAsia="zh-CN"/>
        </w:rPr>
        <w:t>6</w:t>
      </w:r>
      <w:r>
        <w:rPr>
          <w:rFonts w:hint="default"/>
          <w:color w:val="0000FF"/>
          <w:highlight w:val="none"/>
          <w:lang w:val="en-US" w:eastAsia="zh-CN"/>
        </w:rPr>
        <w:t>6</w:t>
      </w:r>
      <w:r>
        <w:rPr>
          <w:rFonts w:hint="default"/>
          <w:color w:val="0000FF"/>
          <w:highlight w:val="none"/>
          <w:lang w:val="zh-TW" w:eastAsia="zh-TW"/>
        </w:rPr>
        <w:t>种，包括两栖类（纲</w:t>
      </w:r>
      <w:r>
        <w:rPr>
          <w:rFonts w:hint="default"/>
          <w:color w:val="0000FF"/>
          <w:highlight w:val="none"/>
          <w:lang w:val="en-US" w:eastAsia="en-US"/>
        </w:rPr>
        <w:t>）</w:t>
      </w:r>
      <w:r>
        <w:rPr>
          <w:rFonts w:hint="default"/>
          <w:color w:val="0000FF"/>
          <w:highlight w:val="none"/>
          <w:lang w:val="zh-TW" w:eastAsia="zh-TW"/>
        </w:rPr>
        <w:t>1目</w:t>
      </w:r>
      <w:r>
        <w:rPr>
          <w:rFonts w:hint="eastAsia"/>
          <w:color w:val="0000FF"/>
          <w:highlight w:val="none"/>
          <w:lang w:val="en-US" w:eastAsia="zh-CN"/>
        </w:rPr>
        <w:t>3</w:t>
      </w:r>
      <w:r>
        <w:rPr>
          <w:rFonts w:hint="default"/>
          <w:color w:val="0000FF"/>
          <w:highlight w:val="none"/>
          <w:lang w:val="zh-TW" w:eastAsia="zh-TW"/>
        </w:rPr>
        <w:t>科</w:t>
      </w:r>
      <w:r>
        <w:rPr>
          <w:rFonts w:hint="eastAsia"/>
          <w:color w:val="0000FF"/>
          <w:highlight w:val="none"/>
          <w:lang w:val="en-US" w:eastAsia="zh-CN"/>
        </w:rPr>
        <w:t>4</w:t>
      </w:r>
      <w:r>
        <w:rPr>
          <w:rFonts w:hint="default"/>
          <w:color w:val="0000FF"/>
          <w:highlight w:val="none"/>
          <w:lang w:val="zh-TW" w:eastAsia="zh-TW"/>
        </w:rPr>
        <w:t>属</w:t>
      </w:r>
      <w:r>
        <w:rPr>
          <w:rFonts w:hint="eastAsia"/>
          <w:color w:val="0000FF"/>
          <w:highlight w:val="none"/>
          <w:lang w:val="en-US" w:eastAsia="zh-CN"/>
        </w:rPr>
        <w:t>5</w:t>
      </w:r>
      <w:r>
        <w:rPr>
          <w:rFonts w:hint="default"/>
          <w:color w:val="0000FF"/>
          <w:highlight w:val="none"/>
          <w:lang w:val="zh-TW" w:eastAsia="zh-TW"/>
        </w:rPr>
        <w:t>种；爬行类（纲</w:t>
      </w:r>
      <w:r>
        <w:rPr>
          <w:rFonts w:hint="default"/>
          <w:color w:val="0000FF"/>
          <w:highlight w:val="none"/>
          <w:lang w:val="en-US" w:eastAsia="en-US"/>
        </w:rPr>
        <w:t>）</w:t>
      </w:r>
      <w:r>
        <w:rPr>
          <w:rFonts w:hint="eastAsia"/>
          <w:color w:val="0000FF"/>
          <w:highlight w:val="none"/>
          <w:lang w:val="en-US" w:eastAsia="zh-CN"/>
        </w:rPr>
        <w:t>2</w:t>
      </w:r>
      <w:r>
        <w:rPr>
          <w:rFonts w:hint="default"/>
          <w:color w:val="0000FF"/>
          <w:highlight w:val="none"/>
          <w:lang w:val="zh-TW" w:eastAsia="zh-TW"/>
        </w:rPr>
        <w:t>目</w:t>
      </w:r>
      <w:r>
        <w:rPr>
          <w:rFonts w:hint="default"/>
          <w:color w:val="0000FF"/>
          <w:highlight w:val="none"/>
          <w:lang w:val="en-US" w:eastAsia="zh-CN"/>
        </w:rPr>
        <w:t>3</w:t>
      </w:r>
      <w:r>
        <w:rPr>
          <w:rFonts w:hint="default"/>
          <w:color w:val="0000FF"/>
          <w:highlight w:val="none"/>
          <w:lang w:val="zh-TW" w:eastAsia="zh-TW"/>
        </w:rPr>
        <w:t>科</w:t>
      </w:r>
      <w:r>
        <w:rPr>
          <w:rFonts w:hint="eastAsia"/>
          <w:color w:val="0000FF"/>
          <w:highlight w:val="none"/>
          <w:lang w:val="en-US" w:eastAsia="zh-CN"/>
        </w:rPr>
        <w:t>4</w:t>
      </w:r>
      <w:r>
        <w:rPr>
          <w:rFonts w:hint="default"/>
          <w:color w:val="0000FF"/>
          <w:highlight w:val="none"/>
          <w:lang w:val="zh-TW" w:eastAsia="zh-TW"/>
        </w:rPr>
        <w:t>属</w:t>
      </w:r>
      <w:r>
        <w:rPr>
          <w:rFonts w:hint="eastAsia"/>
          <w:color w:val="0000FF"/>
          <w:highlight w:val="none"/>
          <w:lang w:val="en-US" w:eastAsia="zh-CN"/>
        </w:rPr>
        <w:t>4</w:t>
      </w:r>
      <w:r>
        <w:rPr>
          <w:rFonts w:hint="default"/>
          <w:color w:val="0000FF"/>
          <w:highlight w:val="none"/>
          <w:lang w:val="zh-TW" w:eastAsia="zh-TW"/>
        </w:rPr>
        <w:t>种；鸟类（纲</w:t>
      </w:r>
      <w:r>
        <w:rPr>
          <w:rFonts w:hint="default"/>
          <w:color w:val="0000FF"/>
          <w:highlight w:val="none"/>
          <w:lang w:val="en-US" w:eastAsia="en-US"/>
        </w:rPr>
        <w:t>）</w:t>
      </w:r>
      <w:r>
        <w:rPr>
          <w:rFonts w:hint="default"/>
          <w:color w:val="0000FF"/>
          <w:highlight w:val="none"/>
          <w:lang w:val="en-US" w:eastAsia="zh-CN"/>
        </w:rPr>
        <w:t>8</w:t>
      </w:r>
      <w:r>
        <w:rPr>
          <w:rFonts w:hint="default"/>
          <w:color w:val="0000FF"/>
          <w:highlight w:val="none"/>
          <w:lang w:val="zh-TW" w:eastAsia="zh-TW"/>
        </w:rPr>
        <w:t>目2</w:t>
      </w:r>
      <w:r>
        <w:rPr>
          <w:rFonts w:hint="eastAsia"/>
          <w:color w:val="0000FF"/>
          <w:highlight w:val="none"/>
          <w:lang w:val="en-US" w:eastAsia="zh-CN"/>
        </w:rPr>
        <w:t>4</w:t>
      </w:r>
      <w:r>
        <w:rPr>
          <w:rFonts w:hint="default"/>
          <w:color w:val="0000FF"/>
          <w:highlight w:val="none"/>
          <w:lang w:val="zh-TW" w:eastAsia="zh-TW"/>
        </w:rPr>
        <w:t>科</w:t>
      </w:r>
      <w:r>
        <w:rPr>
          <w:rFonts w:hint="eastAsia"/>
          <w:color w:val="0000FF"/>
          <w:highlight w:val="none"/>
          <w:lang w:val="en-US" w:eastAsia="zh-CN"/>
        </w:rPr>
        <w:t>37</w:t>
      </w:r>
      <w:r>
        <w:rPr>
          <w:rFonts w:hint="default"/>
          <w:color w:val="0000FF"/>
          <w:highlight w:val="none"/>
          <w:lang w:val="zh-TW" w:eastAsia="zh-TW"/>
        </w:rPr>
        <w:t>属</w:t>
      </w:r>
      <w:r>
        <w:rPr>
          <w:rFonts w:hint="eastAsia"/>
          <w:color w:val="0000FF"/>
          <w:highlight w:val="none"/>
          <w:lang w:val="en-US" w:eastAsia="zh-CN"/>
        </w:rPr>
        <w:t>4</w:t>
      </w:r>
      <w:r>
        <w:rPr>
          <w:rFonts w:hint="default"/>
          <w:color w:val="0000FF"/>
          <w:highlight w:val="none"/>
          <w:lang w:val="en-US" w:eastAsia="zh-CN"/>
        </w:rPr>
        <w:t>7</w:t>
      </w:r>
      <w:r>
        <w:rPr>
          <w:rFonts w:hint="default"/>
          <w:color w:val="0000FF"/>
          <w:highlight w:val="none"/>
          <w:lang w:val="zh-TW" w:eastAsia="zh-TW"/>
        </w:rPr>
        <w:t>种；哺乳类（纲</w:t>
      </w:r>
      <w:r>
        <w:rPr>
          <w:rFonts w:hint="default"/>
          <w:color w:val="0000FF"/>
          <w:highlight w:val="none"/>
          <w:lang w:val="en-US" w:eastAsia="en-US"/>
        </w:rPr>
        <w:t>）</w:t>
      </w:r>
      <w:r>
        <w:rPr>
          <w:rFonts w:hint="eastAsia"/>
          <w:color w:val="0000FF"/>
          <w:highlight w:val="none"/>
          <w:lang w:val="en-US" w:eastAsia="zh-CN"/>
        </w:rPr>
        <w:t>3</w:t>
      </w:r>
      <w:r>
        <w:rPr>
          <w:rFonts w:hint="default"/>
          <w:color w:val="0000FF"/>
          <w:highlight w:val="none"/>
          <w:lang w:val="zh-TW" w:eastAsia="zh-TW"/>
        </w:rPr>
        <w:t>目</w:t>
      </w:r>
      <w:r>
        <w:rPr>
          <w:rFonts w:hint="eastAsia"/>
          <w:color w:val="0000FF"/>
          <w:highlight w:val="none"/>
          <w:lang w:val="en-US" w:eastAsia="zh-CN"/>
        </w:rPr>
        <w:t>6</w:t>
      </w:r>
      <w:r>
        <w:rPr>
          <w:rFonts w:hint="default"/>
          <w:color w:val="0000FF"/>
          <w:highlight w:val="none"/>
          <w:lang w:val="zh-TW" w:eastAsia="zh-TW"/>
        </w:rPr>
        <w:t>科</w:t>
      </w:r>
      <w:r>
        <w:rPr>
          <w:rFonts w:hint="eastAsia"/>
          <w:color w:val="0000FF"/>
          <w:highlight w:val="none"/>
          <w:lang w:val="en-US" w:eastAsia="zh-CN"/>
        </w:rPr>
        <w:t>8</w:t>
      </w:r>
      <w:r>
        <w:rPr>
          <w:rFonts w:hint="default"/>
          <w:color w:val="0000FF"/>
          <w:highlight w:val="none"/>
          <w:lang w:val="zh-TW" w:eastAsia="zh-TW"/>
        </w:rPr>
        <w:t>属</w:t>
      </w:r>
      <w:r>
        <w:rPr>
          <w:rFonts w:hint="eastAsia"/>
          <w:color w:val="0000FF"/>
          <w:highlight w:val="none"/>
          <w:lang w:val="en-US" w:eastAsia="zh-CN"/>
        </w:rPr>
        <w:t>9</w:t>
      </w:r>
      <w:r>
        <w:rPr>
          <w:rFonts w:hint="default"/>
          <w:color w:val="0000FF"/>
          <w:highlight w:val="none"/>
          <w:lang w:val="zh-TW" w:eastAsia="zh-TW"/>
        </w:rPr>
        <w:t>种。</w:t>
      </w:r>
    </w:p>
    <w:p>
      <w:pPr>
        <w:shd w:val="clear"/>
        <w:bidi w:val="0"/>
        <w:ind w:firstLine="480" w:firstLineChars="200"/>
        <w:rPr>
          <w:rFonts w:hint="default" w:ascii="Times New Roman" w:hAnsi="Times New Roman" w:eastAsia="宋体" w:cs="Times New Roman"/>
          <w:color w:val="0000FF"/>
          <w:szCs w:val="24"/>
          <w:highlight w:val="none"/>
        </w:rPr>
      </w:pPr>
      <w:r>
        <w:rPr>
          <w:rFonts w:hint="default"/>
          <w:color w:val="0000FF"/>
          <w:highlight w:val="none"/>
          <w:lang w:val="zh-TW" w:eastAsia="zh-TW"/>
        </w:rPr>
        <w:t>根据实地调查并参考该区域动物区系方面的相关资料，目前评价区分布有陆栖脊椎动物</w:t>
      </w:r>
      <w:r>
        <w:rPr>
          <w:rFonts w:hint="eastAsia"/>
          <w:color w:val="0000FF"/>
          <w:highlight w:val="none"/>
          <w:lang w:val="en-US" w:eastAsia="zh-CN"/>
        </w:rPr>
        <w:t>6</w:t>
      </w:r>
      <w:r>
        <w:rPr>
          <w:rFonts w:hint="default"/>
          <w:color w:val="0000FF"/>
          <w:highlight w:val="none"/>
          <w:lang w:val="en-US" w:eastAsia="zh-CN"/>
        </w:rPr>
        <w:t>6</w:t>
      </w:r>
      <w:r>
        <w:rPr>
          <w:rFonts w:hint="default"/>
          <w:color w:val="0000FF"/>
          <w:highlight w:val="none"/>
          <w:lang w:val="zh-TW" w:eastAsia="zh-TW"/>
        </w:rPr>
        <w:t>种，具体分布在各纲中的数量见表</w:t>
      </w:r>
      <w:r>
        <w:rPr>
          <w:rFonts w:hint="eastAsia"/>
          <w:color w:val="0000FF"/>
          <w:highlight w:val="none"/>
          <w:lang w:val="en-US" w:eastAsia="zh-CN"/>
        </w:rPr>
        <w:t>4.2.5</w:t>
      </w:r>
      <w:r>
        <w:rPr>
          <w:rFonts w:hint="default"/>
          <w:color w:val="0000FF"/>
          <w:highlight w:val="none"/>
          <w:lang w:val="zh-TW" w:eastAsia="zh-TW"/>
        </w:rPr>
        <w:t>-</w:t>
      </w:r>
      <w:r>
        <w:rPr>
          <w:rFonts w:hint="eastAsia"/>
          <w:color w:val="0000FF"/>
          <w:highlight w:val="none"/>
          <w:lang w:val="en-US" w:eastAsia="zh-CN"/>
        </w:rPr>
        <w:t>7及附录2</w:t>
      </w:r>
      <w:r>
        <w:rPr>
          <w:rFonts w:hint="default"/>
          <w:color w:val="0000FF"/>
          <w:highlight w:val="none"/>
          <w:lang w:val="zh-TW" w:eastAsia="zh-TW"/>
        </w:rPr>
        <w:t>。</w:t>
      </w:r>
    </w:p>
    <w:p>
      <w:pPr>
        <w:pStyle w:val="40"/>
        <w:shd w:val="clear"/>
        <w:bidi w:val="0"/>
        <w:rPr>
          <w:rFonts w:hint="default"/>
          <w:color w:val="0000FF"/>
          <w:highlight w:val="none"/>
          <w:lang w:val="zh-TW" w:eastAsia="zh-TW"/>
        </w:rPr>
      </w:pPr>
      <w:r>
        <w:rPr>
          <w:rFonts w:hint="default"/>
          <w:color w:val="0000FF"/>
          <w:highlight w:val="none"/>
          <w:lang w:val="zh-TW" w:eastAsia="zh-TW"/>
        </w:rPr>
        <w:t>表</w:t>
      </w:r>
      <w:r>
        <w:rPr>
          <w:rFonts w:hint="eastAsia"/>
          <w:color w:val="0000FF"/>
          <w:highlight w:val="none"/>
          <w:lang w:val="en-US" w:eastAsia="zh-CN"/>
        </w:rPr>
        <w:t>4.2.5</w:t>
      </w:r>
      <w:r>
        <w:rPr>
          <w:rFonts w:hint="default"/>
          <w:color w:val="0000FF"/>
          <w:highlight w:val="none"/>
          <w:lang w:val="en-US" w:eastAsia="en-US"/>
        </w:rPr>
        <w:t>-</w:t>
      </w:r>
      <w:r>
        <w:rPr>
          <w:rFonts w:hint="eastAsia"/>
          <w:color w:val="0000FF"/>
          <w:highlight w:val="none"/>
          <w:lang w:val="en-US" w:eastAsia="zh-CN"/>
        </w:rPr>
        <w:t xml:space="preserve">7  </w:t>
      </w:r>
      <w:r>
        <w:rPr>
          <w:rFonts w:hint="default"/>
          <w:color w:val="0000FF"/>
          <w:highlight w:val="none"/>
          <w:lang w:val="zh-TW" w:eastAsia="zh-TW"/>
        </w:rPr>
        <w:t>调查区陆生脊椎动物组成情况表</w:t>
      </w:r>
    </w:p>
    <w:tbl>
      <w:tblPr>
        <w:tblStyle w:val="29"/>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935"/>
        <w:gridCol w:w="3044"/>
        <w:gridCol w:w="1103"/>
        <w:gridCol w:w="1103"/>
        <w:gridCol w:w="1103"/>
        <w:gridCol w:w="102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1" w:hRule="exact"/>
          <w:jc w:val="center"/>
        </w:trPr>
        <w:tc>
          <w:tcPr>
            <w:tcW w:w="562"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序号</w:t>
            </w:r>
          </w:p>
        </w:tc>
        <w:tc>
          <w:tcPr>
            <w:tcW w:w="1830"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纲</w:t>
            </w:r>
          </w:p>
        </w:tc>
        <w:tc>
          <w:tcPr>
            <w:tcW w:w="663"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目</w:t>
            </w:r>
          </w:p>
        </w:tc>
        <w:tc>
          <w:tcPr>
            <w:tcW w:w="663"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科</w:t>
            </w:r>
          </w:p>
        </w:tc>
        <w:tc>
          <w:tcPr>
            <w:tcW w:w="663"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属</w:t>
            </w:r>
          </w:p>
        </w:tc>
        <w:tc>
          <w:tcPr>
            <w:tcW w:w="616" w:type="pct"/>
            <w:tcBorders>
              <w:top w:val="single" w:color="auto" w:sz="4" w:space="0"/>
              <w:left w:val="single" w:color="auto" w:sz="4" w:space="0"/>
              <w:bottom w:val="nil"/>
              <w:right w:val="single" w:color="auto" w:sz="4" w:space="0"/>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36" w:hRule="exact"/>
          <w:jc w:val="center"/>
        </w:trPr>
        <w:tc>
          <w:tcPr>
            <w:tcW w:w="562"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1</w:t>
            </w:r>
          </w:p>
        </w:tc>
        <w:tc>
          <w:tcPr>
            <w:tcW w:w="1830"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两栖纲</w:t>
            </w:r>
            <w:r>
              <w:rPr>
                <w:rFonts w:hint="default"/>
                <w:color w:val="0000FF"/>
                <w:highlight w:val="none"/>
              </w:rPr>
              <w:t>AMPHIBIAN</w:t>
            </w:r>
          </w:p>
        </w:tc>
        <w:tc>
          <w:tcPr>
            <w:tcW w:w="663"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1</w:t>
            </w:r>
          </w:p>
        </w:tc>
        <w:tc>
          <w:tcPr>
            <w:tcW w:w="663"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lang w:eastAsia="zh-CN"/>
              </w:rPr>
            </w:pPr>
            <w:r>
              <w:rPr>
                <w:rFonts w:hint="eastAsia"/>
                <w:color w:val="0000FF"/>
                <w:highlight w:val="none"/>
                <w:lang w:val="en-US" w:eastAsia="zh-CN"/>
              </w:rPr>
              <w:t>3</w:t>
            </w:r>
          </w:p>
        </w:tc>
        <w:tc>
          <w:tcPr>
            <w:tcW w:w="663"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lang w:eastAsia="zh-CN"/>
              </w:rPr>
            </w:pPr>
            <w:r>
              <w:rPr>
                <w:rFonts w:hint="eastAsia"/>
                <w:color w:val="0000FF"/>
                <w:highlight w:val="none"/>
                <w:lang w:val="en-US" w:eastAsia="zh-CN"/>
              </w:rPr>
              <w:t>4</w:t>
            </w:r>
          </w:p>
        </w:tc>
        <w:tc>
          <w:tcPr>
            <w:tcW w:w="616" w:type="pct"/>
            <w:tcBorders>
              <w:top w:val="single" w:color="auto" w:sz="4" w:space="0"/>
              <w:left w:val="single" w:color="auto" w:sz="4" w:space="0"/>
              <w:bottom w:val="nil"/>
              <w:right w:val="single" w:color="auto" w:sz="4" w:space="0"/>
              <w:tl2br w:val="nil"/>
              <w:tr2bl w:val="nil"/>
            </w:tcBorders>
            <w:shd w:val="clear" w:color="auto" w:fill="FFFFFF"/>
            <w:noWrap w:val="0"/>
            <w:vAlign w:val="center"/>
          </w:tcPr>
          <w:p>
            <w:pPr>
              <w:pStyle w:val="42"/>
              <w:shd w:val="clear"/>
              <w:bidi w:val="0"/>
              <w:rPr>
                <w:rFonts w:hint="default"/>
                <w:color w:val="0000FF"/>
                <w:highlight w:val="none"/>
                <w:lang w:eastAsia="zh-CN"/>
              </w:rPr>
            </w:pPr>
            <w:r>
              <w:rPr>
                <w:rFonts w:hint="eastAsia"/>
                <w:color w:val="0000FF"/>
                <w:highlight w:val="none"/>
                <w:lang w:val="en-US" w:eastAsia="zh-CN"/>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36" w:hRule="exact"/>
          <w:jc w:val="center"/>
        </w:trPr>
        <w:tc>
          <w:tcPr>
            <w:tcW w:w="562"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2</w:t>
            </w:r>
          </w:p>
        </w:tc>
        <w:tc>
          <w:tcPr>
            <w:tcW w:w="1830"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爬行纲</w:t>
            </w:r>
            <w:r>
              <w:rPr>
                <w:rFonts w:hint="default"/>
                <w:color w:val="0000FF"/>
                <w:highlight w:val="none"/>
              </w:rPr>
              <w:t>REPTILIA</w:t>
            </w:r>
          </w:p>
        </w:tc>
        <w:tc>
          <w:tcPr>
            <w:tcW w:w="663"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eastAsia" w:eastAsia="宋体"/>
                <w:color w:val="0000FF"/>
                <w:highlight w:val="none"/>
                <w:lang w:eastAsia="zh-CN"/>
              </w:rPr>
            </w:pPr>
            <w:r>
              <w:rPr>
                <w:rFonts w:hint="eastAsia"/>
                <w:color w:val="0000FF"/>
                <w:highlight w:val="none"/>
                <w:lang w:val="en-US" w:eastAsia="zh-CN"/>
              </w:rPr>
              <w:t>2</w:t>
            </w:r>
          </w:p>
        </w:tc>
        <w:tc>
          <w:tcPr>
            <w:tcW w:w="663"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lang w:eastAsia="zh-CN"/>
              </w:rPr>
            </w:pPr>
            <w:r>
              <w:rPr>
                <w:rFonts w:hint="default"/>
                <w:color w:val="0000FF"/>
                <w:highlight w:val="none"/>
                <w:lang w:val="en-US" w:eastAsia="zh-CN"/>
              </w:rPr>
              <w:t>3</w:t>
            </w:r>
          </w:p>
        </w:tc>
        <w:tc>
          <w:tcPr>
            <w:tcW w:w="663"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lang w:eastAsia="zh-CN"/>
              </w:rPr>
            </w:pPr>
            <w:r>
              <w:rPr>
                <w:rFonts w:hint="eastAsia"/>
                <w:color w:val="0000FF"/>
                <w:highlight w:val="none"/>
                <w:lang w:val="en-US" w:eastAsia="zh-CN"/>
              </w:rPr>
              <w:t>4</w:t>
            </w:r>
          </w:p>
        </w:tc>
        <w:tc>
          <w:tcPr>
            <w:tcW w:w="616" w:type="pct"/>
            <w:tcBorders>
              <w:top w:val="single" w:color="auto" w:sz="4" w:space="0"/>
              <w:left w:val="single" w:color="auto" w:sz="4" w:space="0"/>
              <w:bottom w:val="nil"/>
              <w:right w:val="single" w:color="auto" w:sz="4" w:space="0"/>
              <w:tl2br w:val="nil"/>
              <w:tr2bl w:val="nil"/>
            </w:tcBorders>
            <w:shd w:val="clear" w:color="auto" w:fill="FFFFFF"/>
            <w:noWrap w:val="0"/>
            <w:vAlign w:val="center"/>
          </w:tcPr>
          <w:p>
            <w:pPr>
              <w:pStyle w:val="42"/>
              <w:shd w:val="clear"/>
              <w:bidi w:val="0"/>
              <w:rPr>
                <w:rFonts w:hint="default"/>
                <w:color w:val="0000FF"/>
                <w:highlight w:val="none"/>
                <w:lang w:eastAsia="zh-CN"/>
              </w:rPr>
            </w:pPr>
            <w:r>
              <w:rPr>
                <w:rFonts w:hint="eastAsia"/>
                <w:color w:val="0000FF"/>
                <w:highlight w:val="none"/>
                <w:lang w:val="en-US" w:eastAsia="zh-CN"/>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36" w:hRule="exact"/>
          <w:jc w:val="center"/>
        </w:trPr>
        <w:tc>
          <w:tcPr>
            <w:tcW w:w="562"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3</w:t>
            </w:r>
          </w:p>
        </w:tc>
        <w:tc>
          <w:tcPr>
            <w:tcW w:w="1830"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鸟纲</w:t>
            </w:r>
            <w:r>
              <w:rPr>
                <w:rFonts w:hint="default"/>
                <w:color w:val="0000FF"/>
                <w:highlight w:val="none"/>
              </w:rPr>
              <w:t>AVES</w:t>
            </w:r>
          </w:p>
        </w:tc>
        <w:tc>
          <w:tcPr>
            <w:tcW w:w="663"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lang w:val="en-US" w:eastAsia="zh-CN"/>
              </w:rPr>
            </w:pPr>
            <w:r>
              <w:rPr>
                <w:rFonts w:hint="default"/>
                <w:color w:val="0000FF"/>
                <w:highlight w:val="none"/>
                <w:lang w:val="en-US" w:eastAsia="zh-CN"/>
              </w:rPr>
              <w:t>8</w:t>
            </w:r>
          </w:p>
        </w:tc>
        <w:tc>
          <w:tcPr>
            <w:tcW w:w="663"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eastAsia="宋体"/>
                <w:color w:val="0000FF"/>
                <w:highlight w:val="none"/>
                <w:lang w:val="en-US" w:eastAsia="zh-CN"/>
              </w:rPr>
            </w:pPr>
            <w:r>
              <w:rPr>
                <w:rFonts w:hint="eastAsia"/>
                <w:color w:val="0000FF"/>
                <w:highlight w:val="none"/>
                <w:lang w:val="en-US" w:eastAsia="zh-CN"/>
              </w:rPr>
              <w:t>24</w:t>
            </w:r>
          </w:p>
        </w:tc>
        <w:tc>
          <w:tcPr>
            <w:tcW w:w="663"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lang w:val="en-US" w:eastAsia="zh-CN"/>
              </w:rPr>
            </w:pPr>
            <w:r>
              <w:rPr>
                <w:rFonts w:hint="eastAsia"/>
                <w:color w:val="0000FF"/>
                <w:highlight w:val="none"/>
                <w:lang w:val="en-US" w:eastAsia="zh-CN"/>
              </w:rPr>
              <w:t>37</w:t>
            </w:r>
          </w:p>
        </w:tc>
        <w:tc>
          <w:tcPr>
            <w:tcW w:w="616" w:type="pct"/>
            <w:tcBorders>
              <w:top w:val="single" w:color="auto" w:sz="4" w:space="0"/>
              <w:left w:val="single" w:color="auto" w:sz="4" w:space="0"/>
              <w:bottom w:val="nil"/>
              <w:right w:val="single" w:color="auto" w:sz="4" w:space="0"/>
              <w:tl2br w:val="nil"/>
              <w:tr2bl w:val="nil"/>
            </w:tcBorders>
            <w:shd w:val="clear" w:color="auto" w:fill="FFFFFF"/>
            <w:noWrap w:val="0"/>
            <w:vAlign w:val="center"/>
          </w:tcPr>
          <w:p>
            <w:pPr>
              <w:pStyle w:val="42"/>
              <w:shd w:val="clear"/>
              <w:bidi w:val="0"/>
              <w:rPr>
                <w:rFonts w:hint="default"/>
                <w:color w:val="0000FF"/>
                <w:highlight w:val="none"/>
                <w:lang w:val="en-US" w:eastAsia="zh-CN"/>
              </w:rPr>
            </w:pPr>
            <w:r>
              <w:rPr>
                <w:rFonts w:hint="eastAsia"/>
                <w:color w:val="0000FF"/>
                <w:highlight w:val="none"/>
                <w:lang w:val="en-US" w:eastAsia="zh-CN"/>
              </w:rPr>
              <w:t>4</w:t>
            </w:r>
            <w:r>
              <w:rPr>
                <w:rFonts w:hint="default"/>
                <w:color w:val="0000FF"/>
                <w:highlight w:val="none"/>
                <w:lang w:val="en-US" w:eastAsia="zh-CN"/>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36" w:hRule="exact"/>
          <w:jc w:val="center"/>
        </w:trPr>
        <w:tc>
          <w:tcPr>
            <w:tcW w:w="562"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4</w:t>
            </w:r>
          </w:p>
        </w:tc>
        <w:tc>
          <w:tcPr>
            <w:tcW w:w="1830"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哺乳纲</w:t>
            </w:r>
            <w:r>
              <w:rPr>
                <w:rFonts w:hint="default"/>
                <w:color w:val="0000FF"/>
                <w:highlight w:val="none"/>
              </w:rPr>
              <w:t>MAMMALIA</w:t>
            </w:r>
          </w:p>
        </w:tc>
        <w:tc>
          <w:tcPr>
            <w:tcW w:w="663"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lang w:eastAsia="zh-CN"/>
              </w:rPr>
            </w:pPr>
            <w:r>
              <w:rPr>
                <w:rFonts w:hint="eastAsia"/>
                <w:color w:val="0000FF"/>
                <w:highlight w:val="none"/>
                <w:lang w:val="en-US" w:eastAsia="zh-CN"/>
              </w:rPr>
              <w:t>3</w:t>
            </w:r>
          </w:p>
        </w:tc>
        <w:tc>
          <w:tcPr>
            <w:tcW w:w="663"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lang w:eastAsia="zh-CN"/>
              </w:rPr>
            </w:pPr>
            <w:r>
              <w:rPr>
                <w:rFonts w:hint="eastAsia"/>
                <w:color w:val="0000FF"/>
                <w:highlight w:val="none"/>
                <w:lang w:val="en-US" w:eastAsia="zh-CN"/>
              </w:rPr>
              <w:t>6</w:t>
            </w:r>
          </w:p>
        </w:tc>
        <w:tc>
          <w:tcPr>
            <w:tcW w:w="663" w:type="pct"/>
            <w:tcBorders>
              <w:top w:val="single" w:color="auto" w:sz="4" w:space="0"/>
              <w:left w:val="single" w:color="auto" w:sz="4" w:space="0"/>
              <w:bottom w:val="nil"/>
              <w:right w:val="nil"/>
              <w:tl2br w:val="nil"/>
              <w:tr2bl w:val="nil"/>
            </w:tcBorders>
            <w:shd w:val="clear" w:color="auto" w:fill="FFFFFF"/>
            <w:noWrap w:val="0"/>
            <w:vAlign w:val="center"/>
          </w:tcPr>
          <w:p>
            <w:pPr>
              <w:pStyle w:val="42"/>
              <w:shd w:val="clear"/>
              <w:bidi w:val="0"/>
              <w:rPr>
                <w:rFonts w:hint="default"/>
                <w:color w:val="0000FF"/>
                <w:highlight w:val="none"/>
                <w:lang w:val="en-US" w:eastAsia="zh-CN"/>
              </w:rPr>
            </w:pPr>
            <w:r>
              <w:rPr>
                <w:rFonts w:hint="eastAsia"/>
                <w:color w:val="0000FF"/>
                <w:highlight w:val="none"/>
                <w:lang w:val="en-US" w:eastAsia="zh-CN"/>
              </w:rPr>
              <w:t>8</w:t>
            </w:r>
          </w:p>
        </w:tc>
        <w:tc>
          <w:tcPr>
            <w:tcW w:w="616" w:type="pct"/>
            <w:tcBorders>
              <w:top w:val="single" w:color="auto" w:sz="4" w:space="0"/>
              <w:left w:val="single" w:color="auto" w:sz="4" w:space="0"/>
              <w:bottom w:val="nil"/>
              <w:right w:val="single" w:color="auto" w:sz="4" w:space="0"/>
              <w:tl2br w:val="nil"/>
              <w:tr2bl w:val="nil"/>
            </w:tcBorders>
            <w:shd w:val="clear" w:color="auto" w:fill="FFFFFF"/>
            <w:noWrap w:val="0"/>
            <w:vAlign w:val="center"/>
          </w:tcPr>
          <w:p>
            <w:pPr>
              <w:pStyle w:val="42"/>
              <w:shd w:val="clear"/>
              <w:bidi w:val="0"/>
              <w:rPr>
                <w:rFonts w:hint="default"/>
                <w:color w:val="0000FF"/>
                <w:highlight w:val="none"/>
                <w:lang w:val="en-US" w:eastAsia="zh-CN"/>
              </w:rPr>
            </w:pPr>
            <w:r>
              <w:rPr>
                <w:rFonts w:hint="eastAsia"/>
                <w:color w:val="0000FF"/>
                <w:highlight w:val="none"/>
                <w:lang w:val="en-US" w:eastAsia="zh-CN"/>
              </w:rPr>
              <w:t>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46" w:hRule="exact"/>
          <w:jc w:val="center"/>
        </w:trPr>
        <w:tc>
          <w:tcPr>
            <w:tcW w:w="562" w:type="pct"/>
            <w:tcBorders>
              <w:top w:val="single" w:color="auto" w:sz="4" w:space="0"/>
              <w:left w:val="single" w:color="auto" w:sz="4" w:space="0"/>
              <w:bottom w:val="single" w:color="auto" w:sz="4" w:space="0"/>
              <w:right w:val="nil"/>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合计</w:t>
            </w:r>
          </w:p>
        </w:tc>
        <w:tc>
          <w:tcPr>
            <w:tcW w:w="1830" w:type="pct"/>
            <w:tcBorders>
              <w:top w:val="single" w:color="auto" w:sz="4" w:space="0"/>
              <w:left w:val="single" w:color="auto" w:sz="4" w:space="0"/>
              <w:bottom w:val="single" w:color="auto" w:sz="4" w:space="0"/>
              <w:right w:val="nil"/>
              <w:tl2br w:val="nil"/>
              <w:tr2bl w:val="nil"/>
            </w:tcBorders>
            <w:shd w:val="clear" w:color="auto" w:fill="FFFFFF"/>
            <w:noWrap w:val="0"/>
            <w:vAlign w:val="center"/>
          </w:tcPr>
          <w:p>
            <w:pPr>
              <w:pStyle w:val="42"/>
              <w:shd w:val="clear"/>
              <w:bidi w:val="0"/>
              <w:rPr>
                <w:rFonts w:hint="default"/>
                <w:color w:val="0000FF"/>
                <w:highlight w:val="none"/>
              </w:rPr>
            </w:pPr>
            <w:r>
              <w:rPr>
                <w:rFonts w:hint="default"/>
                <w:color w:val="0000FF"/>
                <w:highlight w:val="none"/>
                <w:lang w:val="zh-TW" w:eastAsia="zh-TW"/>
              </w:rPr>
              <w:t>4纲</w:t>
            </w:r>
          </w:p>
        </w:tc>
        <w:tc>
          <w:tcPr>
            <w:tcW w:w="663" w:type="pct"/>
            <w:tcBorders>
              <w:top w:val="single" w:color="auto" w:sz="4" w:space="0"/>
              <w:left w:val="single" w:color="auto" w:sz="4" w:space="0"/>
              <w:bottom w:val="single" w:color="auto" w:sz="4" w:space="0"/>
              <w:right w:val="nil"/>
              <w:tl2br w:val="nil"/>
              <w:tr2bl w:val="nil"/>
            </w:tcBorders>
            <w:shd w:val="clear" w:color="auto" w:fill="FFFFFF"/>
            <w:noWrap w:val="0"/>
            <w:vAlign w:val="center"/>
          </w:tcPr>
          <w:p>
            <w:pPr>
              <w:pStyle w:val="42"/>
              <w:shd w:val="clear"/>
              <w:bidi w:val="0"/>
              <w:rPr>
                <w:rFonts w:hint="default"/>
                <w:color w:val="0000FF"/>
                <w:highlight w:val="none"/>
                <w:lang w:eastAsia="zh-CN"/>
              </w:rPr>
            </w:pPr>
            <w:r>
              <w:rPr>
                <w:rFonts w:hint="default"/>
                <w:color w:val="0000FF"/>
                <w:highlight w:val="none"/>
                <w:lang w:val="zh-TW" w:eastAsia="zh-TW"/>
              </w:rPr>
              <w:t>1</w:t>
            </w:r>
            <w:r>
              <w:rPr>
                <w:rFonts w:hint="default"/>
                <w:color w:val="0000FF"/>
                <w:highlight w:val="none"/>
                <w:lang w:val="en-US" w:eastAsia="zh-CN"/>
              </w:rPr>
              <w:t>4</w:t>
            </w:r>
          </w:p>
        </w:tc>
        <w:tc>
          <w:tcPr>
            <w:tcW w:w="663" w:type="pct"/>
            <w:tcBorders>
              <w:top w:val="single" w:color="auto" w:sz="4" w:space="0"/>
              <w:left w:val="single" w:color="auto" w:sz="4" w:space="0"/>
              <w:bottom w:val="single" w:color="auto" w:sz="4" w:space="0"/>
              <w:right w:val="nil"/>
              <w:tl2br w:val="nil"/>
              <w:tr2bl w:val="nil"/>
            </w:tcBorders>
            <w:shd w:val="clear" w:color="auto" w:fill="FFFFFF"/>
            <w:noWrap w:val="0"/>
            <w:vAlign w:val="center"/>
          </w:tcPr>
          <w:p>
            <w:pPr>
              <w:pStyle w:val="42"/>
              <w:shd w:val="clear"/>
              <w:bidi w:val="0"/>
              <w:rPr>
                <w:rFonts w:hint="default"/>
                <w:color w:val="0000FF"/>
                <w:highlight w:val="none"/>
                <w:lang w:val="en-US"/>
              </w:rPr>
            </w:pPr>
            <w:r>
              <w:rPr>
                <w:rFonts w:hint="eastAsia"/>
                <w:color w:val="0000FF"/>
                <w:highlight w:val="none"/>
                <w:lang w:val="en-US" w:eastAsia="zh-CN"/>
              </w:rPr>
              <w:t>36</w:t>
            </w:r>
          </w:p>
        </w:tc>
        <w:tc>
          <w:tcPr>
            <w:tcW w:w="663" w:type="pct"/>
            <w:tcBorders>
              <w:top w:val="single" w:color="auto" w:sz="4" w:space="0"/>
              <w:left w:val="single" w:color="auto" w:sz="4" w:space="0"/>
              <w:bottom w:val="single" w:color="auto" w:sz="4" w:space="0"/>
              <w:right w:val="nil"/>
              <w:tl2br w:val="nil"/>
              <w:tr2bl w:val="nil"/>
            </w:tcBorders>
            <w:shd w:val="clear" w:color="auto" w:fill="FFFFFF"/>
            <w:noWrap w:val="0"/>
            <w:vAlign w:val="center"/>
          </w:tcPr>
          <w:p>
            <w:pPr>
              <w:pStyle w:val="42"/>
              <w:shd w:val="clear"/>
              <w:bidi w:val="0"/>
              <w:rPr>
                <w:rFonts w:hint="default"/>
                <w:color w:val="0000FF"/>
                <w:highlight w:val="none"/>
                <w:lang w:val="en-US" w:eastAsia="zh-CN"/>
              </w:rPr>
            </w:pPr>
            <w:r>
              <w:rPr>
                <w:rFonts w:hint="eastAsia"/>
                <w:color w:val="0000FF"/>
                <w:highlight w:val="none"/>
                <w:lang w:val="en-US" w:eastAsia="zh-CN"/>
              </w:rPr>
              <w:t>53</w:t>
            </w:r>
          </w:p>
        </w:tc>
        <w:tc>
          <w:tcPr>
            <w:tcW w:w="616" w:type="pct"/>
            <w:tcBorders>
              <w:top w:val="single" w:color="auto" w:sz="4" w:space="0"/>
              <w:left w:val="single" w:color="auto" w:sz="4" w:space="0"/>
              <w:bottom w:val="single" w:color="auto" w:sz="4" w:space="0"/>
              <w:right w:val="single" w:color="auto" w:sz="4" w:space="0"/>
              <w:tl2br w:val="nil"/>
              <w:tr2bl w:val="nil"/>
            </w:tcBorders>
            <w:shd w:val="clear" w:color="auto" w:fill="FFFFFF"/>
            <w:noWrap w:val="0"/>
            <w:vAlign w:val="center"/>
          </w:tcPr>
          <w:p>
            <w:pPr>
              <w:pStyle w:val="42"/>
              <w:shd w:val="clear"/>
              <w:bidi w:val="0"/>
              <w:rPr>
                <w:rFonts w:hint="default"/>
                <w:color w:val="0000FF"/>
                <w:highlight w:val="none"/>
                <w:lang w:val="en-US" w:eastAsia="zh-CN"/>
              </w:rPr>
            </w:pPr>
            <w:r>
              <w:rPr>
                <w:rFonts w:hint="eastAsia"/>
                <w:color w:val="0000FF"/>
                <w:highlight w:val="none"/>
                <w:lang w:val="en-US" w:eastAsia="zh-CN"/>
              </w:rPr>
              <w:t>6</w:t>
            </w:r>
            <w:r>
              <w:rPr>
                <w:rFonts w:hint="default"/>
                <w:color w:val="0000FF"/>
                <w:highlight w:val="none"/>
                <w:lang w:val="en-US" w:eastAsia="zh-CN"/>
              </w:rPr>
              <w:t>6</w:t>
            </w:r>
          </w:p>
        </w:tc>
      </w:tr>
    </w:tbl>
    <w:p>
      <w:pPr>
        <w:shd w:val="clear"/>
        <w:bidi w:val="0"/>
        <w:ind w:firstLine="480" w:firstLineChars="200"/>
        <w:rPr>
          <w:rFonts w:hint="default"/>
          <w:color w:val="0000FF"/>
          <w:highlight w:val="none"/>
        </w:rPr>
      </w:pPr>
      <w:bookmarkStart w:id="544" w:name="bookmark95"/>
      <w:r>
        <w:rPr>
          <w:rFonts w:hint="eastAsia"/>
          <w:color w:val="0000FF"/>
          <w:highlight w:val="none"/>
          <w:lang w:val="en-US" w:eastAsia="zh-CN"/>
        </w:rPr>
        <w:t>1）</w:t>
      </w:r>
      <w:r>
        <w:rPr>
          <w:rFonts w:hint="default"/>
          <w:color w:val="0000FF"/>
          <w:highlight w:val="none"/>
          <w:lang w:val="zh-TW" w:eastAsia="zh-TW"/>
        </w:rPr>
        <w:t>两栖类</w:t>
      </w:r>
    </w:p>
    <w:p>
      <w:pPr>
        <w:shd w:val="clear"/>
        <w:bidi w:val="0"/>
        <w:ind w:firstLine="480" w:firstLineChars="200"/>
        <w:rPr>
          <w:rFonts w:hint="default"/>
          <w:color w:val="0000FF"/>
          <w:highlight w:val="none"/>
        </w:rPr>
      </w:pPr>
      <w:r>
        <w:rPr>
          <w:rFonts w:hint="default"/>
          <w:color w:val="0000FF"/>
          <w:highlight w:val="none"/>
          <w:lang w:val="zh-TW" w:eastAsia="zh-TW"/>
        </w:rPr>
        <w:t>评价区域共计录两栖动物</w:t>
      </w:r>
      <w:r>
        <w:rPr>
          <w:rFonts w:hint="eastAsia"/>
          <w:color w:val="0000FF"/>
          <w:highlight w:val="none"/>
          <w:lang w:val="en-US" w:eastAsia="zh-CN"/>
        </w:rPr>
        <w:t>5</w:t>
      </w:r>
      <w:r>
        <w:rPr>
          <w:rFonts w:hint="default"/>
          <w:color w:val="0000FF"/>
          <w:highlight w:val="none"/>
          <w:lang w:val="zh-TW" w:eastAsia="zh-TW"/>
        </w:rPr>
        <w:t>种，隶属1目</w:t>
      </w:r>
      <w:r>
        <w:rPr>
          <w:rFonts w:hint="eastAsia"/>
          <w:color w:val="0000FF"/>
          <w:highlight w:val="none"/>
          <w:lang w:val="en-US" w:eastAsia="zh-CN"/>
        </w:rPr>
        <w:t>3</w:t>
      </w:r>
      <w:r>
        <w:rPr>
          <w:rFonts w:hint="default"/>
          <w:color w:val="0000FF"/>
          <w:highlight w:val="none"/>
          <w:lang w:val="zh-TW" w:eastAsia="zh-TW"/>
        </w:rPr>
        <w:t>科</w:t>
      </w:r>
      <w:r>
        <w:rPr>
          <w:rFonts w:hint="eastAsia"/>
          <w:color w:val="0000FF"/>
          <w:highlight w:val="none"/>
          <w:lang w:val="en-US" w:eastAsia="zh-CN"/>
        </w:rPr>
        <w:t>4</w:t>
      </w:r>
      <w:r>
        <w:rPr>
          <w:rFonts w:hint="default"/>
          <w:color w:val="0000FF"/>
          <w:highlight w:val="none"/>
          <w:lang w:val="zh-TW" w:eastAsia="zh-TW"/>
        </w:rPr>
        <w:t>属</w:t>
      </w:r>
      <w:r>
        <w:rPr>
          <w:rFonts w:hint="default"/>
          <w:color w:val="0000FF"/>
          <w:highlight w:val="none"/>
          <w:lang w:val="zh-TW" w:eastAsia="zh-CN"/>
        </w:rPr>
        <w:t>（</w:t>
      </w:r>
      <w:r>
        <w:rPr>
          <w:rFonts w:hint="default"/>
          <w:color w:val="0000FF"/>
          <w:highlight w:val="none"/>
          <w:lang w:val="zh-TW" w:eastAsia="zh-TW"/>
        </w:rPr>
        <w:t>详见名录</w:t>
      </w:r>
      <w:r>
        <w:rPr>
          <w:rFonts w:hint="default"/>
          <w:color w:val="0000FF"/>
          <w:highlight w:val="none"/>
          <w:lang w:val="zh-TW" w:eastAsia="zh-CN"/>
        </w:rPr>
        <w:t>）</w:t>
      </w:r>
      <w:r>
        <w:rPr>
          <w:rFonts w:hint="default"/>
          <w:color w:val="0000FF"/>
          <w:highlight w:val="none"/>
          <w:lang w:val="zh-TW" w:eastAsia="zh-TW"/>
        </w:rPr>
        <w:t>。</w:t>
      </w:r>
      <w:r>
        <w:rPr>
          <w:rFonts w:hint="eastAsia"/>
          <w:color w:val="0000FF"/>
          <w:highlight w:val="none"/>
          <w:lang w:val="en-US" w:eastAsia="zh-CN"/>
        </w:rPr>
        <w:t>5</w:t>
      </w:r>
      <w:r>
        <w:rPr>
          <w:rFonts w:hint="default"/>
          <w:color w:val="0000FF"/>
          <w:highlight w:val="none"/>
          <w:lang w:val="zh-TW" w:eastAsia="zh-TW"/>
        </w:rPr>
        <w:t>种两栖动物均属于东洋界成分，其中西南区的</w:t>
      </w:r>
      <w:r>
        <w:rPr>
          <w:rFonts w:hint="eastAsia"/>
          <w:color w:val="0000FF"/>
          <w:highlight w:val="none"/>
          <w:lang w:val="en-US" w:eastAsia="zh-CN"/>
        </w:rPr>
        <w:t>1</w:t>
      </w:r>
      <w:r>
        <w:rPr>
          <w:rFonts w:hint="default"/>
          <w:color w:val="0000FF"/>
          <w:highlight w:val="none"/>
          <w:lang w:val="zh-TW" w:eastAsia="zh-TW"/>
        </w:rPr>
        <w:t>种，占</w:t>
      </w:r>
      <w:r>
        <w:rPr>
          <w:rFonts w:hint="eastAsia"/>
          <w:color w:val="0000FF"/>
          <w:highlight w:val="none"/>
          <w:lang w:val="en-US" w:eastAsia="zh-CN"/>
        </w:rPr>
        <w:t>20</w:t>
      </w:r>
      <w:r>
        <w:rPr>
          <w:rFonts w:hint="default"/>
          <w:color w:val="0000FF"/>
          <w:highlight w:val="none"/>
          <w:lang w:val="zh-TW" w:eastAsia="zh-TW"/>
        </w:rPr>
        <w:t>%</w:t>
      </w:r>
      <w:r>
        <w:rPr>
          <w:rFonts w:hint="default"/>
          <w:color w:val="0000FF"/>
          <w:highlight w:val="none"/>
          <w:lang w:val="zh-TW" w:eastAsia="zh-CN"/>
        </w:rPr>
        <w:t>；</w:t>
      </w:r>
      <w:r>
        <w:rPr>
          <w:rFonts w:hint="eastAsia"/>
          <w:color w:val="0000FF"/>
          <w:highlight w:val="none"/>
          <w:lang w:val="en-US" w:eastAsia="zh-CN"/>
        </w:rPr>
        <w:t>广布</w:t>
      </w:r>
      <w:r>
        <w:rPr>
          <w:rFonts w:hint="default"/>
          <w:color w:val="0000FF"/>
          <w:highlight w:val="none"/>
          <w:lang w:val="zh-TW" w:eastAsia="zh-TW"/>
        </w:rPr>
        <w:t>有</w:t>
      </w:r>
      <w:r>
        <w:rPr>
          <w:rFonts w:hint="eastAsia"/>
          <w:color w:val="0000FF"/>
          <w:highlight w:val="none"/>
          <w:lang w:val="en-US" w:eastAsia="zh-CN"/>
        </w:rPr>
        <w:t>4</w:t>
      </w:r>
      <w:r>
        <w:rPr>
          <w:rFonts w:hint="default"/>
          <w:color w:val="0000FF"/>
          <w:highlight w:val="none"/>
          <w:lang w:val="zh-TW" w:eastAsia="zh-TW"/>
        </w:rPr>
        <w:t>种，占</w:t>
      </w:r>
      <w:r>
        <w:rPr>
          <w:rFonts w:hint="eastAsia"/>
          <w:color w:val="0000FF"/>
          <w:highlight w:val="none"/>
          <w:lang w:val="en-US" w:eastAsia="zh-CN"/>
        </w:rPr>
        <w:t>80</w:t>
      </w:r>
      <w:r>
        <w:rPr>
          <w:rFonts w:hint="default"/>
          <w:color w:val="0000FF"/>
          <w:highlight w:val="none"/>
          <w:lang w:val="zh-TW" w:eastAsia="zh-TW"/>
        </w:rPr>
        <w:t>%，说明该地区的两栖动物以东洋界</w:t>
      </w:r>
      <w:r>
        <w:rPr>
          <w:rFonts w:hint="eastAsia"/>
          <w:color w:val="0000FF"/>
          <w:highlight w:val="none"/>
          <w:lang w:val="en-US" w:eastAsia="zh-CN"/>
        </w:rPr>
        <w:t>广布</w:t>
      </w:r>
      <w:r>
        <w:rPr>
          <w:rFonts w:hint="default"/>
          <w:color w:val="0000FF"/>
          <w:highlight w:val="none"/>
          <w:lang w:val="zh-TW" w:eastAsia="zh-TW"/>
        </w:rPr>
        <w:t>的成分为主。</w:t>
      </w:r>
    </w:p>
    <w:p>
      <w:pPr>
        <w:shd w:val="clear"/>
        <w:bidi w:val="0"/>
        <w:ind w:firstLine="480" w:firstLineChars="200"/>
        <w:rPr>
          <w:rFonts w:hint="default"/>
          <w:color w:val="0000FF"/>
          <w:highlight w:val="none"/>
          <w:lang w:val="zh-TW" w:eastAsia="zh-TW"/>
        </w:rPr>
      </w:pPr>
      <w:r>
        <w:rPr>
          <w:rFonts w:hint="default"/>
          <w:color w:val="0000FF"/>
          <w:highlight w:val="none"/>
          <w:lang w:val="zh-TW" w:eastAsia="zh-TW"/>
        </w:rPr>
        <w:t>在</w:t>
      </w:r>
      <w:r>
        <w:rPr>
          <w:rFonts w:hint="default"/>
          <w:color w:val="0000FF"/>
          <w:highlight w:val="none"/>
          <w:lang w:val="en-US" w:eastAsia="zh-CN"/>
        </w:rPr>
        <w:t>项目</w:t>
      </w:r>
      <w:r>
        <w:rPr>
          <w:rFonts w:hint="default"/>
          <w:color w:val="0000FF"/>
          <w:highlight w:val="none"/>
          <w:lang w:val="zh-TW" w:eastAsia="zh-TW"/>
        </w:rPr>
        <w:t>评价区，</w:t>
      </w:r>
      <w:r>
        <w:rPr>
          <w:rFonts w:hint="eastAsia"/>
          <w:color w:val="0000FF"/>
          <w:highlight w:val="none"/>
          <w:lang w:val="en-US" w:eastAsia="zh-CN"/>
        </w:rPr>
        <w:t>华西</w:t>
      </w:r>
      <w:r>
        <w:rPr>
          <w:rFonts w:hint="default"/>
          <w:color w:val="0000FF"/>
          <w:highlight w:val="none"/>
          <w:lang w:val="zh-TW" w:eastAsia="zh-TW"/>
        </w:rPr>
        <w:t>蟾蜍主要在村寨、农耕地、草丛、湖滨带活动，属常见种。沼蛙、泽蛙、云南小狭口蛙主要在农耕地、林地活动，属常见种。</w:t>
      </w:r>
      <w:r>
        <w:rPr>
          <w:rFonts w:hint="default"/>
          <w:color w:val="0000FF"/>
          <w:highlight w:val="none"/>
          <w:lang w:val="en-US" w:eastAsia="zh-CN"/>
        </w:rPr>
        <w:t>详见</w:t>
      </w:r>
      <w:r>
        <w:rPr>
          <w:rFonts w:hint="default"/>
          <w:color w:val="0000FF"/>
          <w:highlight w:val="none"/>
          <w:lang w:val="zh-TW" w:eastAsia="zh-TW"/>
        </w:rPr>
        <w:t>表</w:t>
      </w:r>
      <w:r>
        <w:rPr>
          <w:rFonts w:hint="eastAsia"/>
          <w:color w:val="0000FF"/>
          <w:highlight w:val="none"/>
          <w:lang w:val="en-US" w:eastAsia="zh-CN"/>
        </w:rPr>
        <w:t>4.2.6-7</w:t>
      </w:r>
      <w:r>
        <w:rPr>
          <w:rFonts w:hint="default"/>
          <w:color w:val="0000FF"/>
          <w:highlight w:val="none"/>
          <w:lang w:val="en-US" w:eastAsia="zh-CN"/>
        </w:rPr>
        <w:t>及</w:t>
      </w:r>
      <w:r>
        <w:rPr>
          <w:rFonts w:hint="default"/>
          <w:color w:val="0000FF"/>
          <w:highlight w:val="none"/>
          <w:lang w:val="zh-TW" w:eastAsia="zh-TW"/>
        </w:rPr>
        <w:t>附录2。</w:t>
      </w:r>
    </w:p>
    <w:p>
      <w:pPr>
        <w:shd w:val="clear"/>
        <w:bidi w:val="0"/>
        <w:rPr>
          <w:rFonts w:hint="default"/>
          <w:color w:val="0000FF"/>
          <w:highlight w:val="none"/>
          <w:lang w:val="zh-TW" w:eastAsia="zh-TW"/>
        </w:rPr>
      </w:pPr>
      <w:r>
        <w:rPr>
          <w:rFonts w:hint="eastAsia"/>
          <w:color w:val="0000FF"/>
          <w:highlight w:val="none"/>
          <w:lang w:val="en-US" w:eastAsia="zh-CN"/>
        </w:rPr>
        <w:t>评价区</w:t>
      </w:r>
      <w:r>
        <w:rPr>
          <w:rFonts w:hint="default"/>
          <w:color w:val="0000FF"/>
          <w:highlight w:val="none"/>
          <w:lang w:val="zh-TW" w:eastAsia="zh-TW"/>
        </w:rPr>
        <w:t>记录</w:t>
      </w:r>
      <w:r>
        <w:rPr>
          <w:rFonts w:hint="eastAsia"/>
          <w:color w:val="0000FF"/>
          <w:highlight w:val="none"/>
          <w:lang w:val="en-US" w:eastAsia="zh-CN"/>
        </w:rPr>
        <w:t>5种</w:t>
      </w:r>
      <w:r>
        <w:rPr>
          <w:rFonts w:hint="default"/>
          <w:color w:val="0000FF"/>
          <w:highlight w:val="none"/>
          <w:lang w:val="zh-TW" w:eastAsia="zh-TW"/>
        </w:rPr>
        <w:t>两栖动物</w:t>
      </w:r>
      <w:r>
        <w:rPr>
          <w:rFonts w:hint="eastAsia"/>
          <w:color w:val="0000FF"/>
          <w:highlight w:val="none"/>
          <w:lang w:val="en-US" w:eastAsia="zh-CN"/>
        </w:rPr>
        <w:t>全部为</w:t>
      </w:r>
      <w:r>
        <w:rPr>
          <w:rFonts w:hint="default"/>
          <w:color w:val="0000FF"/>
          <w:highlight w:val="none"/>
          <w:lang w:val="zh-TW" w:eastAsia="zh-TW"/>
        </w:rPr>
        <w:t>无尾目，其中蟾蜍科Bufonidae记录1种；姬蛙科Microhylida记录到</w:t>
      </w:r>
      <w:r>
        <w:rPr>
          <w:rFonts w:hint="default"/>
          <w:color w:val="0000FF"/>
          <w:highlight w:val="none"/>
          <w:lang w:val="en-US" w:eastAsia="zh-CN"/>
        </w:rPr>
        <w:t>2属</w:t>
      </w:r>
      <w:r>
        <w:rPr>
          <w:rFonts w:hint="default"/>
          <w:color w:val="0000FF"/>
          <w:highlight w:val="none"/>
          <w:lang w:val="zh-TW" w:eastAsia="zh-TW"/>
        </w:rPr>
        <w:t>2种，蛙科Ranidae记录</w:t>
      </w:r>
      <w:r>
        <w:rPr>
          <w:rFonts w:hint="default"/>
          <w:color w:val="0000FF"/>
          <w:highlight w:val="none"/>
          <w:lang w:val="en-US" w:eastAsia="zh-CN"/>
        </w:rPr>
        <w:t>1属2</w:t>
      </w:r>
      <w:r>
        <w:rPr>
          <w:rFonts w:hint="default"/>
          <w:color w:val="0000FF"/>
          <w:highlight w:val="none"/>
          <w:lang w:val="zh-TW" w:eastAsia="zh-TW"/>
        </w:rPr>
        <w:t>种。</w:t>
      </w:r>
    </w:p>
    <w:p>
      <w:pPr>
        <w:pStyle w:val="40"/>
        <w:shd w:val="clear"/>
        <w:bidi w:val="0"/>
        <w:rPr>
          <w:rFonts w:hint="default"/>
          <w:color w:val="0000FF"/>
          <w:highlight w:val="none"/>
        </w:rPr>
      </w:pPr>
      <w:r>
        <w:rPr>
          <w:rFonts w:hint="default"/>
          <w:color w:val="0000FF"/>
          <w:highlight w:val="none"/>
          <w:lang w:val="zh-TW" w:eastAsia="zh-TW"/>
        </w:rPr>
        <w:t>表</w:t>
      </w:r>
      <w:r>
        <w:rPr>
          <w:rFonts w:hint="eastAsia"/>
          <w:color w:val="0000FF"/>
          <w:highlight w:val="none"/>
          <w:lang w:val="en-US" w:eastAsia="zh-CN"/>
        </w:rPr>
        <w:t xml:space="preserve">4.2.5-8  </w:t>
      </w:r>
      <w:r>
        <w:rPr>
          <w:rFonts w:hint="default"/>
          <w:color w:val="0000FF"/>
          <w:highlight w:val="none"/>
          <w:lang w:val="zh-TW" w:eastAsia="zh-TW"/>
        </w:rPr>
        <w:t>调查区两栖爬行动物组成表</w:t>
      </w:r>
    </w:p>
    <w:tbl>
      <w:tblPr>
        <w:tblStyle w:val="29"/>
        <w:tblW w:w="501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1180"/>
        <w:gridCol w:w="3060"/>
        <w:gridCol w:w="1171"/>
        <w:gridCol w:w="1219"/>
        <w:gridCol w:w="17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1" w:hRule="exact"/>
          <w:jc w:val="center"/>
        </w:trPr>
        <w:tc>
          <w:tcPr>
            <w:tcW w:w="708"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目</w:t>
            </w:r>
          </w:p>
        </w:tc>
        <w:tc>
          <w:tcPr>
            <w:tcW w:w="1835"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科</w:t>
            </w:r>
          </w:p>
        </w:tc>
        <w:tc>
          <w:tcPr>
            <w:tcW w:w="70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属数</w:t>
            </w:r>
          </w:p>
        </w:tc>
        <w:tc>
          <w:tcPr>
            <w:tcW w:w="731"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种数</w:t>
            </w:r>
          </w:p>
        </w:tc>
        <w:tc>
          <w:tcPr>
            <w:tcW w:w="1021"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rPr>
                <w:rFonts w:hint="default"/>
                <w:color w:val="0000FF"/>
                <w:highlight w:val="none"/>
                <w:lang w:eastAsia="zh-CN"/>
              </w:rPr>
            </w:pPr>
            <w:r>
              <w:rPr>
                <w:rFonts w:hint="default"/>
                <w:color w:val="0000FF"/>
                <w:highlight w:val="none"/>
                <w:lang w:val="zh-TW" w:eastAsia="zh-TW"/>
              </w:rPr>
              <w:t>种的比例</w:t>
            </w:r>
            <w:r>
              <w:rPr>
                <w:rFonts w:hint="default"/>
                <w:color w:val="0000FF"/>
                <w:highlight w:val="none"/>
                <w:lang w:val="zh-TW" w:eastAsia="zh-CN"/>
              </w:rPr>
              <w:t>（</w:t>
            </w:r>
            <w:r>
              <w:rPr>
                <w:rFonts w:hint="default"/>
                <w:color w:val="0000FF"/>
                <w:highlight w:val="none"/>
                <w:lang w:val="zh-TW" w:eastAsia="zh-TW"/>
              </w:rPr>
              <w:t>％</w:t>
            </w:r>
            <w:r>
              <w:rPr>
                <w:rFonts w:hint="default"/>
                <w:color w:val="0000FF"/>
                <w:highlight w:val="none"/>
                <w:lang w:val="zh-TW"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36" w:hRule="exact"/>
          <w:jc w:val="center"/>
        </w:trPr>
        <w:tc>
          <w:tcPr>
            <w:tcW w:w="708" w:type="pct"/>
            <w:vMerge w:val="restart"/>
            <w:tcBorders>
              <w:top w:val="single" w:color="auto" w:sz="4" w:space="0"/>
              <w:left w:val="single" w:color="auto" w:sz="4" w:space="0"/>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无尾目</w:t>
            </w:r>
            <w:r>
              <w:rPr>
                <w:rFonts w:hint="default"/>
                <w:color w:val="0000FF"/>
                <w:highlight w:val="none"/>
              </w:rPr>
              <w:t>Anura</w:t>
            </w:r>
          </w:p>
        </w:tc>
        <w:tc>
          <w:tcPr>
            <w:tcW w:w="1835"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蟾蜍科</w:t>
            </w:r>
            <w:r>
              <w:rPr>
                <w:rFonts w:hint="default"/>
                <w:color w:val="0000FF"/>
                <w:highlight w:val="none"/>
              </w:rPr>
              <w:t>Bufonidae</w:t>
            </w:r>
          </w:p>
        </w:tc>
        <w:tc>
          <w:tcPr>
            <w:tcW w:w="70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1</w:t>
            </w:r>
          </w:p>
        </w:tc>
        <w:tc>
          <w:tcPr>
            <w:tcW w:w="731"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en-US" w:eastAsia="zh-CN"/>
              </w:rPr>
              <w:t>1</w:t>
            </w:r>
          </w:p>
        </w:tc>
        <w:tc>
          <w:tcPr>
            <w:tcW w:w="1021"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rPr>
                <w:rFonts w:hint="default" w:eastAsia="宋体"/>
                <w:color w:val="0000FF"/>
                <w:highlight w:val="none"/>
                <w:lang w:val="en-US" w:eastAsia="zh-CN"/>
              </w:rPr>
            </w:pPr>
            <w:r>
              <w:rPr>
                <w:rFonts w:hint="eastAsia"/>
                <w:color w:val="0000FF"/>
                <w:highlight w:val="none"/>
                <w:lang w:val="en-US" w:eastAsia="zh-CN"/>
              </w:rPr>
              <w:t>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36" w:hRule="exact"/>
          <w:jc w:val="center"/>
        </w:trPr>
        <w:tc>
          <w:tcPr>
            <w:tcW w:w="708" w:type="pct"/>
            <w:vMerge w:val="continue"/>
            <w:tcBorders>
              <w:left w:val="single" w:color="auto" w:sz="4" w:space="0"/>
              <w:right w:val="nil"/>
              <w:tl2br w:val="nil"/>
              <w:tr2bl w:val="nil"/>
            </w:tcBorders>
            <w:shd w:val="clear" w:color="auto" w:fill="auto"/>
            <w:noWrap w:val="0"/>
            <w:vAlign w:val="center"/>
          </w:tcPr>
          <w:p>
            <w:pPr>
              <w:pStyle w:val="42"/>
              <w:shd w:val="clear"/>
              <w:bidi w:val="0"/>
              <w:rPr>
                <w:rFonts w:hint="default"/>
                <w:color w:val="0000FF"/>
                <w:highlight w:val="none"/>
              </w:rPr>
            </w:pPr>
          </w:p>
        </w:tc>
        <w:tc>
          <w:tcPr>
            <w:tcW w:w="1835"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姬蛙科</w:t>
            </w:r>
            <w:r>
              <w:rPr>
                <w:rFonts w:hint="default"/>
                <w:color w:val="0000FF"/>
                <w:highlight w:val="none"/>
              </w:rPr>
              <w:t>Microhylidae</w:t>
            </w:r>
          </w:p>
        </w:tc>
        <w:tc>
          <w:tcPr>
            <w:tcW w:w="70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2</w:t>
            </w:r>
          </w:p>
        </w:tc>
        <w:tc>
          <w:tcPr>
            <w:tcW w:w="731"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2</w:t>
            </w:r>
          </w:p>
        </w:tc>
        <w:tc>
          <w:tcPr>
            <w:tcW w:w="1021"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rPr>
                <w:rFonts w:hint="default" w:eastAsia="宋体"/>
                <w:color w:val="0000FF"/>
                <w:highlight w:val="none"/>
                <w:lang w:val="en-US" w:eastAsia="zh-CN"/>
              </w:rPr>
            </w:pPr>
            <w:r>
              <w:rPr>
                <w:rFonts w:hint="eastAsia"/>
                <w:color w:val="0000FF"/>
                <w:highlight w:val="none"/>
                <w:lang w:val="en-US" w:eastAsia="zh-CN"/>
              </w:rPr>
              <w:t>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36" w:hRule="exact"/>
          <w:jc w:val="center"/>
        </w:trPr>
        <w:tc>
          <w:tcPr>
            <w:tcW w:w="708" w:type="pct"/>
            <w:vMerge w:val="continue"/>
            <w:tcBorders>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p>
        </w:tc>
        <w:tc>
          <w:tcPr>
            <w:tcW w:w="1835"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蛙科</w:t>
            </w:r>
            <w:r>
              <w:rPr>
                <w:rFonts w:hint="default"/>
                <w:color w:val="0000FF"/>
                <w:highlight w:val="none"/>
              </w:rPr>
              <w:t>Ranidae</w:t>
            </w:r>
          </w:p>
        </w:tc>
        <w:tc>
          <w:tcPr>
            <w:tcW w:w="70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1</w:t>
            </w:r>
          </w:p>
        </w:tc>
        <w:tc>
          <w:tcPr>
            <w:tcW w:w="731"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lang w:eastAsia="zh-CN"/>
              </w:rPr>
            </w:pPr>
            <w:r>
              <w:rPr>
                <w:rFonts w:hint="default"/>
                <w:color w:val="0000FF"/>
                <w:highlight w:val="none"/>
                <w:lang w:val="en-US" w:eastAsia="zh-CN"/>
              </w:rPr>
              <w:t>2</w:t>
            </w:r>
          </w:p>
        </w:tc>
        <w:tc>
          <w:tcPr>
            <w:tcW w:w="1021"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rPr>
                <w:rFonts w:hint="default" w:eastAsia="宋体"/>
                <w:color w:val="0000FF"/>
                <w:highlight w:val="none"/>
                <w:lang w:val="en-US" w:eastAsia="zh-CN"/>
              </w:rPr>
            </w:pPr>
            <w:r>
              <w:rPr>
                <w:rFonts w:hint="eastAsia"/>
                <w:color w:val="0000FF"/>
                <w:highlight w:val="none"/>
                <w:lang w:val="en-US" w:eastAsia="zh-CN"/>
              </w:rPr>
              <w:t>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6" w:hRule="exact"/>
          <w:jc w:val="center"/>
        </w:trPr>
        <w:tc>
          <w:tcPr>
            <w:tcW w:w="708"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en-US" w:eastAsia="zh-CN"/>
              </w:rPr>
              <w:t>1</w:t>
            </w:r>
            <w:r>
              <w:rPr>
                <w:rFonts w:hint="default"/>
                <w:color w:val="0000FF"/>
                <w:highlight w:val="none"/>
                <w:lang w:val="zh-TW" w:eastAsia="zh-TW"/>
              </w:rPr>
              <w:t>目</w:t>
            </w:r>
          </w:p>
        </w:tc>
        <w:tc>
          <w:tcPr>
            <w:tcW w:w="1835"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rPr>
                <w:rFonts w:hint="default"/>
                <w:color w:val="0000FF"/>
                <w:highlight w:val="none"/>
              </w:rPr>
            </w:pPr>
            <w:r>
              <w:rPr>
                <w:rFonts w:hint="eastAsia"/>
                <w:color w:val="0000FF"/>
                <w:highlight w:val="none"/>
                <w:lang w:val="en-US" w:eastAsia="zh-CN"/>
              </w:rPr>
              <w:t>3</w:t>
            </w:r>
            <w:r>
              <w:rPr>
                <w:rFonts w:hint="default"/>
                <w:color w:val="0000FF"/>
                <w:highlight w:val="none"/>
                <w:lang w:val="zh-TW" w:eastAsia="zh-TW"/>
              </w:rPr>
              <w:t>科</w:t>
            </w:r>
          </w:p>
        </w:tc>
        <w:tc>
          <w:tcPr>
            <w:tcW w:w="702"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rPr>
                <w:rFonts w:hint="default"/>
                <w:color w:val="0000FF"/>
                <w:highlight w:val="none"/>
              </w:rPr>
            </w:pPr>
            <w:r>
              <w:rPr>
                <w:rFonts w:hint="eastAsia"/>
                <w:color w:val="0000FF"/>
                <w:highlight w:val="none"/>
                <w:lang w:val="en-US" w:eastAsia="zh-CN"/>
              </w:rPr>
              <w:t>4</w:t>
            </w:r>
            <w:r>
              <w:rPr>
                <w:rFonts w:hint="default"/>
                <w:color w:val="0000FF"/>
                <w:highlight w:val="none"/>
                <w:lang w:val="zh-TW" w:eastAsia="zh-TW"/>
              </w:rPr>
              <w:t>属</w:t>
            </w:r>
          </w:p>
        </w:tc>
        <w:tc>
          <w:tcPr>
            <w:tcW w:w="731"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rPr>
                <w:rFonts w:hint="default"/>
                <w:color w:val="0000FF"/>
                <w:highlight w:val="none"/>
              </w:rPr>
            </w:pPr>
            <w:r>
              <w:rPr>
                <w:rFonts w:hint="eastAsia"/>
                <w:color w:val="0000FF"/>
                <w:highlight w:val="none"/>
                <w:lang w:val="en-US" w:eastAsia="zh-CN"/>
              </w:rPr>
              <w:t>5</w:t>
            </w:r>
            <w:r>
              <w:rPr>
                <w:rFonts w:hint="default"/>
                <w:color w:val="0000FF"/>
                <w:highlight w:val="none"/>
                <w:lang w:val="zh-TW" w:eastAsia="zh-TW"/>
              </w:rPr>
              <w:t>种</w:t>
            </w:r>
          </w:p>
        </w:tc>
        <w:tc>
          <w:tcPr>
            <w:tcW w:w="1021"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100</w:t>
            </w:r>
          </w:p>
        </w:tc>
      </w:tr>
    </w:tbl>
    <w:p>
      <w:pPr>
        <w:shd w:val="clear"/>
        <w:bidi w:val="0"/>
        <w:ind w:firstLine="480" w:firstLineChars="200"/>
        <w:rPr>
          <w:rFonts w:hint="default"/>
          <w:color w:val="0000FF"/>
          <w:highlight w:val="none"/>
        </w:rPr>
      </w:pPr>
      <w:r>
        <w:rPr>
          <w:rFonts w:hint="eastAsia"/>
          <w:color w:val="0000FF"/>
          <w:highlight w:val="none"/>
          <w:lang w:val="en-US" w:eastAsia="zh-CN"/>
        </w:rPr>
        <w:t>2）</w:t>
      </w:r>
      <w:r>
        <w:rPr>
          <w:rFonts w:hint="default"/>
          <w:color w:val="0000FF"/>
          <w:highlight w:val="none"/>
          <w:lang w:val="zh-TW" w:eastAsia="zh-TW"/>
        </w:rPr>
        <w:t>爬行类</w:t>
      </w:r>
      <w:bookmarkEnd w:id="544"/>
    </w:p>
    <w:p>
      <w:pPr>
        <w:shd w:val="clear"/>
        <w:bidi w:val="0"/>
        <w:ind w:firstLine="480" w:firstLineChars="200"/>
        <w:rPr>
          <w:rFonts w:hint="default"/>
          <w:color w:val="0000FF"/>
          <w:highlight w:val="none"/>
          <w:lang w:val="zh-TW" w:eastAsia="zh-TW"/>
        </w:rPr>
      </w:pPr>
      <w:r>
        <w:rPr>
          <w:rFonts w:hint="default"/>
          <w:color w:val="0000FF"/>
          <w:highlight w:val="none"/>
          <w:lang w:val="zh-TW" w:eastAsia="zh-TW"/>
        </w:rPr>
        <w:t>根据对评价区及邻近地区现场调查及文献记载，影响区及评价区分布有爬行动物</w:t>
      </w:r>
      <w:r>
        <w:rPr>
          <w:rFonts w:hint="eastAsia"/>
          <w:color w:val="0000FF"/>
          <w:highlight w:val="none"/>
          <w:lang w:val="en-US" w:eastAsia="zh-CN"/>
        </w:rPr>
        <w:t>4</w:t>
      </w:r>
      <w:r>
        <w:rPr>
          <w:rFonts w:hint="default"/>
          <w:color w:val="0000FF"/>
          <w:highlight w:val="none"/>
          <w:lang w:val="zh-TW" w:eastAsia="zh-TW"/>
        </w:rPr>
        <w:t>种，隶属</w:t>
      </w:r>
      <w:r>
        <w:rPr>
          <w:rFonts w:hint="eastAsia"/>
          <w:color w:val="0000FF"/>
          <w:highlight w:val="none"/>
          <w:lang w:val="en-US" w:eastAsia="zh-CN"/>
        </w:rPr>
        <w:t>2目</w:t>
      </w:r>
      <w:r>
        <w:rPr>
          <w:rFonts w:hint="default"/>
          <w:color w:val="0000FF"/>
          <w:highlight w:val="none"/>
          <w:lang w:val="en-US" w:eastAsia="zh-CN"/>
        </w:rPr>
        <w:t>3</w:t>
      </w:r>
      <w:r>
        <w:rPr>
          <w:rFonts w:hint="default"/>
          <w:color w:val="0000FF"/>
          <w:highlight w:val="none"/>
          <w:lang w:val="zh-TW" w:eastAsia="zh-TW"/>
        </w:rPr>
        <w:t>科</w:t>
      </w:r>
      <w:r>
        <w:rPr>
          <w:rFonts w:hint="eastAsia"/>
          <w:color w:val="0000FF"/>
          <w:highlight w:val="none"/>
          <w:lang w:val="en-US" w:eastAsia="zh-CN"/>
        </w:rPr>
        <w:t>4</w:t>
      </w:r>
      <w:r>
        <w:rPr>
          <w:rFonts w:hint="default"/>
          <w:color w:val="0000FF"/>
          <w:highlight w:val="none"/>
          <w:lang w:val="zh-TW" w:eastAsia="zh-TW"/>
        </w:rPr>
        <w:t>属。</w:t>
      </w:r>
    </w:p>
    <w:p>
      <w:pPr>
        <w:shd w:val="clear"/>
        <w:bidi w:val="0"/>
        <w:ind w:firstLine="480" w:firstLineChars="200"/>
        <w:rPr>
          <w:rFonts w:hint="default"/>
          <w:color w:val="0000FF"/>
          <w:highlight w:val="none"/>
        </w:rPr>
      </w:pPr>
      <w:r>
        <w:rPr>
          <w:rFonts w:hint="default"/>
          <w:color w:val="0000FF"/>
          <w:highlight w:val="none"/>
          <w:lang w:val="zh-TW" w:eastAsia="zh-TW"/>
        </w:rPr>
        <w:t>从区系组成情况看，两栖爬行动物区系的组成主要是西南地区的物种成分。统计各区系成分所占的比例，</w:t>
      </w:r>
      <w:r>
        <w:rPr>
          <w:rFonts w:hint="default"/>
          <w:color w:val="0000FF"/>
          <w:highlight w:val="none"/>
          <w:lang w:val="en-US" w:eastAsia="zh-CN"/>
        </w:rPr>
        <w:t>全部为</w:t>
      </w:r>
      <w:r>
        <w:rPr>
          <w:rFonts w:hint="default"/>
          <w:color w:val="0000FF"/>
          <w:highlight w:val="none"/>
          <w:lang w:val="zh-TW" w:eastAsia="zh-TW"/>
        </w:rPr>
        <w:t>东洋界成分，</w:t>
      </w:r>
      <w:r>
        <w:rPr>
          <w:rFonts w:hint="default"/>
          <w:color w:val="0000FF"/>
          <w:highlight w:val="none"/>
          <w:lang w:val="en-US" w:eastAsia="zh-CN"/>
        </w:rPr>
        <w:t>其中</w:t>
      </w:r>
      <w:r>
        <w:rPr>
          <w:rFonts w:hint="default"/>
          <w:color w:val="0000FF"/>
          <w:highlight w:val="none"/>
          <w:lang w:val="zh-TW" w:eastAsia="zh-TW"/>
        </w:rPr>
        <w:t>华南区成分有</w:t>
      </w:r>
      <w:r>
        <w:rPr>
          <w:rFonts w:hint="default"/>
          <w:color w:val="0000FF"/>
          <w:highlight w:val="none"/>
          <w:lang w:val="en-US" w:eastAsia="zh-CN"/>
        </w:rPr>
        <w:t>2</w:t>
      </w:r>
      <w:r>
        <w:rPr>
          <w:rFonts w:hint="default"/>
          <w:color w:val="0000FF"/>
          <w:highlight w:val="none"/>
          <w:lang w:val="zh-TW" w:eastAsia="zh-TW"/>
        </w:rPr>
        <w:t>种，占所有该类物种数的</w:t>
      </w:r>
      <w:r>
        <w:rPr>
          <w:rFonts w:hint="eastAsia"/>
          <w:color w:val="0000FF"/>
          <w:highlight w:val="none"/>
          <w:lang w:val="en-US" w:eastAsia="zh-CN"/>
        </w:rPr>
        <w:t>50</w:t>
      </w:r>
      <w:r>
        <w:rPr>
          <w:rFonts w:hint="default"/>
          <w:color w:val="0000FF"/>
          <w:highlight w:val="none"/>
          <w:lang w:val="zh-TW" w:eastAsia="zh-TW"/>
        </w:rPr>
        <w:t>%</w:t>
      </w:r>
      <w:r>
        <w:rPr>
          <w:rFonts w:hint="default"/>
          <w:color w:val="0000FF"/>
          <w:highlight w:val="none"/>
          <w:lang w:val="zh-TW" w:eastAsia="zh-CN"/>
        </w:rPr>
        <w:t>；</w:t>
      </w:r>
      <w:r>
        <w:rPr>
          <w:rFonts w:hint="default"/>
          <w:color w:val="0000FF"/>
          <w:highlight w:val="none"/>
          <w:lang w:val="zh-TW" w:eastAsia="zh-TW"/>
        </w:rPr>
        <w:t>西南区有</w:t>
      </w:r>
      <w:r>
        <w:rPr>
          <w:rFonts w:hint="eastAsia"/>
          <w:color w:val="0000FF"/>
          <w:highlight w:val="none"/>
          <w:lang w:val="en-US" w:eastAsia="zh-CN"/>
        </w:rPr>
        <w:t>1</w:t>
      </w:r>
      <w:r>
        <w:rPr>
          <w:rFonts w:hint="default"/>
          <w:color w:val="0000FF"/>
          <w:highlight w:val="none"/>
          <w:lang w:val="zh-TW" w:eastAsia="zh-TW"/>
        </w:rPr>
        <w:t>种，占所有该类物种数的</w:t>
      </w:r>
      <w:r>
        <w:rPr>
          <w:rFonts w:hint="eastAsia"/>
          <w:color w:val="0000FF"/>
          <w:highlight w:val="none"/>
          <w:lang w:val="en-US" w:eastAsia="zh-CN"/>
        </w:rPr>
        <w:t>25</w:t>
      </w:r>
      <w:r>
        <w:rPr>
          <w:rFonts w:hint="default"/>
          <w:color w:val="0000FF"/>
          <w:highlight w:val="none"/>
          <w:lang w:val="zh-TW" w:eastAsia="zh-TW"/>
        </w:rPr>
        <w:t>%</w:t>
      </w:r>
      <w:r>
        <w:rPr>
          <w:rFonts w:hint="default"/>
          <w:color w:val="0000FF"/>
          <w:highlight w:val="none"/>
          <w:lang w:val="zh-TW" w:eastAsia="zh-CN"/>
        </w:rPr>
        <w:t>；</w:t>
      </w:r>
      <w:r>
        <w:rPr>
          <w:rFonts w:hint="eastAsia"/>
          <w:color w:val="0000FF"/>
          <w:highlight w:val="none"/>
          <w:lang w:val="en-US" w:eastAsia="zh-CN"/>
        </w:rPr>
        <w:t>东洋界广布</w:t>
      </w:r>
      <w:r>
        <w:rPr>
          <w:rFonts w:hint="default"/>
          <w:color w:val="0000FF"/>
          <w:highlight w:val="none"/>
          <w:lang w:val="zh-TW" w:eastAsia="zh-TW"/>
        </w:rPr>
        <w:t>有</w:t>
      </w:r>
      <w:r>
        <w:rPr>
          <w:rFonts w:hint="default"/>
          <w:color w:val="0000FF"/>
          <w:highlight w:val="none"/>
          <w:lang w:val="en-US" w:eastAsia="zh-CN"/>
        </w:rPr>
        <w:t>1</w:t>
      </w:r>
      <w:r>
        <w:rPr>
          <w:rFonts w:hint="default"/>
          <w:color w:val="0000FF"/>
          <w:highlight w:val="none"/>
          <w:lang w:val="zh-TW" w:eastAsia="zh-TW"/>
        </w:rPr>
        <w:t>种，占全部物种的</w:t>
      </w:r>
      <w:r>
        <w:rPr>
          <w:rFonts w:hint="eastAsia"/>
          <w:color w:val="0000FF"/>
          <w:highlight w:val="none"/>
          <w:lang w:val="en-US" w:eastAsia="zh-CN"/>
        </w:rPr>
        <w:t>25</w:t>
      </w:r>
      <w:r>
        <w:rPr>
          <w:rFonts w:hint="default"/>
          <w:color w:val="0000FF"/>
          <w:highlight w:val="none"/>
          <w:lang w:val="zh-TW" w:eastAsia="zh-TW"/>
        </w:rPr>
        <w:t>%。可见，</w:t>
      </w:r>
      <w:r>
        <w:rPr>
          <w:rFonts w:hint="eastAsia"/>
          <w:color w:val="0000FF"/>
          <w:highlight w:val="none"/>
          <w:lang w:val="en-US" w:eastAsia="zh-CN"/>
        </w:rPr>
        <w:t>华南</w:t>
      </w:r>
      <w:r>
        <w:rPr>
          <w:rFonts w:hint="default"/>
          <w:color w:val="0000FF"/>
          <w:highlight w:val="none"/>
          <w:lang w:val="zh-TW" w:eastAsia="zh-TW"/>
        </w:rPr>
        <w:t>成分的物种最多，</w:t>
      </w:r>
      <w:r>
        <w:rPr>
          <w:rFonts w:hint="default"/>
          <w:color w:val="0000FF"/>
          <w:highlight w:val="none"/>
          <w:lang w:val="en-US" w:eastAsia="zh-CN"/>
        </w:rPr>
        <w:t>东洋界广布</w:t>
      </w:r>
      <w:r>
        <w:rPr>
          <w:rFonts w:hint="default"/>
          <w:color w:val="0000FF"/>
          <w:highlight w:val="none"/>
          <w:lang w:val="zh-TW" w:eastAsia="zh-TW"/>
        </w:rPr>
        <w:t>的物种成分比较少。</w:t>
      </w:r>
    </w:p>
    <w:p>
      <w:pPr>
        <w:shd w:val="clear"/>
        <w:bidi w:val="0"/>
        <w:ind w:firstLine="480" w:firstLineChars="200"/>
        <w:rPr>
          <w:rFonts w:hint="default" w:ascii="Times New Roman" w:hAnsi="Times New Roman" w:eastAsia="宋体" w:cs="Times New Roman"/>
          <w:color w:val="0000FF"/>
          <w:szCs w:val="24"/>
          <w:highlight w:val="none"/>
        </w:rPr>
      </w:pPr>
      <w:r>
        <w:rPr>
          <w:rFonts w:hint="default"/>
          <w:color w:val="0000FF"/>
          <w:highlight w:val="none"/>
          <w:lang w:val="zh-TW" w:eastAsia="zh-TW"/>
        </w:rPr>
        <w:t>评价区分布的</w:t>
      </w:r>
      <w:r>
        <w:rPr>
          <w:rFonts w:hint="eastAsia"/>
          <w:color w:val="0000FF"/>
          <w:highlight w:val="none"/>
          <w:lang w:val="en-US" w:eastAsia="zh-CN"/>
        </w:rPr>
        <w:t>4</w:t>
      </w:r>
      <w:r>
        <w:rPr>
          <w:rFonts w:hint="default"/>
          <w:color w:val="0000FF"/>
          <w:highlight w:val="none"/>
          <w:lang w:val="zh-TW" w:eastAsia="zh-TW"/>
        </w:rPr>
        <w:t>种爬行动物中，以</w:t>
      </w:r>
      <w:r>
        <w:rPr>
          <w:rFonts w:hint="eastAsia"/>
          <w:color w:val="0000FF"/>
          <w:highlight w:val="none"/>
          <w:lang w:val="en-US" w:eastAsia="zh-CN"/>
        </w:rPr>
        <w:t>隐耳林虎较</w:t>
      </w:r>
      <w:r>
        <w:rPr>
          <w:rFonts w:hint="default"/>
          <w:color w:val="0000FF"/>
          <w:highlight w:val="none"/>
          <w:lang w:val="zh-TW" w:eastAsia="zh-TW"/>
        </w:rPr>
        <w:t>为常见，从村寨、田间都有其活动，黑眉锦蛇、斜磷蛇主要在灌丛、田间、草地活动，属少见种各个物种所隶属的动物地理区划情况及相对数量、分布范围等详见附表</w:t>
      </w:r>
      <w:r>
        <w:rPr>
          <w:rFonts w:hint="eastAsia"/>
          <w:color w:val="0000FF"/>
          <w:highlight w:val="none"/>
          <w:lang w:val="en-US" w:eastAsia="zh-CN"/>
        </w:rPr>
        <w:t>2</w:t>
      </w:r>
      <w:r>
        <w:rPr>
          <w:rFonts w:hint="default"/>
          <w:color w:val="0000FF"/>
          <w:highlight w:val="none"/>
          <w:lang w:val="zh-TW" w:eastAsia="zh-TW"/>
        </w:rPr>
        <w:t>。</w:t>
      </w:r>
    </w:p>
    <w:p>
      <w:pPr>
        <w:pStyle w:val="40"/>
        <w:shd w:val="clear"/>
        <w:bidi w:val="0"/>
        <w:rPr>
          <w:rFonts w:hint="default" w:ascii="Times New Roman" w:hAnsi="Times New Roman" w:eastAsia="宋体" w:cs="Times New Roman"/>
          <w:color w:val="0000FF"/>
          <w:szCs w:val="24"/>
          <w:highlight w:val="none"/>
        </w:rPr>
      </w:pPr>
      <w:r>
        <w:rPr>
          <w:rFonts w:hint="default"/>
          <w:color w:val="0000FF"/>
          <w:highlight w:val="none"/>
          <w:lang w:val="zh-TW" w:eastAsia="zh-TW"/>
        </w:rPr>
        <w:t>表</w:t>
      </w:r>
      <w:r>
        <w:rPr>
          <w:rFonts w:hint="eastAsia"/>
          <w:color w:val="0000FF"/>
          <w:highlight w:val="none"/>
          <w:lang w:val="en-US" w:eastAsia="zh-CN"/>
        </w:rPr>
        <w:t xml:space="preserve">4.2.5-9  </w:t>
      </w:r>
      <w:r>
        <w:rPr>
          <w:rFonts w:hint="default"/>
          <w:color w:val="0000FF"/>
          <w:highlight w:val="none"/>
          <w:lang w:val="zh-TW" w:eastAsia="zh-TW"/>
        </w:rPr>
        <w:t>调查区两栖爬行动物组成表</w:t>
      </w:r>
    </w:p>
    <w:tbl>
      <w:tblPr>
        <w:tblStyle w:val="29"/>
        <w:tblW w:w="504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1878"/>
        <w:gridCol w:w="3264"/>
        <w:gridCol w:w="694"/>
        <w:gridCol w:w="834"/>
        <w:gridCol w:w="1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1" w:hRule="exact"/>
          <w:jc w:val="center"/>
        </w:trPr>
        <w:tc>
          <w:tcPr>
            <w:tcW w:w="1120"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目</w:t>
            </w:r>
          </w:p>
        </w:tc>
        <w:tc>
          <w:tcPr>
            <w:tcW w:w="1946"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科</w:t>
            </w:r>
          </w:p>
        </w:tc>
        <w:tc>
          <w:tcPr>
            <w:tcW w:w="414"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属数</w:t>
            </w:r>
          </w:p>
        </w:tc>
        <w:tc>
          <w:tcPr>
            <w:tcW w:w="49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种数</w:t>
            </w:r>
          </w:p>
        </w:tc>
        <w:tc>
          <w:tcPr>
            <w:tcW w:w="1021" w:type="pct"/>
            <w:tcBorders>
              <w:tl2br w:val="nil"/>
              <w:tr2bl w:val="nil"/>
            </w:tcBorders>
            <w:shd w:val="clear" w:color="auto" w:fill="auto"/>
            <w:noWrap w:val="0"/>
            <w:vAlign w:val="center"/>
          </w:tcPr>
          <w:p>
            <w:pPr>
              <w:pStyle w:val="42"/>
              <w:shd w:val="clear"/>
              <w:bidi w:val="0"/>
              <w:jc w:val="center"/>
              <w:rPr>
                <w:rFonts w:hint="default"/>
                <w:color w:val="0000FF"/>
                <w:highlight w:val="none"/>
                <w:lang w:eastAsia="zh-CN"/>
              </w:rPr>
            </w:pPr>
            <w:r>
              <w:rPr>
                <w:rFonts w:hint="default"/>
                <w:color w:val="0000FF"/>
                <w:highlight w:val="none"/>
                <w:lang w:val="zh-TW" w:eastAsia="zh-TW"/>
              </w:rPr>
              <w:t>种的比例</w:t>
            </w:r>
            <w:r>
              <w:rPr>
                <w:rFonts w:hint="default"/>
                <w:color w:val="0000FF"/>
                <w:highlight w:val="none"/>
                <w:lang w:val="zh-TW" w:eastAsia="zh-CN"/>
              </w:rPr>
              <w:t>（</w:t>
            </w:r>
            <w:r>
              <w:rPr>
                <w:rFonts w:hint="default"/>
                <w:color w:val="0000FF"/>
                <w:highlight w:val="none"/>
                <w:lang w:val="zh-TW" w:eastAsia="zh-TW"/>
              </w:rPr>
              <w:t>％</w:t>
            </w:r>
            <w:r>
              <w:rPr>
                <w:rFonts w:hint="default"/>
                <w:color w:val="0000FF"/>
                <w:highlight w:val="none"/>
                <w:lang w:val="zh-TW"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120" w:type="pct"/>
            <w:vMerge w:val="restar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有鳞目</w:t>
            </w:r>
            <w:r>
              <w:rPr>
                <w:rFonts w:hint="default"/>
                <w:color w:val="0000FF"/>
                <w:highlight w:val="none"/>
              </w:rPr>
              <w:t>Squamata</w:t>
            </w:r>
          </w:p>
        </w:tc>
        <w:tc>
          <w:tcPr>
            <w:tcW w:w="1946"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壁虎科</w:t>
            </w:r>
            <w:r>
              <w:rPr>
                <w:rFonts w:hint="default"/>
                <w:color w:val="0000FF"/>
                <w:highlight w:val="none"/>
              </w:rPr>
              <w:t>Gekkonidae</w:t>
            </w:r>
          </w:p>
        </w:tc>
        <w:tc>
          <w:tcPr>
            <w:tcW w:w="414" w:type="pct"/>
            <w:tcBorders>
              <w:tl2br w:val="nil"/>
              <w:tr2bl w:val="nil"/>
            </w:tcBorders>
            <w:shd w:val="clear" w:color="auto" w:fill="auto"/>
            <w:noWrap w:val="0"/>
            <w:vAlign w:val="center"/>
          </w:tcPr>
          <w:p>
            <w:pPr>
              <w:pStyle w:val="42"/>
              <w:shd w:val="clear"/>
              <w:bidi w:val="0"/>
              <w:jc w:val="center"/>
              <w:rPr>
                <w:rFonts w:hint="default"/>
                <w:color w:val="0000FF"/>
                <w:highlight w:val="none"/>
                <w:lang w:eastAsia="zh-CN"/>
              </w:rPr>
            </w:pPr>
            <w:r>
              <w:rPr>
                <w:rFonts w:hint="default"/>
                <w:color w:val="0000FF"/>
                <w:highlight w:val="none"/>
                <w:lang w:val="en-US" w:eastAsia="zh-CN"/>
              </w:rPr>
              <w:t>1</w:t>
            </w:r>
          </w:p>
        </w:tc>
        <w:tc>
          <w:tcPr>
            <w:tcW w:w="497" w:type="pct"/>
            <w:tcBorders>
              <w:tl2br w:val="nil"/>
              <w:tr2bl w:val="nil"/>
            </w:tcBorders>
            <w:shd w:val="clear" w:color="auto" w:fill="auto"/>
            <w:noWrap w:val="0"/>
            <w:vAlign w:val="center"/>
          </w:tcPr>
          <w:p>
            <w:pPr>
              <w:pStyle w:val="42"/>
              <w:shd w:val="clear"/>
              <w:bidi w:val="0"/>
              <w:jc w:val="center"/>
              <w:rPr>
                <w:rFonts w:hint="default"/>
                <w:color w:val="0000FF"/>
                <w:highlight w:val="none"/>
                <w:lang w:eastAsia="zh-CN"/>
              </w:rPr>
            </w:pPr>
            <w:r>
              <w:rPr>
                <w:rFonts w:hint="eastAsia"/>
                <w:color w:val="0000FF"/>
                <w:highlight w:val="none"/>
                <w:lang w:val="en-US" w:eastAsia="zh-CN"/>
              </w:rPr>
              <w:t>1</w:t>
            </w:r>
          </w:p>
        </w:tc>
        <w:tc>
          <w:tcPr>
            <w:tcW w:w="1021" w:type="pct"/>
            <w:tcBorders>
              <w:tl2br w:val="nil"/>
              <w:tr2bl w:val="nil"/>
            </w:tcBorders>
            <w:shd w:val="clear" w:color="auto" w:fill="auto"/>
            <w:noWrap w:val="0"/>
            <w:vAlign w:val="center"/>
          </w:tcPr>
          <w:p>
            <w:pPr>
              <w:pStyle w:val="42"/>
              <w:shd w:val="clear"/>
              <w:bidi w:val="0"/>
              <w:jc w:val="center"/>
              <w:rPr>
                <w:rFonts w:hint="default"/>
                <w:color w:val="0000FF"/>
                <w:highlight w:val="none"/>
                <w:lang w:val="en-US" w:eastAsia="zh-CN"/>
              </w:rPr>
            </w:pPr>
            <w:r>
              <w:rPr>
                <w:rFonts w:hint="default"/>
                <w:color w:val="0000FF"/>
                <w:highlight w:val="none"/>
                <w:lang w:val="en-US" w:eastAsia="zh-CN"/>
              </w:rPr>
              <w:t>2</w:t>
            </w:r>
            <w:r>
              <w:rPr>
                <w:rFonts w:hint="eastAsia"/>
                <w:color w:val="0000FF"/>
                <w:highlight w:val="no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120"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946"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蜥蜴科</w:t>
            </w:r>
            <w:r>
              <w:rPr>
                <w:rFonts w:hint="default"/>
                <w:color w:val="0000FF"/>
                <w:highlight w:val="none"/>
              </w:rPr>
              <w:t>Lacertidae</w:t>
            </w:r>
          </w:p>
        </w:tc>
        <w:tc>
          <w:tcPr>
            <w:tcW w:w="414"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1</w:t>
            </w:r>
          </w:p>
        </w:tc>
        <w:tc>
          <w:tcPr>
            <w:tcW w:w="49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1</w:t>
            </w:r>
          </w:p>
        </w:tc>
        <w:tc>
          <w:tcPr>
            <w:tcW w:w="1021" w:type="pct"/>
            <w:tcBorders>
              <w:tl2br w:val="nil"/>
              <w:tr2bl w:val="nil"/>
            </w:tcBorders>
            <w:shd w:val="clear" w:color="auto" w:fill="auto"/>
            <w:noWrap w:val="0"/>
            <w:vAlign w:val="center"/>
          </w:tcPr>
          <w:p>
            <w:pPr>
              <w:pStyle w:val="42"/>
              <w:shd w:val="clear"/>
              <w:bidi w:val="0"/>
              <w:jc w:val="center"/>
              <w:rPr>
                <w:rFonts w:hint="default"/>
                <w:color w:val="0000FF"/>
                <w:highlight w:val="none"/>
                <w:lang w:val="en-US" w:eastAsia="zh-CN"/>
              </w:rPr>
            </w:pPr>
            <w:r>
              <w:rPr>
                <w:rFonts w:hint="eastAsia"/>
                <w:color w:val="0000FF"/>
                <w:highlight w:val="no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120"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val="en-US" w:eastAsia="zh-CN"/>
              </w:rPr>
            </w:pPr>
            <w:r>
              <w:rPr>
                <w:rFonts w:hint="eastAsia"/>
                <w:color w:val="0000FF"/>
                <w:highlight w:val="none"/>
                <w:lang w:val="en-US" w:eastAsia="zh-CN"/>
              </w:rPr>
              <w:t>蛇目</w:t>
            </w:r>
            <w:r>
              <w:rPr>
                <w:rFonts w:hint="default" w:ascii="Times New Roman" w:hAnsi="Times New Roman" w:eastAsia="宋体" w:cs="Times New Roman"/>
                <w:color w:val="0000FF"/>
                <w:highlight w:val="none"/>
              </w:rPr>
              <w:t>S</w:t>
            </w:r>
            <w:r>
              <w:rPr>
                <w:rFonts w:hint="eastAsia" w:ascii="Times New Roman" w:hAnsi="Times New Roman" w:eastAsia="宋体" w:cs="Times New Roman"/>
                <w:color w:val="0000FF"/>
                <w:highlight w:val="none"/>
                <w:lang w:val="en-US" w:eastAsia="zh-CN"/>
              </w:rPr>
              <w:t>erpents</w:t>
            </w:r>
          </w:p>
        </w:tc>
        <w:tc>
          <w:tcPr>
            <w:tcW w:w="1946" w:type="pct"/>
            <w:tcBorders>
              <w:tl2br w:val="nil"/>
              <w:tr2bl w:val="nil"/>
            </w:tcBorders>
            <w:shd w:val="clear" w:color="auto" w:fill="auto"/>
            <w:noWrap w:val="0"/>
            <w:vAlign w:val="center"/>
          </w:tcPr>
          <w:p>
            <w:pPr>
              <w:pStyle w:val="42"/>
              <w:shd w:val="clear"/>
              <w:bidi w:val="0"/>
              <w:ind w:firstLine="0" w:firstLineChars="0"/>
              <w:jc w:val="center"/>
              <w:rPr>
                <w:rFonts w:hint="default" w:ascii="Times New Roman" w:hAnsi="Times New Roman" w:eastAsia="宋体" w:cs="Times New Roman"/>
                <w:color w:val="0000FF"/>
                <w:kern w:val="0"/>
                <w:sz w:val="21"/>
                <w:szCs w:val="21"/>
                <w:highlight w:val="none"/>
                <w:lang w:val="zh-TW" w:eastAsia="zh-TW" w:bidi="ar-SA"/>
              </w:rPr>
            </w:pPr>
            <w:r>
              <w:rPr>
                <w:rFonts w:hint="default"/>
                <w:color w:val="0000FF"/>
                <w:highlight w:val="none"/>
                <w:lang w:val="zh-TW" w:eastAsia="zh-TW"/>
              </w:rPr>
              <w:t>游蛇科</w:t>
            </w:r>
            <w:r>
              <w:rPr>
                <w:rFonts w:hint="default"/>
                <w:color w:val="0000FF"/>
                <w:highlight w:val="none"/>
              </w:rPr>
              <w:t>Colubridae</w:t>
            </w:r>
          </w:p>
        </w:tc>
        <w:tc>
          <w:tcPr>
            <w:tcW w:w="414" w:type="pct"/>
            <w:tcBorders>
              <w:tl2br w:val="nil"/>
              <w:tr2bl w:val="nil"/>
            </w:tcBorders>
            <w:shd w:val="clear" w:color="auto" w:fill="auto"/>
            <w:noWrap w:val="0"/>
            <w:vAlign w:val="center"/>
          </w:tcPr>
          <w:p>
            <w:pPr>
              <w:pStyle w:val="42"/>
              <w:shd w:val="clear"/>
              <w:bidi w:val="0"/>
              <w:ind w:firstLine="0" w:firstLineChars="0"/>
              <w:jc w:val="center"/>
              <w:rPr>
                <w:rFonts w:hint="default" w:ascii="Times New Roman" w:hAnsi="Times New Roman" w:eastAsia="宋体" w:cs="Times New Roman"/>
                <w:color w:val="0000FF"/>
                <w:kern w:val="0"/>
                <w:sz w:val="21"/>
                <w:szCs w:val="21"/>
                <w:highlight w:val="none"/>
                <w:lang w:val="zh-TW" w:eastAsia="zh-TW" w:bidi="ar-SA"/>
              </w:rPr>
            </w:pPr>
            <w:r>
              <w:rPr>
                <w:rFonts w:hint="eastAsia"/>
                <w:color w:val="0000FF"/>
                <w:highlight w:val="none"/>
                <w:lang w:val="en-US" w:eastAsia="zh-CN"/>
              </w:rPr>
              <w:t>2</w:t>
            </w:r>
          </w:p>
        </w:tc>
        <w:tc>
          <w:tcPr>
            <w:tcW w:w="497" w:type="pct"/>
            <w:tcBorders>
              <w:tl2br w:val="nil"/>
              <w:tr2bl w:val="nil"/>
            </w:tcBorders>
            <w:shd w:val="clear" w:color="auto" w:fill="auto"/>
            <w:noWrap w:val="0"/>
            <w:vAlign w:val="center"/>
          </w:tcPr>
          <w:p>
            <w:pPr>
              <w:pStyle w:val="42"/>
              <w:shd w:val="clear"/>
              <w:bidi w:val="0"/>
              <w:ind w:firstLine="0" w:firstLineChars="0"/>
              <w:jc w:val="center"/>
              <w:rPr>
                <w:rFonts w:hint="default" w:ascii="Times New Roman" w:hAnsi="Times New Roman" w:eastAsia="宋体" w:cs="Times New Roman"/>
                <w:color w:val="0000FF"/>
                <w:kern w:val="0"/>
                <w:sz w:val="21"/>
                <w:szCs w:val="21"/>
                <w:highlight w:val="none"/>
                <w:lang w:val="zh-TW" w:eastAsia="zh-TW" w:bidi="ar-SA"/>
              </w:rPr>
            </w:pPr>
            <w:r>
              <w:rPr>
                <w:rFonts w:hint="eastAsia"/>
                <w:color w:val="0000FF"/>
                <w:highlight w:val="none"/>
                <w:lang w:val="en-US" w:eastAsia="zh-CN"/>
              </w:rPr>
              <w:t>2</w:t>
            </w:r>
          </w:p>
        </w:tc>
        <w:tc>
          <w:tcPr>
            <w:tcW w:w="1021" w:type="pct"/>
            <w:tcBorders>
              <w:tl2br w:val="nil"/>
              <w:tr2bl w:val="nil"/>
            </w:tcBorders>
            <w:shd w:val="clear" w:color="auto" w:fill="auto"/>
            <w:noWrap w:val="0"/>
            <w:vAlign w:val="center"/>
          </w:tcPr>
          <w:p>
            <w:pPr>
              <w:pStyle w:val="42"/>
              <w:shd w:val="clear"/>
              <w:bidi w:val="0"/>
              <w:ind w:firstLine="0" w:firstLineChars="0"/>
              <w:jc w:val="center"/>
              <w:rPr>
                <w:rFonts w:hint="eastAsia" w:ascii="Times New Roman" w:hAnsi="Times New Roman" w:eastAsia="宋体" w:cs="Times New Roman"/>
                <w:color w:val="0000FF"/>
                <w:kern w:val="0"/>
                <w:sz w:val="21"/>
                <w:szCs w:val="21"/>
                <w:highlight w:val="none"/>
                <w:lang w:val="en-US" w:eastAsia="zh-CN" w:bidi="ar-SA"/>
              </w:rPr>
            </w:pPr>
            <w:r>
              <w:rPr>
                <w:rFonts w:hint="default"/>
                <w:color w:val="0000FF"/>
                <w:highlight w:val="none"/>
                <w:lang w:val="en-US" w:eastAsia="zh-CN"/>
              </w:rPr>
              <w:t>5</w:t>
            </w:r>
            <w:r>
              <w:rPr>
                <w:rFonts w:hint="eastAsia"/>
                <w:color w:val="0000FF"/>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exact"/>
          <w:jc w:val="center"/>
        </w:trPr>
        <w:tc>
          <w:tcPr>
            <w:tcW w:w="1120"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en-US" w:eastAsia="zh-CN"/>
              </w:rPr>
              <w:t>1</w:t>
            </w:r>
            <w:r>
              <w:rPr>
                <w:rFonts w:hint="default"/>
                <w:color w:val="0000FF"/>
                <w:highlight w:val="none"/>
                <w:lang w:val="zh-TW" w:eastAsia="zh-TW"/>
              </w:rPr>
              <w:t>目</w:t>
            </w:r>
          </w:p>
        </w:tc>
        <w:tc>
          <w:tcPr>
            <w:tcW w:w="1946"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en-US" w:eastAsia="zh-CN"/>
              </w:rPr>
              <w:t>3</w:t>
            </w:r>
            <w:r>
              <w:rPr>
                <w:rFonts w:hint="default"/>
                <w:color w:val="0000FF"/>
                <w:highlight w:val="none"/>
                <w:lang w:val="zh-TW" w:eastAsia="zh-TW"/>
              </w:rPr>
              <w:t>科</w:t>
            </w:r>
          </w:p>
        </w:tc>
        <w:tc>
          <w:tcPr>
            <w:tcW w:w="414"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eastAsia"/>
                <w:color w:val="0000FF"/>
                <w:highlight w:val="none"/>
                <w:lang w:val="en-US" w:eastAsia="zh-CN"/>
              </w:rPr>
              <w:t>4</w:t>
            </w:r>
            <w:r>
              <w:rPr>
                <w:rFonts w:hint="default"/>
                <w:color w:val="0000FF"/>
                <w:highlight w:val="none"/>
                <w:lang w:val="zh-TW" w:eastAsia="zh-TW"/>
              </w:rPr>
              <w:t>属</w:t>
            </w:r>
          </w:p>
        </w:tc>
        <w:tc>
          <w:tcPr>
            <w:tcW w:w="49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eastAsia"/>
                <w:color w:val="0000FF"/>
                <w:highlight w:val="none"/>
                <w:lang w:val="en-US" w:eastAsia="zh-CN"/>
              </w:rPr>
              <w:t>4</w:t>
            </w:r>
            <w:r>
              <w:rPr>
                <w:rFonts w:hint="default"/>
                <w:color w:val="0000FF"/>
                <w:highlight w:val="none"/>
                <w:lang w:val="zh-TW" w:eastAsia="zh-TW"/>
              </w:rPr>
              <w:t>种</w:t>
            </w:r>
          </w:p>
        </w:tc>
        <w:tc>
          <w:tcPr>
            <w:tcW w:w="102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100</w:t>
            </w:r>
          </w:p>
        </w:tc>
      </w:tr>
    </w:tbl>
    <w:p>
      <w:pPr>
        <w:shd w:val="clear"/>
        <w:bidi w:val="0"/>
        <w:ind w:firstLine="480" w:firstLineChars="200"/>
        <w:rPr>
          <w:rFonts w:hint="default"/>
          <w:color w:val="0000FF"/>
          <w:highlight w:val="none"/>
          <w:lang w:val="zh-TW" w:eastAsia="zh-TW"/>
        </w:rPr>
      </w:pPr>
      <w:r>
        <w:rPr>
          <w:rFonts w:hint="default"/>
          <w:color w:val="0000FF"/>
          <w:highlight w:val="none"/>
          <w:lang w:val="zh-TW" w:eastAsia="zh-TW"/>
        </w:rPr>
        <w:t>在组成上，爬行类</w:t>
      </w:r>
      <w:r>
        <w:rPr>
          <w:rFonts w:hint="eastAsia"/>
          <w:color w:val="0000FF"/>
          <w:highlight w:val="none"/>
          <w:lang w:val="en-US" w:eastAsia="zh-CN"/>
        </w:rPr>
        <w:t>中</w:t>
      </w:r>
      <w:r>
        <w:rPr>
          <w:rFonts w:hint="default"/>
          <w:color w:val="0000FF"/>
          <w:highlight w:val="none"/>
          <w:lang w:val="zh-TW" w:eastAsia="zh-TW"/>
        </w:rPr>
        <w:t>有鳞目Squamata</w:t>
      </w:r>
      <w:r>
        <w:rPr>
          <w:rFonts w:hint="eastAsia"/>
          <w:color w:val="0000FF"/>
          <w:highlight w:val="none"/>
          <w:lang w:val="en-US" w:eastAsia="zh-CN"/>
        </w:rPr>
        <w:t>2科2属2种</w:t>
      </w:r>
      <w:r>
        <w:rPr>
          <w:rFonts w:hint="default"/>
          <w:color w:val="0000FF"/>
          <w:highlight w:val="none"/>
          <w:lang w:val="en-US" w:eastAsia="en-US"/>
        </w:rPr>
        <w:t>，</w:t>
      </w:r>
      <w:r>
        <w:rPr>
          <w:rFonts w:hint="eastAsia"/>
          <w:color w:val="0000FF"/>
          <w:highlight w:val="none"/>
          <w:lang w:val="en-US" w:eastAsia="zh-CN"/>
        </w:rPr>
        <w:t>分别为</w:t>
      </w:r>
      <w:r>
        <w:rPr>
          <w:rFonts w:hint="default"/>
          <w:color w:val="0000FF"/>
          <w:highlight w:val="none"/>
          <w:lang w:val="zh-TW" w:eastAsia="zh-TW"/>
        </w:rPr>
        <w:t>蜥蜴科Lacertidae</w:t>
      </w:r>
      <w:r>
        <w:rPr>
          <w:rFonts w:hint="eastAsia"/>
          <w:color w:val="0000FF"/>
          <w:highlight w:val="none"/>
          <w:lang w:val="en-US" w:eastAsia="zh-CN"/>
        </w:rPr>
        <w:t>和</w:t>
      </w:r>
      <w:r>
        <w:rPr>
          <w:rFonts w:hint="default"/>
          <w:color w:val="0000FF"/>
          <w:highlight w:val="none"/>
          <w:lang w:val="zh-TW" w:eastAsia="zh-TW"/>
        </w:rPr>
        <w:t>壁虎科Gekkonidae</w:t>
      </w:r>
      <w:r>
        <w:rPr>
          <w:rFonts w:hint="eastAsia"/>
          <w:color w:val="0000FF"/>
          <w:highlight w:val="none"/>
          <w:lang w:val="en-US" w:eastAsia="zh-CN"/>
        </w:rPr>
        <w:t>各</w:t>
      </w:r>
      <w:r>
        <w:rPr>
          <w:rFonts w:hint="default"/>
          <w:color w:val="0000FF"/>
          <w:highlight w:val="none"/>
          <w:lang w:val="zh-TW" w:eastAsia="zh-TW"/>
        </w:rPr>
        <w:t>记录</w:t>
      </w:r>
      <w:r>
        <w:rPr>
          <w:rFonts w:hint="default"/>
          <w:color w:val="0000FF"/>
          <w:highlight w:val="none"/>
          <w:lang w:val="en-US" w:eastAsia="zh-CN"/>
        </w:rPr>
        <w:t>1</w:t>
      </w:r>
      <w:r>
        <w:rPr>
          <w:rFonts w:hint="default"/>
          <w:color w:val="0000FF"/>
          <w:highlight w:val="none"/>
          <w:lang w:val="zh-TW" w:eastAsia="zh-TW"/>
        </w:rPr>
        <w:t>属</w:t>
      </w:r>
      <w:r>
        <w:rPr>
          <w:rFonts w:hint="eastAsia"/>
          <w:color w:val="0000FF"/>
          <w:highlight w:val="none"/>
          <w:lang w:val="en-US" w:eastAsia="zh-CN"/>
        </w:rPr>
        <w:t>1</w:t>
      </w:r>
      <w:r>
        <w:rPr>
          <w:rFonts w:hint="default"/>
          <w:color w:val="0000FF"/>
          <w:highlight w:val="none"/>
          <w:lang w:val="zh-TW" w:eastAsia="zh-TW"/>
        </w:rPr>
        <w:t>种</w:t>
      </w:r>
      <w:r>
        <w:rPr>
          <w:rFonts w:hint="default"/>
          <w:color w:val="0000FF"/>
          <w:highlight w:val="none"/>
          <w:lang w:val="zh-TW" w:eastAsia="zh-CN"/>
        </w:rPr>
        <w:t>；</w:t>
      </w:r>
      <w:r>
        <w:rPr>
          <w:rFonts w:hint="eastAsia"/>
          <w:color w:val="0000FF"/>
          <w:highlight w:val="none"/>
          <w:lang w:val="en-US" w:eastAsia="zh-CN"/>
        </w:rPr>
        <w:t>蛇目1科2属2种，即</w:t>
      </w:r>
      <w:r>
        <w:rPr>
          <w:rFonts w:hint="default"/>
          <w:color w:val="0000FF"/>
          <w:highlight w:val="none"/>
          <w:lang w:val="zh-TW" w:eastAsia="zh-TW"/>
        </w:rPr>
        <w:t>游蛇科</w:t>
      </w:r>
      <w:r>
        <w:rPr>
          <w:rFonts w:hint="default"/>
          <w:color w:val="0000FF"/>
          <w:highlight w:val="none"/>
        </w:rPr>
        <w:t>Colubridae</w:t>
      </w:r>
      <w:r>
        <w:rPr>
          <w:rFonts w:hint="default"/>
          <w:color w:val="0000FF"/>
          <w:highlight w:val="none"/>
          <w:lang w:val="zh-TW" w:eastAsia="zh-TW"/>
        </w:rPr>
        <w:t>。</w:t>
      </w:r>
    </w:p>
    <w:p>
      <w:pPr>
        <w:shd w:val="clear"/>
        <w:bidi w:val="0"/>
        <w:ind w:firstLine="480" w:firstLineChars="200"/>
        <w:rPr>
          <w:rFonts w:hint="default"/>
          <w:color w:val="0000FF"/>
          <w:highlight w:val="none"/>
          <w:lang w:val="zh-TW" w:eastAsia="zh-TW"/>
        </w:rPr>
      </w:pPr>
      <w:r>
        <w:rPr>
          <w:rFonts w:hint="eastAsia"/>
          <w:color w:val="0000FF"/>
          <w:highlight w:val="none"/>
          <w:lang w:val="en-US" w:eastAsia="zh-CN"/>
        </w:rPr>
        <w:t>3）</w:t>
      </w:r>
      <w:r>
        <w:rPr>
          <w:rFonts w:hint="default"/>
          <w:color w:val="0000FF"/>
          <w:highlight w:val="none"/>
          <w:lang w:val="zh-TW" w:eastAsia="zh-TW"/>
        </w:rPr>
        <w:t>鸟类</w:t>
      </w:r>
    </w:p>
    <w:p>
      <w:pPr>
        <w:shd w:val="clear"/>
        <w:bidi w:val="0"/>
        <w:ind w:firstLine="480" w:firstLineChars="200"/>
        <w:rPr>
          <w:rFonts w:hint="default"/>
          <w:color w:val="0000FF"/>
          <w:highlight w:val="none"/>
          <w:lang w:val="zh-TW" w:eastAsia="zh-TW"/>
        </w:rPr>
      </w:pPr>
      <w:r>
        <w:rPr>
          <w:rFonts w:hint="default"/>
          <w:color w:val="0000FF"/>
          <w:highlight w:val="none"/>
          <w:lang w:val="zh-TW" w:eastAsia="zh-TW"/>
        </w:rPr>
        <w:t>依据《中国鸟类分类与分布名录</w:t>
      </w:r>
      <w:r>
        <w:rPr>
          <w:rFonts w:hint="default"/>
          <w:color w:val="0000FF"/>
          <w:highlight w:val="none"/>
          <w:lang w:val="en-US" w:eastAsia="en-US"/>
        </w:rPr>
        <w:t>（</w:t>
      </w:r>
      <w:r>
        <w:rPr>
          <w:rFonts w:hint="default"/>
          <w:color w:val="0000FF"/>
          <w:highlight w:val="none"/>
          <w:lang w:val="zh-TW" w:eastAsia="zh-TW"/>
        </w:rPr>
        <w:t>第三版）》（郑光美，</w:t>
      </w:r>
      <w:r>
        <w:rPr>
          <w:rFonts w:hint="default"/>
          <w:color w:val="0000FF"/>
          <w:highlight w:val="none"/>
          <w:lang w:val="en-US" w:eastAsia="en-US"/>
        </w:rPr>
        <w:t>2017</w:t>
      </w:r>
      <w:r>
        <w:rPr>
          <w:rFonts w:hint="default"/>
          <w:color w:val="0000FF"/>
          <w:highlight w:val="none"/>
          <w:lang w:val="en-US" w:eastAsia="zh-CN"/>
        </w:rPr>
        <w:t>）</w:t>
      </w:r>
      <w:r>
        <w:rPr>
          <w:rFonts w:hint="default"/>
          <w:color w:val="0000FF"/>
          <w:highlight w:val="none"/>
          <w:lang w:val="zh-TW" w:eastAsia="zh-TW"/>
        </w:rPr>
        <w:t>进行编目，根据本次调查，结合之前的相关文献资料，影响评价区分布鸟类</w:t>
      </w:r>
      <w:r>
        <w:rPr>
          <w:rFonts w:hint="eastAsia"/>
          <w:color w:val="0000FF"/>
          <w:highlight w:val="none"/>
          <w:lang w:val="en-US" w:eastAsia="zh-CN"/>
        </w:rPr>
        <w:t>4</w:t>
      </w:r>
      <w:r>
        <w:rPr>
          <w:rFonts w:hint="default"/>
          <w:color w:val="0000FF"/>
          <w:highlight w:val="none"/>
          <w:lang w:val="en-US" w:eastAsia="zh-CN"/>
        </w:rPr>
        <w:t>7</w:t>
      </w:r>
      <w:r>
        <w:rPr>
          <w:rFonts w:hint="default"/>
          <w:color w:val="0000FF"/>
          <w:highlight w:val="none"/>
          <w:lang w:val="zh-TW" w:eastAsia="zh-TW"/>
        </w:rPr>
        <w:t>种，隶属于8目2</w:t>
      </w:r>
      <w:r>
        <w:rPr>
          <w:rFonts w:hint="eastAsia"/>
          <w:color w:val="0000FF"/>
          <w:highlight w:val="none"/>
          <w:lang w:val="en-US" w:eastAsia="zh-CN"/>
        </w:rPr>
        <w:t>4</w:t>
      </w:r>
      <w:r>
        <w:rPr>
          <w:rFonts w:hint="default"/>
          <w:color w:val="0000FF"/>
          <w:highlight w:val="none"/>
          <w:lang w:val="zh-TW" w:eastAsia="zh-TW"/>
        </w:rPr>
        <w:t>科</w:t>
      </w:r>
      <w:r>
        <w:rPr>
          <w:rFonts w:hint="eastAsia"/>
          <w:color w:val="0000FF"/>
          <w:highlight w:val="none"/>
          <w:lang w:val="en-US" w:eastAsia="zh-CN"/>
        </w:rPr>
        <w:t>37</w:t>
      </w:r>
      <w:r>
        <w:rPr>
          <w:rFonts w:hint="default"/>
          <w:color w:val="0000FF"/>
          <w:highlight w:val="none"/>
          <w:lang w:val="zh-TW" w:eastAsia="zh-TW"/>
        </w:rPr>
        <w:t>属，具体组成情况见表4.</w:t>
      </w:r>
      <w:r>
        <w:rPr>
          <w:rFonts w:hint="eastAsia"/>
          <w:color w:val="0000FF"/>
          <w:highlight w:val="none"/>
          <w:lang w:val="en-US" w:eastAsia="zh-CN"/>
        </w:rPr>
        <w:t>2.5</w:t>
      </w:r>
      <w:r>
        <w:rPr>
          <w:rFonts w:hint="default"/>
          <w:color w:val="0000FF"/>
          <w:highlight w:val="none"/>
          <w:lang w:val="zh-TW" w:eastAsia="zh-TW"/>
        </w:rPr>
        <w:t>-</w:t>
      </w:r>
      <w:r>
        <w:rPr>
          <w:rFonts w:hint="eastAsia"/>
          <w:color w:val="0000FF"/>
          <w:highlight w:val="none"/>
          <w:lang w:val="en-US" w:eastAsia="zh-CN"/>
        </w:rPr>
        <w:t>10</w:t>
      </w:r>
      <w:r>
        <w:rPr>
          <w:rFonts w:hint="default"/>
          <w:color w:val="0000FF"/>
          <w:highlight w:val="none"/>
          <w:lang w:val="zh-TW" w:eastAsia="zh-CN"/>
        </w:rPr>
        <w:t>，</w:t>
      </w:r>
      <w:r>
        <w:rPr>
          <w:rFonts w:hint="default"/>
          <w:color w:val="0000FF"/>
          <w:highlight w:val="none"/>
          <w:lang w:val="zh-TW" w:eastAsia="zh-TW"/>
        </w:rPr>
        <w:t>鸟类名录见附录2。</w:t>
      </w:r>
    </w:p>
    <w:p>
      <w:pPr>
        <w:pStyle w:val="40"/>
        <w:shd w:val="clear"/>
        <w:bidi w:val="0"/>
        <w:rPr>
          <w:rFonts w:hint="default"/>
          <w:color w:val="0000FF"/>
          <w:highlight w:val="none"/>
          <w:lang w:val="zh-TW" w:eastAsia="zh-TW"/>
        </w:rPr>
      </w:pPr>
      <w:r>
        <w:rPr>
          <w:rFonts w:hint="default"/>
          <w:color w:val="0000FF"/>
          <w:highlight w:val="none"/>
          <w:lang w:val="zh-TW" w:eastAsia="zh-TW"/>
        </w:rPr>
        <w:t>表</w:t>
      </w:r>
      <w:r>
        <w:rPr>
          <w:rFonts w:hint="eastAsia"/>
          <w:color w:val="0000FF"/>
          <w:highlight w:val="none"/>
          <w:lang w:val="en-US" w:eastAsia="zh-CN"/>
        </w:rPr>
        <w:t xml:space="preserve">4.2.5-10  </w:t>
      </w:r>
      <w:r>
        <w:rPr>
          <w:rFonts w:hint="default"/>
          <w:color w:val="0000FF"/>
          <w:highlight w:val="none"/>
          <w:lang w:val="zh-TW" w:eastAsia="zh-TW"/>
        </w:rPr>
        <w:t>评价区鸟类组成表</w:t>
      </w:r>
    </w:p>
    <w:tbl>
      <w:tblPr>
        <w:tblStyle w:val="29"/>
        <w:tblW w:w="503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2776"/>
        <w:gridCol w:w="2799"/>
        <w:gridCol w:w="1513"/>
        <w:gridCol w:w="12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1" w:hRule="exact"/>
          <w:jc w:val="center"/>
        </w:trPr>
        <w:tc>
          <w:tcPr>
            <w:tcW w:w="165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目</w:t>
            </w: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科</w:t>
            </w:r>
          </w:p>
        </w:tc>
        <w:tc>
          <w:tcPr>
            <w:tcW w:w="903"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属数</w:t>
            </w:r>
          </w:p>
        </w:tc>
        <w:tc>
          <w:tcPr>
            <w:tcW w:w="76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种数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鹳形目</w:t>
            </w:r>
            <w:r>
              <w:rPr>
                <w:rFonts w:hint="default"/>
                <w:color w:val="0000FF"/>
                <w:highlight w:val="none"/>
              </w:rPr>
              <w:t>CICONIFORMES</w:t>
            </w: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鹭科</w:t>
            </w:r>
            <w:r>
              <w:rPr>
                <w:rFonts w:hint="default"/>
                <w:color w:val="0000FF"/>
                <w:highlight w:val="none"/>
              </w:rPr>
              <w:t>Ardeidae</w:t>
            </w:r>
          </w:p>
        </w:tc>
        <w:tc>
          <w:tcPr>
            <w:tcW w:w="903"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2</w:t>
            </w:r>
          </w:p>
        </w:tc>
        <w:tc>
          <w:tcPr>
            <w:tcW w:w="767"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restar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隼形目</w:t>
            </w:r>
            <w:r>
              <w:rPr>
                <w:rFonts w:hint="default"/>
                <w:color w:val="0000FF"/>
                <w:highlight w:val="none"/>
              </w:rPr>
              <w:t>FALCONIFORMES</w:t>
            </w: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鹰科</w:t>
            </w:r>
            <w:r>
              <w:rPr>
                <w:rFonts w:hint="default"/>
                <w:color w:val="0000FF"/>
                <w:highlight w:val="none"/>
              </w:rPr>
              <w:t>Accipitridae</w:t>
            </w:r>
          </w:p>
        </w:tc>
        <w:tc>
          <w:tcPr>
            <w:tcW w:w="903"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1</w:t>
            </w:r>
          </w:p>
        </w:tc>
        <w:tc>
          <w:tcPr>
            <w:tcW w:w="767"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6" w:hRule="exact"/>
          <w:jc w:val="center"/>
        </w:trPr>
        <w:tc>
          <w:tcPr>
            <w:tcW w:w="1657"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隼科</w:t>
            </w:r>
            <w:r>
              <w:rPr>
                <w:rFonts w:hint="default"/>
                <w:color w:val="0000FF"/>
                <w:highlight w:val="none"/>
              </w:rPr>
              <w:t>Falconidae</w:t>
            </w:r>
          </w:p>
        </w:tc>
        <w:tc>
          <w:tcPr>
            <w:tcW w:w="903"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1</w:t>
            </w:r>
          </w:p>
        </w:tc>
        <w:tc>
          <w:tcPr>
            <w:tcW w:w="76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1" w:hRule="exact"/>
          <w:jc w:val="center"/>
        </w:trPr>
        <w:tc>
          <w:tcPr>
            <w:tcW w:w="165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en-US" w:eastAsia="zh-CN"/>
              </w:rPr>
              <w:t>鸻形目CHARADRIIFORMES</w:t>
            </w: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鹬科</w:t>
            </w:r>
            <w:r>
              <w:rPr>
                <w:rFonts w:hint="default"/>
                <w:color w:val="0000FF"/>
                <w:highlight w:val="none"/>
              </w:rPr>
              <w:t>Scolopacidae</w:t>
            </w:r>
          </w:p>
        </w:tc>
        <w:tc>
          <w:tcPr>
            <w:tcW w:w="903"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1</w:t>
            </w:r>
          </w:p>
        </w:tc>
        <w:tc>
          <w:tcPr>
            <w:tcW w:w="767"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鸽形目</w:t>
            </w:r>
            <w:r>
              <w:rPr>
                <w:rFonts w:hint="default"/>
                <w:color w:val="0000FF"/>
                <w:highlight w:val="none"/>
              </w:rPr>
              <w:t>COLUMBIFORMES</w:t>
            </w: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鸠鸽科</w:t>
            </w:r>
            <w:r>
              <w:rPr>
                <w:rFonts w:hint="default"/>
                <w:color w:val="0000FF"/>
                <w:highlight w:val="none"/>
              </w:rPr>
              <w:t>Columbidae</w:t>
            </w:r>
          </w:p>
        </w:tc>
        <w:tc>
          <w:tcPr>
            <w:tcW w:w="903"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1</w:t>
            </w:r>
          </w:p>
        </w:tc>
        <w:tc>
          <w:tcPr>
            <w:tcW w:w="76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鹃形目</w:t>
            </w:r>
            <w:r>
              <w:rPr>
                <w:rFonts w:hint="default"/>
                <w:color w:val="0000FF"/>
                <w:highlight w:val="none"/>
              </w:rPr>
              <w:t>CUCULIFORMEES</w:t>
            </w: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杜鹃科</w:t>
            </w:r>
            <w:r>
              <w:rPr>
                <w:rFonts w:hint="default"/>
                <w:color w:val="0000FF"/>
                <w:highlight w:val="none"/>
              </w:rPr>
              <w:t>Cuculidae</w:t>
            </w:r>
          </w:p>
        </w:tc>
        <w:tc>
          <w:tcPr>
            <w:tcW w:w="903"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1</w:t>
            </w:r>
          </w:p>
        </w:tc>
        <w:tc>
          <w:tcPr>
            <w:tcW w:w="767"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雨燕目</w:t>
            </w:r>
            <w:r>
              <w:rPr>
                <w:rFonts w:hint="default"/>
                <w:color w:val="0000FF"/>
                <w:highlight w:val="none"/>
              </w:rPr>
              <w:t>APODIFORMES</w:t>
            </w: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雨燕科</w:t>
            </w:r>
            <w:r>
              <w:rPr>
                <w:rFonts w:hint="default"/>
                <w:color w:val="0000FF"/>
                <w:highlight w:val="none"/>
              </w:rPr>
              <w:t>Apodidae</w:t>
            </w:r>
          </w:p>
        </w:tc>
        <w:tc>
          <w:tcPr>
            <w:tcW w:w="903"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1</w:t>
            </w:r>
          </w:p>
        </w:tc>
        <w:tc>
          <w:tcPr>
            <w:tcW w:w="76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restar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佛法僧目</w:t>
            </w:r>
            <w:r>
              <w:rPr>
                <w:rFonts w:hint="default"/>
                <w:color w:val="0000FF"/>
                <w:highlight w:val="none"/>
              </w:rPr>
              <w:t>CORACIIFORMES</w:t>
            </w: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翠鸟科</w:t>
            </w:r>
            <w:r>
              <w:rPr>
                <w:rFonts w:hint="default"/>
                <w:color w:val="0000FF"/>
                <w:highlight w:val="none"/>
              </w:rPr>
              <w:t>Alcedinidae</w:t>
            </w:r>
          </w:p>
        </w:tc>
        <w:tc>
          <w:tcPr>
            <w:tcW w:w="903"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1</w:t>
            </w:r>
          </w:p>
        </w:tc>
        <w:tc>
          <w:tcPr>
            <w:tcW w:w="767"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戴胜科</w:t>
            </w:r>
            <w:r>
              <w:rPr>
                <w:rFonts w:hint="default"/>
                <w:color w:val="0000FF"/>
                <w:highlight w:val="none"/>
              </w:rPr>
              <w:t>Upupidae</w:t>
            </w:r>
          </w:p>
        </w:tc>
        <w:tc>
          <w:tcPr>
            <w:tcW w:w="903"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1</w:t>
            </w:r>
          </w:p>
        </w:tc>
        <w:tc>
          <w:tcPr>
            <w:tcW w:w="76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restar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雀形目</w:t>
            </w:r>
            <w:r>
              <w:rPr>
                <w:rFonts w:hint="default"/>
                <w:color w:val="0000FF"/>
                <w:highlight w:val="none"/>
              </w:rPr>
              <w:t>PASSERIFORMES</w:t>
            </w:r>
          </w:p>
        </w:tc>
        <w:tc>
          <w:tcPr>
            <w:tcW w:w="1671" w:type="pct"/>
            <w:tcBorders>
              <w:tl2br w:val="nil"/>
              <w:tr2bl w:val="nil"/>
            </w:tcBorders>
            <w:shd w:val="clear" w:color="auto" w:fill="auto"/>
            <w:noWrap w:val="0"/>
            <w:vAlign w:val="center"/>
          </w:tcPr>
          <w:p>
            <w:pPr>
              <w:pStyle w:val="42"/>
              <w:shd w:val="clear"/>
              <w:bidi w:val="0"/>
              <w:ind w:firstLine="0" w:firstLineChars="0"/>
              <w:jc w:val="center"/>
              <w:rPr>
                <w:rFonts w:hint="default" w:ascii="Times New Roman" w:hAnsi="Times New Roman" w:eastAsia="宋体" w:cs="Times New Roman"/>
                <w:color w:val="0000FF"/>
                <w:kern w:val="0"/>
                <w:sz w:val="21"/>
                <w:szCs w:val="21"/>
                <w:highlight w:val="none"/>
                <w:lang w:val="en-US" w:eastAsia="zh-CN" w:bidi="ar-SA"/>
              </w:rPr>
            </w:pPr>
            <w:r>
              <w:rPr>
                <w:rFonts w:hint="default"/>
                <w:color w:val="0000FF"/>
                <w:highlight w:val="none"/>
                <w:lang w:val="zh-TW" w:eastAsia="zh-TW"/>
              </w:rPr>
              <w:t>燕科</w:t>
            </w:r>
            <w:r>
              <w:rPr>
                <w:rFonts w:hint="default"/>
                <w:color w:val="0000FF"/>
                <w:highlight w:val="none"/>
              </w:rPr>
              <w:t>Hirundinidae</w:t>
            </w:r>
          </w:p>
        </w:tc>
        <w:tc>
          <w:tcPr>
            <w:tcW w:w="903" w:type="pct"/>
            <w:tcBorders>
              <w:tl2br w:val="nil"/>
              <w:tr2bl w:val="nil"/>
            </w:tcBorders>
            <w:shd w:val="clear" w:color="auto" w:fill="auto"/>
            <w:noWrap w:val="0"/>
            <w:vAlign w:val="center"/>
          </w:tcPr>
          <w:p>
            <w:pPr>
              <w:pStyle w:val="42"/>
              <w:shd w:val="clear"/>
              <w:bidi w:val="0"/>
              <w:ind w:firstLine="0" w:firstLineChars="0"/>
              <w:jc w:val="center"/>
              <w:rPr>
                <w:rFonts w:hint="default" w:ascii="Times New Roman" w:hAnsi="Times New Roman" w:eastAsia="宋体" w:cs="Times New Roman"/>
                <w:color w:val="0000FF"/>
                <w:kern w:val="0"/>
                <w:sz w:val="21"/>
                <w:szCs w:val="21"/>
                <w:highlight w:val="none"/>
                <w:lang w:val="en-US" w:eastAsia="zh-CN" w:bidi="ar-SA"/>
              </w:rPr>
            </w:pPr>
            <w:r>
              <w:rPr>
                <w:rFonts w:hint="default"/>
                <w:color w:val="0000FF"/>
                <w:highlight w:val="none"/>
                <w:lang w:val="zh-TW" w:eastAsia="zh-TW"/>
              </w:rPr>
              <w:t>1</w:t>
            </w:r>
          </w:p>
        </w:tc>
        <w:tc>
          <w:tcPr>
            <w:tcW w:w="767" w:type="pct"/>
            <w:tcBorders>
              <w:tl2br w:val="nil"/>
              <w:tr2bl w:val="nil"/>
            </w:tcBorders>
            <w:shd w:val="clear" w:color="auto" w:fill="auto"/>
            <w:noWrap w:val="0"/>
            <w:vAlign w:val="center"/>
          </w:tcPr>
          <w:p>
            <w:pPr>
              <w:pStyle w:val="42"/>
              <w:shd w:val="clear"/>
              <w:bidi w:val="0"/>
              <w:ind w:firstLine="0" w:firstLineChars="0"/>
              <w:jc w:val="center"/>
              <w:rPr>
                <w:rFonts w:hint="default" w:ascii="Times New Roman" w:hAnsi="Times New Roman" w:eastAsia="宋体" w:cs="Times New Roman"/>
                <w:color w:val="0000FF"/>
                <w:kern w:val="0"/>
                <w:sz w:val="21"/>
                <w:szCs w:val="21"/>
                <w:highlight w:val="none"/>
                <w:lang w:val="en-US" w:eastAsia="zh-CN" w:bidi="ar-SA"/>
              </w:rPr>
            </w:pPr>
            <w:r>
              <w:rPr>
                <w:rFonts w:hint="default"/>
                <w:color w:val="0000FF"/>
                <w:highlight w:val="none"/>
                <w:lang w:val="zh-TW" w:eastAsia="zh-TW"/>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eastAsia"/>
                <w:color w:val="0000FF"/>
                <w:highlight w:val="none"/>
                <w:lang w:val="en-US" w:eastAsia="zh-CN"/>
              </w:rPr>
              <w:t>鹡鸰科</w:t>
            </w:r>
            <w:r>
              <w:rPr>
                <w:rFonts w:hint="default"/>
                <w:color w:val="0000FF"/>
                <w:highlight w:val="none"/>
              </w:rPr>
              <w:t>Motacillidae</w:t>
            </w:r>
          </w:p>
        </w:tc>
        <w:tc>
          <w:tcPr>
            <w:tcW w:w="903"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1</w:t>
            </w:r>
          </w:p>
        </w:tc>
        <w:tc>
          <w:tcPr>
            <w:tcW w:w="767"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山椒鸟科</w:t>
            </w:r>
            <w:r>
              <w:rPr>
                <w:rFonts w:hint="default"/>
                <w:color w:val="0000FF"/>
                <w:highlight w:val="none"/>
              </w:rPr>
              <w:t>Campephagidae</w:t>
            </w:r>
          </w:p>
        </w:tc>
        <w:tc>
          <w:tcPr>
            <w:tcW w:w="903"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1</w:t>
            </w:r>
          </w:p>
        </w:tc>
        <w:tc>
          <w:tcPr>
            <w:tcW w:w="76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671" w:type="pct"/>
            <w:tcBorders>
              <w:tl2br w:val="nil"/>
              <w:tr2bl w:val="nil"/>
            </w:tcBorders>
            <w:shd w:val="clear" w:color="auto" w:fill="auto"/>
            <w:noWrap w:val="0"/>
            <w:vAlign w:val="center"/>
          </w:tcPr>
          <w:p>
            <w:pPr>
              <w:pStyle w:val="42"/>
              <w:shd w:val="clear"/>
              <w:bidi w:val="0"/>
              <w:ind w:firstLine="0" w:firstLineChars="0"/>
              <w:jc w:val="center"/>
              <w:rPr>
                <w:rFonts w:hint="default" w:ascii="Times New Roman" w:hAnsi="Times New Roman" w:eastAsia="宋体" w:cs="Times New Roman"/>
                <w:color w:val="0000FF"/>
                <w:kern w:val="0"/>
                <w:sz w:val="21"/>
                <w:szCs w:val="21"/>
                <w:highlight w:val="none"/>
                <w:lang w:val="en-US" w:eastAsia="zh-CN" w:bidi="ar-SA"/>
              </w:rPr>
            </w:pPr>
            <w:r>
              <w:rPr>
                <w:rStyle w:val="79"/>
                <w:rFonts w:hint="default" w:ascii="Times New Roman" w:hAnsi="Times New Roman" w:eastAsia="宋体" w:cs="Times New Roman"/>
                <w:b w:val="0"/>
                <w:bCs w:val="0"/>
                <w:color w:val="0000FF"/>
                <w:sz w:val="21"/>
                <w:szCs w:val="21"/>
                <w:highlight w:val="none"/>
                <w:lang w:val="en-US" w:eastAsia="zh-CN" w:bidi="ar"/>
              </w:rPr>
              <w:t>鹎</w:t>
            </w:r>
            <w:r>
              <w:rPr>
                <w:rFonts w:hint="default"/>
                <w:color w:val="0000FF"/>
                <w:highlight w:val="none"/>
                <w:lang w:val="zh-TW" w:eastAsia="zh-TW"/>
              </w:rPr>
              <w:t>科</w:t>
            </w:r>
            <w:r>
              <w:rPr>
                <w:rFonts w:hint="default"/>
                <w:color w:val="0000FF"/>
                <w:highlight w:val="none"/>
              </w:rPr>
              <w:t>Corvidae</w:t>
            </w:r>
          </w:p>
        </w:tc>
        <w:tc>
          <w:tcPr>
            <w:tcW w:w="903" w:type="pct"/>
            <w:tcBorders>
              <w:tl2br w:val="nil"/>
              <w:tr2bl w:val="nil"/>
            </w:tcBorders>
            <w:shd w:val="clear" w:color="auto" w:fill="auto"/>
            <w:noWrap w:val="0"/>
            <w:vAlign w:val="center"/>
          </w:tcPr>
          <w:p>
            <w:pPr>
              <w:pStyle w:val="42"/>
              <w:shd w:val="clear"/>
              <w:bidi w:val="0"/>
              <w:ind w:firstLine="0" w:firstLineChars="0"/>
              <w:jc w:val="center"/>
              <w:rPr>
                <w:rFonts w:hint="eastAsia" w:ascii="Times New Roman" w:hAnsi="Times New Roman" w:eastAsia="宋体" w:cs="Times New Roman"/>
                <w:color w:val="0000FF"/>
                <w:kern w:val="0"/>
                <w:sz w:val="21"/>
                <w:szCs w:val="21"/>
                <w:highlight w:val="none"/>
                <w:lang w:val="en-US" w:eastAsia="zh-CN" w:bidi="ar-SA"/>
              </w:rPr>
            </w:pPr>
            <w:r>
              <w:rPr>
                <w:rFonts w:hint="eastAsia"/>
                <w:color w:val="0000FF"/>
                <w:highlight w:val="none"/>
                <w:lang w:val="en-US" w:eastAsia="zh-CN"/>
              </w:rPr>
              <w:t>2</w:t>
            </w:r>
          </w:p>
        </w:tc>
        <w:tc>
          <w:tcPr>
            <w:tcW w:w="767" w:type="pct"/>
            <w:tcBorders>
              <w:tl2br w:val="nil"/>
              <w:tr2bl w:val="nil"/>
            </w:tcBorders>
            <w:shd w:val="clear" w:color="auto" w:fill="auto"/>
            <w:noWrap w:val="0"/>
            <w:vAlign w:val="center"/>
          </w:tcPr>
          <w:p>
            <w:pPr>
              <w:pStyle w:val="42"/>
              <w:shd w:val="clear"/>
              <w:bidi w:val="0"/>
              <w:ind w:firstLine="0" w:firstLineChars="0"/>
              <w:jc w:val="center"/>
              <w:rPr>
                <w:rFonts w:hint="eastAsia" w:ascii="Times New Roman" w:hAnsi="Times New Roman" w:eastAsia="宋体" w:cs="Times New Roman"/>
                <w:color w:val="0000FF"/>
                <w:kern w:val="0"/>
                <w:sz w:val="21"/>
                <w:szCs w:val="21"/>
                <w:highlight w:val="none"/>
                <w:lang w:val="en-US" w:eastAsia="zh-CN" w:bidi="ar-SA"/>
              </w:rPr>
            </w:pPr>
            <w:r>
              <w:rPr>
                <w:rFonts w:hint="eastAsia"/>
                <w:color w:val="0000FF"/>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伯劳科</w:t>
            </w:r>
            <w:r>
              <w:rPr>
                <w:rFonts w:hint="default"/>
                <w:color w:val="0000FF"/>
                <w:highlight w:val="none"/>
              </w:rPr>
              <w:t>Laniidae</w:t>
            </w:r>
          </w:p>
        </w:tc>
        <w:tc>
          <w:tcPr>
            <w:tcW w:w="903"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1</w:t>
            </w:r>
          </w:p>
        </w:tc>
        <w:tc>
          <w:tcPr>
            <w:tcW w:w="767"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zh-TW"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鸦科</w:t>
            </w:r>
            <w:r>
              <w:rPr>
                <w:rFonts w:hint="default"/>
                <w:color w:val="0000FF"/>
                <w:highlight w:val="none"/>
              </w:rPr>
              <w:t>Corvidae</w:t>
            </w:r>
          </w:p>
        </w:tc>
        <w:tc>
          <w:tcPr>
            <w:tcW w:w="903"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2</w:t>
            </w:r>
          </w:p>
        </w:tc>
        <w:tc>
          <w:tcPr>
            <w:tcW w:w="767"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val="en-US" w:eastAsia="zh-CN"/>
              </w:rPr>
            </w:pPr>
            <w:r>
              <w:rPr>
                <w:rFonts w:hint="eastAsia"/>
                <w:color w:val="0000FF"/>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鸫科</w:t>
            </w:r>
            <w:r>
              <w:rPr>
                <w:rFonts w:hint="default"/>
                <w:color w:val="0000FF"/>
                <w:highlight w:val="none"/>
              </w:rPr>
              <w:t>Turdidae</w:t>
            </w:r>
          </w:p>
        </w:tc>
        <w:tc>
          <w:tcPr>
            <w:tcW w:w="903"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2</w:t>
            </w:r>
          </w:p>
        </w:tc>
        <w:tc>
          <w:tcPr>
            <w:tcW w:w="767"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画鹛科</w:t>
            </w:r>
            <w:r>
              <w:rPr>
                <w:rFonts w:hint="default"/>
                <w:color w:val="0000FF"/>
                <w:highlight w:val="none"/>
              </w:rPr>
              <w:t>Timaliidae</w:t>
            </w:r>
          </w:p>
        </w:tc>
        <w:tc>
          <w:tcPr>
            <w:tcW w:w="903"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1</w:t>
            </w:r>
          </w:p>
        </w:tc>
        <w:tc>
          <w:tcPr>
            <w:tcW w:w="767"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莺科</w:t>
            </w:r>
            <w:r>
              <w:rPr>
                <w:rFonts w:hint="default"/>
                <w:color w:val="0000FF"/>
                <w:highlight w:val="none"/>
              </w:rPr>
              <w:t>Sylviidae</w:t>
            </w:r>
          </w:p>
        </w:tc>
        <w:tc>
          <w:tcPr>
            <w:tcW w:w="903"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2</w:t>
            </w:r>
          </w:p>
        </w:tc>
        <w:tc>
          <w:tcPr>
            <w:tcW w:w="767"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鹟科</w:t>
            </w:r>
            <w:r>
              <w:rPr>
                <w:rFonts w:hint="default"/>
                <w:color w:val="0000FF"/>
                <w:highlight w:val="none"/>
              </w:rPr>
              <w:t>Muscicapidae</w:t>
            </w:r>
          </w:p>
        </w:tc>
        <w:tc>
          <w:tcPr>
            <w:tcW w:w="903" w:type="pct"/>
            <w:tcBorders>
              <w:tl2br w:val="nil"/>
              <w:tr2bl w:val="nil"/>
            </w:tcBorders>
            <w:shd w:val="clear" w:color="auto" w:fill="auto"/>
            <w:noWrap w:val="0"/>
            <w:vAlign w:val="center"/>
          </w:tcPr>
          <w:p>
            <w:pPr>
              <w:pStyle w:val="42"/>
              <w:shd w:val="clear"/>
              <w:bidi w:val="0"/>
              <w:jc w:val="center"/>
              <w:rPr>
                <w:rFonts w:hint="default"/>
                <w:color w:val="0000FF"/>
                <w:highlight w:val="none"/>
                <w:lang w:val="en-US" w:eastAsia="zh-CN"/>
              </w:rPr>
            </w:pPr>
            <w:r>
              <w:rPr>
                <w:rFonts w:hint="eastAsia"/>
                <w:color w:val="0000FF"/>
                <w:highlight w:val="none"/>
                <w:lang w:val="en-US" w:eastAsia="zh-CN"/>
              </w:rPr>
              <w:t>6</w:t>
            </w:r>
          </w:p>
        </w:tc>
        <w:tc>
          <w:tcPr>
            <w:tcW w:w="767"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山雀科</w:t>
            </w:r>
            <w:r>
              <w:rPr>
                <w:rFonts w:hint="default"/>
                <w:color w:val="0000FF"/>
                <w:highlight w:val="none"/>
              </w:rPr>
              <w:t>Paridae</w:t>
            </w:r>
          </w:p>
        </w:tc>
        <w:tc>
          <w:tcPr>
            <w:tcW w:w="903"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2</w:t>
            </w:r>
          </w:p>
        </w:tc>
        <w:tc>
          <w:tcPr>
            <w:tcW w:w="767"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鳾科</w:t>
            </w:r>
            <w:r>
              <w:rPr>
                <w:rFonts w:hint="default"/>
                <w:color w:val="0000FF"/>
                <w:highlight w:val="none"/>
              </w:rPr>
              <w:t>Sittidae</w:t>
            </w:r>
          </w:p>
        </w:tc>
        <w:tc>
          <w:tcPr>
            <w:tcW w:w="903" w:type="pct"/>
            <w:tcBorders>
              <w:tl2br w:val="nil"/>
              <w:tr2bl w:val="nil"/>
            </w:tcBorders>
            <w:shd w:val="clear" w:color="auto" w:fill="auto"/>
            <w:noWrap w:val="0"/>
            <w:vAlign w:val="center"/>
          </w:tcPr>
          <w:p>
            <w:pPr>
              <w:pStyle w:val="42"/>
              <w:shd w:val="clear"/>
              <w:bidi w:val="0"/>
              <w:jc w:val="center"/>
              <w:rPr>
                <w:rFonts w:hint="default"/>
                <w:color w:val="0000FF"/>
                <w:highlight w:val="none"/>
                <w:lang w:val="en-US"/>
              </w:rPr>
            </w:pPr>
            <w:r>
              <w:rPr>
                <w:rFonts w:hint="default"/>
                <w:color w:val="0000FF"/>
                <w:highlight w:val="none"/>
                <w:lang w:val="en-US" w:eastAsia="zh-TW"/>
              </w:rPr>
              <w:t>1</w:t>
            </w:r>
          </w:p>
        </w:tc>
        <w:tc>
          <w:tcPr>
            <w:tcW w:w="76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6" w:hRule="exact"/>
          <w:jc w:val="center"/>
        </w:trPr>
        <w:tc>
          <w:tcPr>
            <w:tcW w:w="1657"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文鸟科</w:t>
            </w:r>
            <w:r>
              <w:rPr>
                <w:rFonts w:hint="default"/>
                <w:color w:val="0000FF"/>
                <w:highlight w:val="none"/>
              </w:rPr>
              <w:t>Ploceidae</w:t>
            </w:r>
          </w:p>
        </w:tc>
        <w:tc>
          <w:tcPr>
            <w:tcW w:w="903"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2</w:t>
            </w:r>
          </w:p>
        </w:tc>
        <w:tc>
          <w:tcPr>
            <w:tcW w:w="76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雀科</w:t>
            </w:r>
            <w:r>
              <w:rPr>
                <w:rFonts w:hint="default"/>
                <w:color w:val="0000FF"/>
                <w:highlight w:val="none"/>
              </w:rPr>
              <w:t>Fringillidae</w:t>
            </w:r>
          </w:p>
        </w:tc>
        <w:tc>
          <w:tcPr>
            <w:tcW w:w="903"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1</w:t>
            </w:r>
          </w:p>
        </w:tc>
        <w:tc>
          <w:tcPr>
            <w:tcW w:w="767"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1657" w:type="pct"/>
            <w:vMerge w:val="continue"/>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鹀科</w:t>
            </w:r>
            <w:r>
              <w:rPr>
                <w:rFonts w:hint="default"/>
                <w:color w:val="0000FF"/>
                <w:highlight w:val="none"/>
              </w:rPr>
              <w:t>Emberizidae</w:t>
            </w:r>
          </w:p>
        </w:tc>
        <w:tc>
          <w:tcPr>
            <w:tcW w:w="903"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2</w:t>
            </w:r>
          </w:p>
        </w:tc>
        <w:tc>
          <w:tcPr>
            <w:tcW w:w="767"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6" w:hRule="exact"/>
          <w:jc w:val="center"/>
        </w:trPr>
        <w:tc>
          <w:tcPr>
            <w:tcW w:w="165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合计：8目</w:t>
            </w:r>
          </w:p>
        </w:tc>
        <w:tc>
          <w:tcPr>
            <w:tcW w:w="1671"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2</w:t>
            </w:r>
            <w:r>
              <w:rPr>
                <w:rFonts w:hint="eastAsia"/>
                <w:color w:val="0000FF"/>
                <w:highlight w:val="none"/>
                <w:lang w:val="en-US" w:eastAsia="zh-CN"/>
              </w:rPr>
              <w:t>4</w:t>
            </w:r>
            <w:r>
              <w:rPr>
                <w:rFonts w:hint="default"/>
                <w:color w:val="0000FF"/>
                <w:highlight w:val="none"/>
                <w:lang w:val="zh-TW" w:eastAsia="zh-TW"/>
              </w:rPr>
              <w:t>科</w:t>
            </w:r>
          </w:p>
        </w:tc>
        <w:tc>
          <w:tcPr>
            <w:tcW w:w="903"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eastAsia"/>
                <w:color w:val="0000FF"/>
                <w:highlight w:val="none"/>
                <w:lang w:val="en-US" w:eastAsia="zh-CN"/>
              </w:rPr>
              <w:t>37</w:t>
            </w:r>
            <w:r>
              <w:rPr>
                <w:rFonts w:hint="default"/>
                <w:color w:val="0000FF"/>
                <w:highlight w:val="none"/>
                <w:lang w:val="zh-TW" w:eastAsia="zh-TW"/>
              </w:rPr>
              <w:t>属</w:t>
            </w:r>
          </w:p>
        </w:tc>
        <w:tc>
          <w:tcPr>
            <w:tcW w:w="767"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eastAsia"/>
                <w:color w:val="0000FF"/>
                <w:highlight w:val="none"/>
                <w:lang w:val="en-US" w:eastAsia="zh-CN"/>
              </w:rPr>
              <w:t>4</w:t>
            </w:r>
            <w:r>
              <w:rPr>
                <w:rFonts w:hint="default"/>
                <w:color w:val="0000FF"/>
                <w:highlight w:val="none"/>
                <w:lang w:val="en-US" w:eastAsia="zh-CN"/>
              </w:rPr>
              <w:t>7</w:t>
            </w:r>
            <w:r>
              <w:rPr>
                <w:rFonts w:hint="default"/>
                <w:color w:val="0000FF"/>
                <w:highlight w:val="none"/>
                <w:lang w:val="zh-TW" w:eastAsia="zh-TW"/>
              </w:rPr>
              <w:t>种</w:t>
            </w:r>
          </w:p>
        </w:tc>
      </w:tr>
    </w:tbl>
    <w:p>
      <w:pPr>
        <w:shd w:val="clear"/>
        <w:bidi w:val="0"/>
        <w:ind w:firstLine="480" w:firstLineChars="200"/>
        <w:rPr>
          <w:rFonts w:hint="default"/>
          <w:color w:val="0000FF"/>
          <w:highlight w:val="none"/>
        </w:rPr>
      </w:pPr>
      <w:r>
        <w:rPr>
          <w:rFonts w:hint="default"/>
          <w:color w:val="0000FF"/>
          <w:highlight w:val="none"/>
          <w:lang w:val="zh-TW" w:eastAsia="zh-TW"/>
        </w:rPr>
        <w:t>评价区内记述的</w:t>
      </w:r>
      <w:r>
        <w:rPr>
          <w:rFonts w:hint="eastAsia"/>
          <w:color w:val="0000FF"/>
          <w:highlight w:val="none"/>
          <w:lang w:val="en-US" w:eastAsia="zh-CN"/>
        </w:rPr>
        <w:t>4</w:t>
      </w:r>
      <w:r>
        <w:rPr>
          <w:rFonts w:hint="default"/>
          <w:color w:val="0000FF"/>
          <w:highlight w:val="none"/>
          <w:lang w:val="en-US" w:eastAsia="zh-CN"/>
        </w:rPr>
        <w:t>7</w:t>
      </w:r>
      <w:r>
        <w:rPr>
          <w:rFonts w:hint="default"/>
          <w:color w:val="0000FF"/>
          <w:highlight w:val="none"/>
          <w:lang w:val="zh-TW" w:eastAsia="zh-TW"/>
        </w:rPr>
        <w:t>种鸟类中，大部分为留鸟和冬候鸟，分别有</w:t>
      </w:r>
      <w:r>
        <w:rPr>
          <w:rFonts w:hint="eastAsia"/>
          <w:color w:val="0000FF"/>
          <w:highlight w:val="none"/>
          <w:lang w:val="en-US" w:eastAsia="zh-CN"/>
        </w:rPr>
        <w:t>32</w:t>
      </w:r>
      <w:r>
        <w:rPr>
          <w:rFonts w:hint="default"/>
          <w:color w:val="0000FF"/>
          <w:highlight w:val="none"/>
          <w:lang w:val="zh-TW" w:eastAsia="zh-TW"/>
        </w:rPr>
        <w:t>种和</w:t>
      </w:r>
      <w:r>
        <w:rPr>
          <w:rFonts w:hint="eastAsia"/>
          <w:color w:val="0000FF"/>
          <w:highlight w:val="none"/>
          <w:lang w:val="en-US" w:eastAsia="zh-CN"/>
        </w:rPr>
        <w:t>7</w:t>
      </w:r>
      <w:r>
        <w:rPr>
          <w:rFonts w:hint="default"/>
          <w:color w:val="0000FF"/>
          <w:highlight w:val="none"/>
          <w:lang w:val="zh-TW" w:eastAsia="zh-TW"/>
        </w:rPr>
        <w:t>种，少量夏候鸟</w:t>
      </w:r>
      <w:r>
        <w:rPr>
          <w:rFonts w:hint="default"/>
          <w:color w:val="0000FF"/>
          <w:highlight w:val="none"/>
          <w:lang w:val="en-US" w:eastAsia="en-US"/>
        </w:rPr>
        <w:t>（</w:t>
      </w:r>
      <w:r>
        <w:rPr>
          <w:rFonts w:hint="eastAsia"/>
          <w:color w:val="0000FF"/>
          <w:highlight w:val="none"/>
          <w:lang w:val="en-US" w:eastAsia="zh-CN"/>
        </w:rPr>
        <w:t>8</w:t>
      </w:r>
      <w:r>
        <w:rPr>
          <w:rFonts w:hint="default"/>
          <w:color w:val="0000FF"/>
          <w:highlight w:val="none"/>
          <w:lang w:val="zh-TW" w:eastAsia="zh-TW"/>
        </w:rPr>
        <w:t>种</w:t>
      </w:r>
      <w:r>
        <w:rPr>
          <w:rFonts w:hint="default"/>
          <w:color w:val="0000FF"/>
          <w:highlight w:val="none"/>
          <w:lang w:val="en-US" w:eastAsia="en-US"/>
        </w:rPr>
        <w:t>）；</w:t>
      </w:r>
      <w:r>
        <w:rPr>
          <w:rFonts w:hint="default"/>
          <w:color w:val="0000FF"/>
          <w:highlight w:val="none"/>
          <w:lang w:val="zh-TW" w:eastAsia="zh-TW"/>
        </w:rPr>
        <w:t>见下表。</w:t>
      </w:r>
    </w:p>
    <w:p>
      <w:pPr>
        <w:pStyle w:val="40"/>
        <w:shd w:val="clear"/>
        <w:bidi w:val="0"/>
        <w:rPr>
          <w:rFonts w:hint="default"/>
          <w:color w:val="0000FF"/>
          <w:highlight w:val="none"/>
          <w:lang w:val="zh-TW" w:eastAsia="zh-TW"/>
        </w:rPr>
      </w:pPr>
      <w:r>
        <w:rPr>
          <w:rFonts w:hint="default"/>
          <w:color w:val="0000FF"/>
          <w:highlight w:val="none"/>
          <w:lang w:val="zh-TW" w:eastAsia="zh-TW"/>
        </w:rPr>
        <w:t>表</w:t>
      </w:r>
      <w:r>
        <w:rPr>
          <w:rFonts w:hint="eastAsia"/>
          <w:color w:val="0000FF"/>
          <w:highlight w:val="none"/>
          <w:lang w:val="en-US" w:eastAsia="zh-CN"/>
        </w:rPr>
        <w:t xml:space="preserve">4.2.5-11  </w:t>
      </w:r>
      <w:r>
        <w:rPr>
          <w:rFonts w:hint="default"/>
          <w:color w:val="0000FF"/>
          <w:highlight w:val="none"/>
          <w:lang w:val="zh-TW" w:eastAsia="zh-TW"/>
        </w:rPr>
        <w:t>影响评价区鸟类居留状况统计表</w:t>
      </w:r>
    </w:p>
    <w:tbl>
      <w:tblPr>
        <w:tblStyle w:val="29"/>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2016"/>
        <w:gridCol w:w="1374"/>
        <w:gridCol w:w="1409"/>
        <w:gridCol w:w="1781"/>
        <w:gridCol w:w="173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55" w:hRule="exact"/>
          <w:jc w:val="center"/>
        </w:trPr>
        <w:tc>
          <w:tcPr>
            <w:tcW w:w="121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居留状态</w:t>
            </w:r>
          </w:p>
        </w:tc>
        <w:tc>
          <w:tcPr>
            <w:tcW w:w="826"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留鸟</w:t>
            </w:r>
          </w:p>
        </w:tc>
        <w:tc>
          <w:tcPr>
            <w:tcW w:w="847"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冬候鸟</w:t>
            </w:r>
          </w:p>
        </w:tc>
        <w:tc>
          <w:tcPr>
            <w:tcW w:w="1071"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夏候鸟</w:t>
            </w:r>
          </w:p>
        </w:tc>
        <w:tc>
          <w:tcPr>
            <w:tcW w:w="1042"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合计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55" w:hRule="exact"/>
          <w:jc w:val="center"/>
        </w:trPr>
        <w:tc>
          <w:tcPr>
            <w:tcW w:w="121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种数</w:t>
            </w:r>
          </w:p>
        </w:tc>
        <w:tc>
          <w:tcPr>
            <w:tcW w:w="826"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eastAsia="宋体"/>
                <w:color w:val="0000FF"/>
                <w:highlight w:val="none"/>
                <w:lang w:val="en-US" w:eastAsia="zh-CN"/>
              </w:rPr>
            </w:pPr>
            <w:r>
              <w:rPr>
                <w:rFonts w:hint="eastAsia"/>
                <w:color w:val="0000FF"/>
                <w:highlight w:val="none"/>
                <w:lang w:val="en-US" w:eastAsia="zh-CN"/>
              </w:rPr>
              <w:t>32</w:t>
            </w:r>
          </w:p>
        </w:tc>
        <w:tc>
          <w:tcPr>
            <w:tcW w:w="847"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7</w:t>
            </w:r>
          </w:p>
        </w:tc>
        <w:tc>
          <w:tcPr>
            <w:tcW w:w="1071"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8</w:t>
            </w:r>
          </w:p>
        </w:tc>
        <w:tc>
          <w:tcPr>
            <w:tcW w:w="1042"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lang w:eastAsia="zh-CN"/>
              </w:rPr>
            </w:pPr>
            <w:r>
              <w:rPr>
                <w:rFonts w:hint="eastAsia"/>
                <w:color w:val="0000FF"/>
                <w:highlight w:val="none"/>
                <w:lang w:val="en-US" w:eastAsia="zh-CN"/>
              </w:rPr>
              <w:t>4</w:t>
            </w:r>
            <w:r>
              <w:rPr>
                <w:rFonts w:hint="default"/>
                <w:color w:val="0000FF"/>
                <w:highlight w:val="none"/>
                <w:lang w:val="en-US" w:eastAsia="zh-CN"/>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60" w:hRule="exact"/>
          <w:jc w:val="center"/>
        </w:trPr>
        <w:tc>
          <w:tcPr>
            <w:tcW w:w="1212"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jc w:val="center"/>
              <w:rPr>
                <w:rFonts w:hint="default"/>
                <w:color w:val="0000FF"/>
                <w:highlight w:val="none"/>
                <w:lang w:eastAsia="zh-CN"/>
              </w:rPr>
            </w:pPr>
            <w:r>
              <w:rPr>
                <w:rFonts w:hint="default"/>
                <w:color w:val="0000FF"/>
                <w:highlight w:val="none"/>
                <w:lang w:val="zh-TW" w:eastAsia="zh-TW"/>
              </w:rPr>
              <w:t>百分比（％</w:t>
            </w:r>
            <w:r>
              <w:rPr>
                <w:rFonts w:hint="default"/>
                <w:color w:val="0000FF"/>
                <w:highlight w:val="none"/>
                <w:lang w:val="zh-TW" w:eastAsia="zh-CN"/>
              </w:rPr>
              <w:t>）</w:t>
            </w:r>
          </w:p>
        </w:tc>
        <w:tc>
          <w:tcPr>
            <w:tcW w:w="826"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6</w:t>
            </w:r>
            <w:r>
              <w:rPr>
                <w:rFonts w:hint="eastAsia"/>
                <w:color w:val="0000FF"/>
                <w:highlight w:val="none"/>
                <w:lang w:val="en-US" w:eastAsia="zh-CN"/>
              </w:rPr>
              <w:t>8.09</w:t>
            </w:r>
            <w:r>
              <w:rPr>
                <w:rFonts w:hint="default"/>
                <w:color w:val="0000FF"/>
                <w:highlight w:val="none"/>
                <w:lang w:val="zh-TW" w:eastAsia="zh-TW"/>
              </w:rPr>
              <w:t>%</w:t>
            </w:r>
          </w:p>
        </w:tc>
        <w:tc>
          <w:tcPr>
            <w:tcW w:w="847"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jc w:val="center"/>
              <w:rPr>
                <w:rFonts w:hint="default"/>
                <w:color w:val="0000FF"/>
                <w:highlight w:val="none"/>
              </w:rPr>
            </w:pPr>
            <w:r>
              <w:rPr>
                <w:rFonts w:hint="eastAsia"/>
                <w:color w:val="0000FF"/>
                <w:highlight w:val="none"/>
                <w:lang w:val="en-US" w:eastAsia="zh-CN"/>
              </w:rPr>
              <w:t>14.89</w:t>
            </w:r>
            <w:r>
              <w:rPr>
                <w:rFonts w:hint="default"/>
                <w:color w:val="0000FF"/>
                <w:highlight w:val="none"/>
                <w:lang w:val="zh-TW" w:eastAsia="zh-TW"/>
              </w:rPr>
              <w:t>%</w:t>
            </w:r>
          </w:p>
        </w:tc>
        <w:tc>
          <w:tcPr>
            <w:tcW w:w="1071"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jc w:val="center"/>
              <w:rPr>
                <w:rFonts w:hint="default"/>
                <w:color w:val="0000FF"/>
                <w:highlight w:val="none"/>
              </w:rPr>
            </w:pPr>
            <w:r>
              <w:rPr>
                <w:rFonts w:hint="eastAsia"/>
                <w:color w:val="0000FF"/>
                <w:highlight w:val="none"/>
                <w:lang w:val="en-US" w:eastAsia="zh-CN"/>
              </w:rPr>
              <w:t>17.02</w:t>
            </w:r>
            <w:r>
              <w:rPr>
                <w:rFonts w:hint="default"/>
                <w:color w:val="0000FF"/>
                <w:highlight w:val="none"/>
                <w:lang w:val="zh-TW" w:eastAsia="zh-TW"/>
              </w:rPr>
              <w:t>%</w:t>
            </w:r>
          </w:p>
        </w:tc>
        <w:tc>
          <w:tcPr>
            <w:tcW w:w="104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100</w:t>
            </w:r>
          </w:p>
        </w:tc>
      </w:tr>
    </w:tbl>
    <w:p>
      <w:pPr>
        <w:shd w:val="clear"/>
        <w:bidi w:val="0"/>
        <w:ind w:firstLine="480" w:firstLineChars="200"/>
        <w:rPr>
          <w:rFonts w:hint="default"/>
          <w:color w:val="0000FF"/>
          <w:highlight w:val="none"/>
          <w:lang w:val="zh-TW" w:eastAsia="zh-TW"/>
        </w:rPr>
      </w:pPr>
      <w:r>
        <w:rPr>
          <w:rFonts w:hint="default"/>
          <w:color w:val="0000FF"/>
          <w:highlight w:val="none"/>
          <w:lang w:val="zh-TW" w:eastAsia="zh-TW"/>
        </w:rPr>
        <w:t>在所记录的</w:t>
      </w:r>
      <w:r>
        <w:rPr>
          <w:rFonts w:hint="eastAsia"/>
          <w:color w:val="0000FF"/>
          <w:highlight w:val="none"/>
          <w:lang w:val="en-US" w:eastAsia="zh-CN"/>
        </w:rPr>
        <w:t>4</w:t>
      </w:r>
      <w:r>
        <w:rPr>
          <w:rFonts w:hint="default"/>
          <w:color w:val="0000FF"/>
          <w:highlight w:val="none"/>
          <w:lang w:val="en-US" w:eastAsia="zh-CN"/>
        </w:rPr>
        <w:t>7</w:t>
      </w:r>
      <w:r>
        <w:rPr>
          <w:rFonts w:hint="default"/>
          <w:color w:val="0000FF"/>
          <w:highlight w:val="none"/>
          <w:lang w:val="zh-TW" w:eastAsia="zh-TW"/>
        </w:rPr>
        <w:t>种鸟类中，冬候鸟和夏候鸟是非繁殖鸟，不参与区系分析，繁殖鸟有</w:t>
      </w:r>
      <w:r>
        <w:rPr>
          <w:rFonts w:hint="eastAsia"/>
          <w:color w:val="0000FF"/>
          <w:highlight w:val="none"/>
          <w:lang w:val="en-US" w:eastAsia="zh-CN"/>
        </w:rPr>
        <w:t>39</w:t>
      </w:r>
      <w:r>
        <w:rPr>
          <w:rFonts w:hint="default"/>
          <w:color w:val="0000FF"/>
          <w:highlight w:val="none"/>
          <w:lang w:val="zh-TW" w:eastAsia="zh-TW"/>
        </w:rPr>
        <w:t>种，以繁殖鸟进行区系组成分析。东洋界物种最多，共有</w:t>
      </w:r>
      <w:r>
        <w:rPr>
          <w:rFonts w:hint="eastAsia"/>
          <w:color w:val="0000FF"/>
          <w:highlight w:val="none"/>
          <w:lang w:val="en-US" w:eastAsia="zh-CN"/>
        </w:rPr>
        <w:t>13</w:t>
      </w:r>
      <w:r>
        <w:rPr>
          <w:rFonts w:hint="default"/>
          <w:color w:val="0000FF"/>
          <w:highlight w:val="none"/>
          <w:lang w:val="zh-TW" w:eastAsia="zh-TW"/>
        </w:rPr>
        <w:t>种，占全部繁殖鸟的</w:t>
      </w:r>
      <w:r>
        <w:rPr>
          <w:rFonts w:hint="eastAsia"/>
          <w:color w:val="0000FF"/>
          <w:highlight w:val="none"/>
          <w:lang w:val="en-US" w:eastAsia="zh-CN"/>
        </w:rPr>
        <w:t>33</w:t>
      </w:r>
      <w:r>
        <w:rPr>
          <w:rFonts w:hint="default"/>
          <w:color w:val="0000FF"/>
          <w:highlight w:val="none"/>
          <w:lang w:val="zh-TW" w:eastAsia="zh-TW"/>
        </w:rPr>
        <w:t>.33%</w:t>
      </w:r>
      <w:r>
        <w:rPr>
          <w:rFonts w:hint="default"/>
          <w:color w:val="0000FF"/>
          <w:highlight w:val="none"/>
          <w:lang w:val="zh-TW" w:eastAsia="zh-CN"/>
        </w:rPr>
        <w:t>；</w:t>
      </w:r>
      <w:r>
        <w:rPr>
          <w:rFonts w:hint="default"/>
          <w:color w:val="0000FF"/>
          <w:highlight w:val="none"/>
          <w:lang w:val="zh-TW" w:eastAsia="zh-TW"/>
        </w:rPr>
        <w:t>其次是东洋-古北两界广布种有2</w:t>
      </w:r>
      <w:r>
        <w:rPr>
          <w:rFonts w:hint="eastAsia"/>
          <w:color w:val="0000FF"/>
          <w:highlight w:val="none"/>
          <w:lang w:val="en-US" w:eastAsia="zh-CN"/>
        </w:rPr>
        <w:t>4</w:t>
      </w:r>
      <w:r>
        <w:rPr>
          <w:rFonts w:hint="default"/>
          <w:color w:val="0000FF"/>
          <w:highlight w:val="none"/>
          <w:lang w:val="zh-TW" w:eastAsia="zh-TW"/>
        </w:rPr>
        <w:t>种，占全部繁殖鸟的</w:t>
      </w:r>
      <w:r>
        <w:rPr>
          <w:rFonts w:hint="eastAsia"/>
          <w:color w:val="0000FF"/>
          <w:highlight w:val="none"/>
          <w:lang w:val="en-US" w:eastAsia="zh-CN"/>
        </w:rPr>
        <w:t>61.54</w:t>
      </w:r>
      <w:r>
        <w:rPr>
          <w:rFonts w:hint="default"/>
          <w:color w:val="0000FF"/>
          <w:highlight w:val="none"/>
          <w:lang w:val="zh-TW" w:eastAsia="zh-TW"/>
        </w:rPr>
        <w:t>%</w:t>
      </w:r>
      <w:r>
        <w:rPr>
          <w:rFonts w:hint="default"/>
          <w:color w:val="0000FF"/>
          <w:highlight w:val="none"/>
          <w:lang w:val="zh-TW" w:eastAsia="zh-CN"/>
        </w:rPr>
        <w:t>；</w:t>
      </w:r>
      <w:r>
        <w:rPr>
          <w:rFonts w:hint="default"/>
          <w:color w:val="0000FF"/>
          <w:highlight w:val="none"/>
          <w:lang w:val="zh-TW" w:eastAsia="zh-TW"/>
        </w:rPr>
        <w:t>其余</w:t>
      </w:r>
      <w:r>
        <w:rPr>
          <w:rFonts w:hint="eastAsia"/>
          <w:color w:val="0000FF"/>
          <w:highlight w:val="none"/>
          <w:lang w:val="en-US" w:eastAsia="zh-CN"/>
        </w:rPr>
        <w:t>2</w:t>
      </w:r>
      <w:r>
        <w:rPr>
          <w:rFonts w:hint="default"/>
          <w:color w:val="0000FF"/>
          <w:highlight w:val="none"/>
          <w:lang w:val="zh-TW" w:eastAsia="zh-TW"/>
        </w:rPr>
        <w:t>种为古北界种，占全部繁殖鸟的</w:t>
      </w:r>
      <w:r>
        <w:rPr>
          <w:rFonts w:hint="eastAsia"/>
          <w:color w:val="0000FF"/>
          <w:highlight w:val="none"/>
          <w:lang w:val="en-US" w:eastAsia="zh-CN"/>
        </w:rPr>
        <w:t>5.1</w:t>
      </w:r>
      <w:r>
        <w:rPr>
          <w:rFonts w:hint="default"/>
          <w:color w:val="0000FF"/>
          <w:highlight w:val="none"/>
          <w:lang w:val="zh-TW" w:eastAsia="zh-TW"/>
        </w:rPr>
        <w:t>3%，详见下表。</w:t>
      </w:r>
    </w:p>
    <w:p>
      <w:pPr>
        <w:pStyle w:val="40"/>
        <w:shd w:val="clear"/>
        <w:bidi w:val="0"/>
        <w:rPr>
          <w:rStyle w:val="78"/>
          <w:rFonts w:hint="default" w:ascii="Times New Roman" w:hAnsi="Times New Roman" w:eastAsia="宋体" w:cs="Times New Roman"/>
          <w:b/>
          <w:bCs/>
          <w:color w:val="0000FF"/>
          <w:szCs w:val="24"/>
          <w:highlight w:val="none"/>
          <w:lang w:val="zh-TW" w:eastAsia="zh-TW"/>
        </w:rPr>
      </w:pPr>
      <w:r>
        <w:rPr>
          <w:rFonts w:hint="default"/>
          <w:color w:val="0000FF"/>
          <w:highlight w:val="none"/>
          <w:lang w:val="zh-TW" w:eastAsia="zh-TW"/>
        </w:rPr>
        <w:t>表</w:t>
      </w:r>
      <w:r>
        <w:rPr>
          <w:rFonts w:hint="eastAsia"/>
          <w:color w:val="0000FF"/>
          <w:highlight w:val="none"/>
          <w:lang w:val="en-US" w:eastAsia="zh-CN"/>
        </w:rPr>
        <w:t xml:space="preserve">4.2.5-12  </w:t>
      </w:r>
      <w:r>
        <w:rPr>
          <w:rFonts w:hint="default"/>
          <w:color w:val="0000FF"/>
          <w:highlight w:val="none"/>
          <w:lang w:val="zh-TW" w:eastAsia="zh-TW"/>
        </w:rPr>
        <w:t>影响评价区繁殖鸟类区系成分统计表</w:t>
      </w:r>
    </w:p>
    <w:tbl>
      <w:tblPr>
        <w:tblStyle w:val="29"/>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2092"/>
        <w:gridCol w:w="1691"/>
        <w:gridCol w:w="1686"/>
        <w:gridCol w:w="1686"/>
        <w:gridCol w:w="115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8" w:hRule="exact"/>
          <w:jc w:val="center"/>
        </w:trPr>
        <w:tc>
          <w:tcPr>
            <w:tcW w:w="1258"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lang w:val="zh-TW" w:eastAsia="zh-TW"/>
              </w:rPr>
            </w:pPr>
            <w:r>
              <w:rPr>
                <w:rFonts w:hint="default"/>
                <w:color w:val="0000FF"/>
                <w:highlight w:val="none"/>
                <w:lang w:val="zh-TW" w:eastAsia="zh-TW"/>
              </w:rPr>
              <w:t>区系从属</w:t>
            </w:r>
          </w:p>
        </w:tc>
        <w:tc>
          <w:tcPr>
            <w:tcW w:w="1017"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lang w:val="zh-TW" w:eastAsia="zh-TW"/>
              </w:rPr>
            </w:pPr>
            <w:r>
              <w:rPr>
                <w:rFonts w:hint="default"/>
                <w:color w:val="0000FF"/>
                <w:highlight w:val="none"/>
                <w:lang w:val="zh-TW" w:eastAsia="zh-TW"/>
              </w:rPr>
              <w:t>东洋界</w:t>
            </w:r>
          </w:p>
        </w:tc>
        <w:tc>
          <w:tcPr>
            <w:tcW w:w="1014"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lang w:val="zh-TW" w:eastAsia="zh-TW"/>
              </w:rPr>
            </w:pPr>
            <w:r>
              <w:rPr>
                <w:rFonts w:hint="default"/>
                <w:color w:val="0000FF"/>
                <w:highlight w:val="none"/>
                <w:lang w:val="zh-TW" w:eastAsia="zh-TW"/>
              </w:rPr>
              <w:t>古北界</w:t>
            </w:r>
          </w:p>
        </w:tc>
        <w:tc>
          <w:tcPr>
            <w:tcW w:w="1014"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lang w:val="zh-TW" w:eastAsia="zh-TW"/>
              </w:rPr>
            </w:pPr>
            <w:r>
              <w:rPr>
                <w:rFonts w:hint="default"/>
                <w:color w:val="0000FF"/>
                <w:highlight w:val="none"/>
                <w:lang w:val="zh-TW" w:eastAsia="zh-TW"/>
              </w:rPr>
              <w:t>广布种</w:t>
            </w:r>
          </w:p>
        </w:tc>
        <w:tc>
          <w:tcPr>
            <w:tcW w:w="696"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lang w:val="zh-TW" w:eastAsia="zh-TW"/>
              </w:rPr>
            </w:pPr>
            <w:r>
              <w:rPr>
                <w:rFonts w:hint="default"/>
                <w:color w:val="0000FF"/>
                <w:highlight w:val="none"/>
                <w:lang w:val="zh-TW" w:eastAsia="zh-TW"/>
              </w:rPr>
              <w:t>合计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0" w:hRule="exact"/>
          <w:jc w:val="center"/>
        </w:trPr>
        <w:tc>
          <w:tcPr>
            <w:tcW w:w="1258"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lang w:val="zh-TW" w:eastAsia="zh-TW"/>
              </w:rPr>
            </w:pPr>
            <w:r>
              <w:rPr>
                <w:rFonts w:hint="default"/>
                <w:color w:val="0000FF"/>
                <w:highlight w:val="none"/>
                <w:lang w:val="zh-TW" w:eastAsia="zh-TW"/>
              </w:rPr>
              <w:t>种数</w:t>
            </w:r>
          </w:p>
        </w:tc>
        <w:tc>
          <w:tcPr>
            <w:tcW w:w="1017"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eastAsia="宋体"/>
                <w:color w:val="0000FF"/>
                <w:highlight w:val="none"/>
                <w:lang w:val="en-US" w:eastAsia="zh-CN"/>
              </w:rPr>
            </w:pPr>
            <w:r>
              <w:rPr>
                <w:rFonts w:hint="eastAsia"/>
                <w:color w:val="0000FF"/>
                <w:highlight w:val="none"/>
                <w:lang w:val="en-US" w:eastAsia="zh-CN"/>
              </w:rPr>
              <w:t>13</w:t>
            </w:r>
          </w:p>
        </w:tc>
        <w:tc>
          <w:tcPr>
            <w:tcW w:w="1014"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eastAsia" w:eastAsia="宋体"/>
                <w:color w:val="0000FF"/>
                <w:highlight w:val="none"/>
                <w:lang w:val="zh-TW" w:eastAsia="zh-CN"/>
              </w:rPr>
            </w:pPr>
            <w:r>
              <w:rPr>
                <w:rFonts w:hint="eastAsia"/>
                <w:color w:val="0000FF"/>
                <w:highlight w:val="none"/>
                <w:lang w:val="en-US" w:eastAsia="zh-CN"/>
              </w:rPr>
              <w:t>2</w:t>
            </w:r>
          </w:p>
        </w:tc>
        <w:tc>
          <w:tcPr>
            <w:tcW w:w="1014"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eastAsia="宋体"/>
                <w:color w:val="0000FF"/>
                <w:highlight w:val="none"/>
                <w:lang w:val="en-US" w:eastAsia="zh-CN"/>
              </w:rPr>
            </w:pPr>
            <w:r>
              <w:rPr>
                <w:rFonts w:hint="eastAsia"/>
                <w:color w:val="0000FF"/>
                <w:highlight w:val="none"/>
                <w:lang w:val="en-US" w:eastAsia="zh-CN"/>
              </w:rPr>
              <w:t>24</w:t>
            </w:r>
          </w:p>
        </w:tc>
        <w:tc>
          <w:tcPr>
            <w:tcW w:w="696"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eastAsia="宋体"/>
                <w:color w:val="0000FF"/>
                <w:highlight w:val="none"/>
                <w:lang w:val="en-US" w:eastAsia="zh-CN"/>
              </w:rPr>
            </w:pPr>
            <w:r>
              <w:rPr>
                <w:rFonts w:hint="eastAsia"/>
                <w:color w:val="0000FF"/>
                <w:highlight w:val="none"/>
                <w:lang w:val="en-US" w:eastAsia="zh-CN"/>
              </w:rPr>
              <w:t>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65" w:hRule="exact"/>
          <w:jc w:val="center"/>
        </w:trPr>
        <w:tc>
          <w:tcPr>
            <w:tcW w:w="1258"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jc w:val="center"/>
              <w:rPr>
                <w:rFonts w:hint="default"/>
                <w:color w:val="0000FF"/>
                <w:highlight w:val="none"/>
                <w:lang w:val="zh-TW" w:eastAsia="zh-CN"/>
              </w:rPr>
            </w:pPr>
            <w:r>
              <w:rPr>
                <w:rFonts w:hint="default"/>
                <w:color w:val="0000FF"/>
                <w:highlight w:val="none"/>
                <w:lang w:val="zh-TW" w:eastAsia="zh-TW"/>
              </w:rPr>
              <w:t>百分比（％</w:t>
            </w:r>
            <w:r>
              <w:rPr>
                <w:rFonts w:hint="default"/>
                <w:color w:val="0000FF"/>
                <w:highlight w:val="none"/>
                <w:lang w:val="zh-TW" w:eastAsia="zh-CN"/>
              </w:rPr>
              <w:t>）</w:t>
            </w:r>
          </w:p>
        </w:tc>
        <w:tc>
          <w:tcPr>
            <w:tcW w:w="1691"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color w:val="0000FF"/>
                <w:highlight w:val="none"/>
                <w:lang w:val="zh-TW" w:eastAsia="zh-TW"/>
              </w:rPr>
            </w:pPr>
            <w:r>
              <w:rPr>
                <w:rFonts w:hint="default" w:ascii="Times New Roman" w:hAnsi="Times New Roman" w:eastAsia="宋体" w:cs="Times New Roman"/>
                <w:i w:val="0"/>
                <w:iCs w:val="0"/>
                <w:color w:val="0000FF"/>
                <w:kern w:val="0"/>
                <w:sz w:val="21"/>
                <w:szCs w:val="21"/>
                <w:u w:val="none"/>
                <w:lang w:val="en-US" w:eastAsia="zh-CN" w:bidi="ar"/>
              </w:rPr>
              <w:t>33.33%</w:t>
            </w:r>
          </w:p>
        </w:tc>
        <w:tc>
          <w:tcPr>
            <w:tcW w:w="1686"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color w:val="0000FF"/>
                <w:highlight w:val="none"/>
                <w:lang w:val="zh-TW" w:eastAsia="zh-TW"/>
              </w:rPr>
            </w:pPr>
            <w:r>
              <w:rPr>
                <w:rFonts w:hint="default" w:ascii="Times New Roman" w:hAnsi="Times New Roman" w:eastAsia="宋体" w:cs="Times New Roman"/>
                <w:i w:val="0"/>
                <w:iCs w:val="0"/>
                <w:color w:val="0000FF"/>
                <w:kern w:val="0"/>
                <w:sz w:val="21"/>
                <w:szCs w:val="21"/>
                <w:u w:val="none"/>
                <w:lang w:val="en-US" w:eastAsia="zh-CN" w:bidi="ar"/>
              </w:rPr>
              <w:t>5.13%</w:t>
            </w:r>
          </w:p>
        </w:tc>
        <w:tc>
          <w:tcPr>
            <w:tcW w:w="1686"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color w:val="0000FF"/>
                <w:highlight w:val="none"/>
                <w:lang w:val="zh-TW" w:eastAsia="zh-TW"/>
              </w:rPr>
            </w:pPr>
            <w:r>
              <w:rPr>
                <w:rFonts w:hint="default" w:ascii="Times New Roman" w:hAnsi="Times New Roman" w:eastAsia="宋体" w:cs="Times New Roman"/>
                <w:i w:val="0"/>
                <w:iCs w:val="0"/>
                <w:color w:val="0000FF"/>
                <w:kern w:val="0"/>
                <w:sz w:val="21"/>
                <w:szCs w:val="21"/>
                <w:u w:val="none"/>
                <w:lang w:val="en-US" w:eastAsia="zh-CN" w:bidi="ar"/>
              </w:rPr>
              <w:t>61.54%</w:t>
            </w:r>
          </w:p>
        </w:tc>
        <w:tc>
          <w:tcPr>
            <w:tcW w:w="1158"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color w:val="0000FF"/>
                <w:highlight w:val="none"/>
                <w:lang w:val="zh-TW" w:eastAsia="zh-TW"/>
              </w:rPr>
            </w:pPr>
            <w:r>
              <w:rPr>
                <w:rFonts w:hint="default" w:ascii="Times New Roman" w:hAnsi="Times New Roman" w:eastAsia="宋体" w:cs="Times New Roman"/>
                <w:i w:val="0"/>
                <w:iCs w:val="0"/>
                <w:color w:val="0000FF"/>
                <w:kern w:val="0"/>
                <w:sz w:val="21"/>
                <w:szCs w:val="21"/>
                <w:u w:val="none"/>
                <w:lang w:val="en-US" w:eastAsia="zh-CN" w:bidi="ar"/>
              </w:rPr>
              <w:t>33.33%</w:t>
            </w:r>
          </w:p>
        </w:tc>
      </w:tr>
    </w:tbl>
    <w:p>
      <w:pPr>
        <w:shd w:val="clear"/>
        <w:bidi w:val="0"/>
        <w:ind w:firstLine="480" w:firstLineChars="200"/>
        <w:rPr>
          <w:rFonts w:hint="default"/>
          <w:color w:val="0000FF"/>
          <w:highlight w:val="none"/>
          <w:lang w:val="zh-TW" w:eastAsia="zh-TW"/>
        </w:rPr>
      </w:pPr>
      <w:r>
        <w:rPr>
          <w:rFonts w:hint="default"/>
          <w:color w:val="0000FF"/>
          <w:highlight w:val="none"/>
          <w:lang w:val="zh-TW" w:eastAsia="zh-TW"/>
        </w:rPr>
        <w:t>影响评价区所处区域在中国动物区划中属于东洋界西南区</w:t>
      </w:r>
      <w:r>
        <w:rPr>
          <w:rFonts w:hint="default"/>
          <w:color w:val="0000FF"/>
          <w:highlight w:val="none"/>
          <w:lang w:val="en-US" w:eastAsia="en-US"/>
        </w:rPr>
        <w:t>（</w:t>
      </w:r>
      <w:r>
        <w:rPr>
          <w:rFonts w:hint="default"/>
          <w:color w:val="0000FF"/>
          <w:highlight w:val="none"/>
          <w:lang w:val="zh-TW" w:eastAsia="zh-TW"/>
        </w:rPr>
        <w:t>西南山地亚区），从记述的影响评价区内分布的鸟类区系特点上，分界特征上与当地在中国动物地理区划中的位置基本相符。</w:t>
      </w:r>
    </w:p>
    <w:p>
      <w:pPr>
        <w:shd w:val="clear"/>
        <w:bidi w:val="0"/>
        <w:ind w:firstLine="480" w:firstLineChars="200"/>
        <w:rPr>
          <w:rFonts w:hint="default"/>
          <w:color w:val="0000FF"/>
          <w:highlight w:val="none"/>
          <w:lang w:val="zh-TW" w:eastAsia="zh-TW"/>
        </w:rPr>
      </w:pPr>
      <w:r>
        <w:rPr>
          <w:rFonts w:hint="eastAsia"/>
          <w:color w:val="0000FF"/>
          <w:highlight w:val="none"/>
          <w:lang w:val="en-US" w:eastAsia="zh-CN"/>
        </w:rPr>
        <w:t>4）</w:t>
      </w:r>
      <w:r>
        <w:rPr>
          <w:rFonts w:hint="default"/>
          <w:color w:val="0000FF"/>
          <w:highlight w:val="none"/>
          <w:lang w:val="zh-TW" w:eastAsia="zh-TW"/>
        </w:rPr>
        <w:t>兽类</w:t>
      </w:r>
    </w:p>
    <w:p>
      <w:pPr>
        <w:shd w:val="clear"/>
        <w:bidi w:val="0"/>
        <w:ind w:firstLine="480" w:firstLineChars="200"/>
        <w:rPr>
          <w:rFonts w:hint="default"/>
          <w:color w:val="0000FF"/>
          <w:highlight w:val="none"/>
          <w:lang w:val="zh-TW" w:eastAsia="zh-TW"/>
        </w:rPr>
      </w:pPr>
      <w:r>
        <w:rPr>
          <w:rFonts w:hint="default"/>
          <w:color w:val="0000FF"/>
          <w:highlight w:val="none"/>
          <w:lang w:val="zh-TW" w:eastAsia="zh-TW"/>
        </w:rPr>
        <w:t>评价区的兽类以小型的啮齿占绝大多数，较大型的兽类和数量都少，与评价区周边乡镇、县城和工业园区、村寨人口多、耕地多、生产活动广泛，环境受人为影响程度较大有关。兽类动物的分布区类型、资源现状及保护情况见附录。</w:t>
      </w:r>
    </w:p>
    <w:p>
      <w:pPr>
        <w:shd w:val="clear"/>
        <w:bidi w:val="0"/>
        <w:ind w:firstLine="480" w:firstLineChars="200"/>
        <w:rPr>
          <w:rFonts w:hint="default"/>
          <w:color w:val="0000FF"/>
          <w:highlight w:val="none"/>
          <w:lang w:val="zh-TW" w:eastAsia="zh-TW"/>
        </w:rPr>
      </w:pPr>
      <w:r>
        <w:rPr>
          <w:rFonts w:hint="default"/>
          <w:color w:val="0000FF"/>
          <w:highlight w:val="none"/>
          <w:lang w:val="zh-TW" w:eastAsia="zh-TW"/>
        </w:rPr>
        <w:t>参照</w:t>
      </w:r>
      <w:r>
        <w:rPr>
          <w:rFonts w:hint="eastAsia"/>
          <w:color w:val="0000FF"/>
          <w:highlight w:val="none"/>
          <w:lang w:val="zh-TW" w:eastAsia="zh-CN"/>
        </w:rPr>
        <w:t>“</w:t>
      </w:r>
      <w:r>
        <w:rPr>
          <w:rFonts w:hint="default"/>
          <w:color w:val="0000FF"/>
          <w:highlight w:val="none"/>
          <w:lang w:val="zh-TW" w:eastAsia="zh-TW"/>
        </w:rPr>
        <w:t>中国兽类名录</w:t>
      </w:r>
      <w:r>
        <w:rPr>
          <w:rFonts w:hint="default"/>
          <w:color w:val="0000FF"/>
          <w:highlight w:val="none"/>
          <w:lang w:val="en-US" w:eastAsia="en-US"/>
        </w:rPr>
        <w:t>（2021</w:t>
      </w:r>
      <w:r>
        <w:rPr>
          <w:rFonts w:hint="default"/>
          <w:color w:val="0000FF"/>
          <w:highlight w:val="none"/>
          <w:lang w:val="zh-TW" w:eastAsia="zh-TW"/>
        </w:rPr>
        <w:t>版</w:t>
      </w:r>
      <w:r>
        <w:rPr>
          <w:rFonts w:hint="default"/>
          <w:color w:val="0000FF"/>
          <w:highlight w:val="none"/>
          <w:lang w:val="en-US" w:eastAsia="en-US"/>
        </w:rPr>
        <w:t>）</w:t>
      </w:r>
      <w:r>
        <w:rPr>
          <w:rFonts w:hint="eastAsia"/>
          <w:color w:val="0000FF"/>
          <w:highlight w:val="none"/>
          <w:lang w:val="zh-TW" w:eastAsia="zh-CN"/>
        </w:rPr>
        <w:t>”</w:t>
      </w:r>
      <w:r>
        <w:rPr>
          <w:rFonts w:hint="default"/>
          <w:color w:val="0000FF"/>
          <w:highlight w:val="none"/>
          <w:lang w:val="zh-TW" w:eastAsia="zh-TW"/>
        </w:rPr>
        <w:t>（魏辅文等，</w:t>
      </w:r>
      <w:r>
        <w:rPr>
          <w:rFonts w:hint="default"/>
          <w:color w:val="0000FF"/>
          <w:highlight w:val="none"/>
          <w:lang w:val="en-US" w:eastAsia="en-US"/>
        </w:rPr>
        <w:t>2021</w:t>
      </w:r>
      <w:r>
        <w:rPr>
          <w:rFonts w:hint="default"/>
          <w:color w:val="0000FF"/>
          <w:highlight w:val="none"/>
          <w:lang w:val="en-US" w:eastAsia="zh-CN"/>
        </w:rPr>
        <w:t>）</w:t>
      </w:r>
      <w:r>
        <w:rPr>
          <w:rFonts w:hint="default"/>
          <w:color w:val="0000FF"/>
          <w:highlight w:val="none"/>
          <w:lang w:val="zh-TW" w:eastAsia="zh-TW"/>
        </w:rPr>
        <w:t>进行编目，评价区记录到兽类</w:t>
      </w:r>
      <w:r>
        <w:rPr>
          <w:rFonts w:hint="eastAsia"/>
          <w:color w:val="0000FF"/>
          <w:highlight w:val="none"/>
          <w:lang w:val="en-US" w:eastAsia="zh-CN"/>
        </w:rPr>
        <w:t>3</w:t>
      </w:r>
      <w:r>
        <w:rPr>
          <w:rFonts w:hint="default"/>
          <w:color w:val="0000FF"/>
          <w:highlight w:val="none"/>
          <w:lang w:val="zh-TW" w:eastAsia="zh-TW"/>
        </w:rPr>
        <w:t>目</w:t>
      </w:r>
      <w:r>
        <w:rPr>
          <w:rFonts w:hint="eastAsia"/>
          <w:color w:val="0000FF"/>
          <w:highlight w:val="none"/>
          <w:lang w:val="en-US" w:eastAsia="zh-CN"/>
        </w:rPr>
        <w:t>6</w:t>
      </w:r>
      <w:r>
        <w:rPr>
          <w:rFonts w:hint="default"/>
          <w:color w:val="0000FF"/>
          <w:highlight w:val="none"/>
          <w:lang w:val="zh-TW" w:eastAsia="zh-TW"/>
        </w:rPr>
        <w:t>科</w:t>
      </w:r>
      <w:r>
        <w:rPr>
          <w:rFonts w:hint="eastAsia"/>
          <w:color w:val="0000FF"/>
          <w:highlight w:val="none"/>
          <w:lang w:val="en-US" w:eastAsia="zh-CN"/>
        </w:rPr>
        <w:t>8</w:t>
      </w:r>
      <w:r>
        <w:rPr>
          <w:rFonts w:hint="default"/>
          <w:color w:val="0000FF"/>
          <w:highlight w:val="none"/>
          <w:lang w:val="zh-TW" w:eastAsia="zh-TW"/>
        </w:rPr>
        <w:t>属</w:t>
      </w:r>
      <w:r>
        <w:rPr>
          <w:rFonts w:hint="eastAsia"/>
          <w:color w:val="0000FF"/>
          <w:highlight w:val="none"/>
          <w:lang w:val="en-US" w:eastAsia="zh-CN"/>
        </w:rPr>
        <w:t>9</w:t>
      </w:r>
      <w:r>
        <w:rPr>
          <w:rFonts w:hint="default"/>
          <w:color w:val="0000FF"/>
          <w:highlight w:val="none"/>
          <w:lang w:val="zh-TW" w:eastAsia="zh-TW"/>
        </w:rPr>
        <w:t>种。从区系成分上看，东洋界物种占绝大多数，达到</w:t>
      </w:r>
      <w:r>
        <w:rPr>
          <w:rFonts w:hint="eastAsia"/>
          <w:color w:val="0000FF"/>
          <w:highlight w:val="none"/>
          <w:lang w:val="en-US" w:eastAsia="zh-CN"/>
        </w:rPr>
        <w:t>6</w:t>
      </w:r>
      <w:r>
        <w:rPr>
          <w:rFonts w:hint="default"/>
          <w:color w:val="0000FF"/>
          <w:highlight w:val="none"/>
          <w:lang w:val="zh-TW" w:eastAsia="zh-TW"/>
        </w:rPr>
        <w:t>种，占影响评价区兽类种数的</w:t>
      </w:r>
      <w:r>
        <w:rPr>
          <w:rFonts w:hint="eastAsia"/>
          <w:color w:val="0000FF"/>
          <w:highlight w:val="none"/>
          <w:lang w:val="en-US" w:eastAsia="zh-CN"/>
        </w:rPr>
        <w:t>66.67</w:t>
      </w:r>
      <w:r>
        <w:rPr>
          <w:rFonts w:hint="default"/>
          <w:color w:val="0000FF"/>
          <w:highlight w:val="none"/>
          <w:lang w:val="zh-TW" w:eastAsia="zh-TW"/>
        </w:rPr>
        <w:t>%</w:t>
      </w:r>
      <w:r>
        <w:rPr>
          <w:rFonts w:hint="default"/>
          <w:color w:val="0000FF"/>
          <w:highlight w:val="none"/>
          <w:lang w:val="zh-TW" w:eastAsia="zh-CN"/>
        </w:rPr>
        <w:t>；</w:t>
      </w:r>
      <w:r>
        <w:rPr>
          <w:rFonts w:hint="default"/>
          <w:color w:val="0000FF"/>
          <w:highlight w:val="none"/>
          <w:lang w:val="zh-TW" w:eastAsia="zh-TW"/>
        </w:rPr>
        <w:t>广布种</w:t>
      </w:r>
      <w:r>
        <w:rPr>
          <w:rFonts w:hint="eastAsia"/>
          <w:color w:val="0000FF"/>
          <w:highlight w:val="none"/>
          <w:lang w:val="en-US" w:eastAsia="zh-CN"/>
        </w:rPr>
        <w:t>1</w:t>
      </w:r>
      <w:r>
        <w:rPr>
          <w:rFonts w:hint="default"/>
          <w:color w:val="0000FF"/>
          <w:highlight w:val="none"/>
          <w:lang w:val="zh-TW" w:eastAsia="zh-TW"/>
        </w:rPr>
        <w:t>种，占影响评价区兽类种数的</w:t>
      </w:r>
      <w:r>
        <w:rPr>
          <w:rFonts w:hint="default"/>
          <w:color w:val="0000FF"/>
          <w:highlight w:val="none"/>
          <w:lang w:val="en-US" w:eastAsia="zh-CN"/>
        </w:rPr>
        <w:t>1</w:t>
      </w:r>
      <w:r>
        <w:rPr>
          <w:rFonts w:hint="eastAsia"/>
          <w:color w:val="0000FF"/>
          <w:highlight w:val="none"/>
          <w:lang w:val="en-US" w:eastAsia="zh-CN"/>
        </w:rPr>
        <w:t>1.11</w:t>
      </w:r>
      <w:r>
        <w:rPr>
          <w:rFonts w:hint="default"/>
          <w:color w:val="0000FF"/>
          <w:highlight w:val="none"/>
          <w:lang w:val="zh-TW" w:eastAsia="zh-TW"/>
        </w:rPr>
        <w:t>%</w:t>
      </w:r>
      <w:r>
        <w:rPr>
          <w:rFonts w:hint="default"/>
          <w:color w:val="0000FF"/>
          <w:highlight w:val="none"/>
          <w:lang w:val="zh-TW" w:eastAsia="zh-CN"/>
        </w:rPr>
        <w:t>；</w:t>
      </w:r>
      <w:r>
        <w:rPr>
          <w:rFonts w:hint="default"/>
          <w:color w:val="0000FF"/>
          <w:highlight w:val="none"/>
          <w:lang w:val="zh-TW" w:eastAsia="zh-TW"/>
        </w:rPr>
        <w:t>其区系特点组成与整个滇</w:t>
      </w:r>
      <w:r>
        <w:rPr>
          <w:rFonts w:hint="default"/>
          <w:color w:val="0000FF"/>
          <w:highlight w:val="none"/>
          <w:lang w:val="en-US" w:eastAsia="zh-CN"/>
        </w:rPr>
        <w:t>中</w:t>
      </w:r>
      <w:r>
        <w:rPr>
          <w:rFonts w:hint="default"/>
          <w:color w:val="0000FF"/>
          <w:highlight w:val="none"/>
          <w:lang w:val="zh-TW" w:eastAsia="zh-TW"/>
        </w:rPr>
        <w:t>哺乳区系组成总体一致，以东洋界区西南区（西南山地亚区）成分为主。</w:t>
      </w:r>
    </w:p>
    <w:p>
      <w:pPr>
        <w:pStyle w:val="40"/>
        <w:shd w:val="clear"/>
        <w:bidi w:val="0"/>
        <w:rPr>
          <w:rFonts w:hint="default"/>
          <w:color w:val="0000FF"/>
          <w:highlight w:val="none"/>
          <w:lang w:val="zh-TW" w:eastAsia="zh-TW"/>
        </w:rPr>
      </w:pPr>
      <w:r>
        <w:rPr>
          <w:rFonts w:hint="default"/>
          <w:color w:val="0000FF"/>
          <w:highlight w:val="none"/>
          <w:lang w:val="zh-TW" w:eastAsia="zh-TW"/>
        </w:rPr>
        <w:t>表</w:t>
      </w:r>
      <w:r>
        <w:rPr>
          <w:rFonts w:hint="eastAsia"/>
          <w:color w:val="0000FF"/>
          <w:highlight w:val="none"/>
          <w:lang w:val="en-US" w:eastAsia="zh-CN"/>
        </w:rPr>
        <w:t xml:space="preserve">4.2.5-13  </w:t>
      </w:r>
      <w:r>
        <w:rPr>
          <w:rFonts w:hint="default"/>
          <w:color w:val="0000FF"/>
          <w:highlight w:val="none"/>
          <w:lang w:val="zh-TW" w:eastAsia="zh-TW"/>
        </w:rPr>
        <w:t>调查区兽类组成表</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214"/>
        <w:gridCol w:w="2632"/>
        <w:gridCol w:w="1229"/>
        <w:gridCol w:w="934"/>
        <w:gridCol w:w="15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299" w:type="pct"/>
            <w:shd w:val="clear" w:color="auto" w:fill="FFFFFF"/>
            <w:vAlign w:val="bottom"/>
          </w:tcPr>
          <w:p>
            <w:pPr>
              <w:pStyle w:val="42"/>
              <w:shd w:val="clear"/>
              <w:bidi w:val="0"/>
              <w:rPr>
                <w:rFonts w:hint="default"/>
                <w:color w:val="0000FF"/>
                <w:highlight w:val="none"/>
              </w:rPr>
            </w:pPr>
            <w:r>
              <w:rPr>
                <w:rFonts w:hint="default"/>
                <w:color w:val="0000FF"/>
                <w:highlight w:val="none"/>
                <w:lang w:val="en-US" w:eastAsia="zh-CN"/>
              </w:rPr>
              <w:t>目</w:t>
            </w:r>
          </w:p>
        </w:tc>
        <w:tc>
          <w:tcPr>
            <w:tcW w:w="1544" w:type="pct"/>
            <w:shd w:val="clear" w:color="auto" w:fill="FFFFFF"/>
            <w:vAlign w:val="bottom"/>
          </w:tcPr>
          <w:p>
            <w:pPr>
              <w:pStyle w:val="42"/>
              <w:shd w:val="clear"/>
              <w:bidi w:val="0"/>
              <w:rPr>
                <w:rFonts w:hint="default"/>
                <w:color w:val="0000FF"/>
                <w:highlight w:val="none"/>
              </w:rPr>
            </w:pPr>
            <w:r>
              <w:rPr>
                <w:rFonts w:hint="default"/>
                <w:color w:val="0000FF"/>
                <w:highlight w:val="none"/>
                <w:lang w:val="en-US" w:eastAsia="zh-CN"/>
              </w:rPr>
              <w:t>科</w:t>
            </w:r>
          </w:p>
        </w:tc>
        <w:tc>
          <w:tcPr>
            <w:tcW w:w="721" w:type="pct"/>
            <w:shd w:val="clear" w:color="auto" w:fill="FFFFFF"/>
            <w:vAlign w:val="bottom"/>
          </w:tcPr>
          <w:p>
            <w:pPr>
              <w:pStyle w:val="42"/>
              <w:shd w:val="clear"/>
              <w:bidi w:val="0"/>
              <w:rPr>
                <w:rFonts w:hint="default"/>
                <w:color w:val="0000FF"/>
                <w:highlight w:val="none"/>
              </w:rPr>
            </w:pPr>
            <w:r>
              <w:rPr>
                <w:rFonts w:hint="default"/>
                <w:color w:val="0000FF"/>
                <w:highlight w:val="none"/>
                <w:lang w:val="en-US" w:eastAsia="zh-CN"/>
              </w:rPr>
              <w:t>属数</w:t>
            </w:r>
          </w:p>
        </w:tc>
        <w:tc>
          <w:tcPr>
            <w:tcW w:w="548" w:type="pct"/>
            <w:shd w:val="clear" w:color="auto" w:fill="FFFFFF"/>
            <w:vAlign w:val="bottom"/>
          </w:tcPr>
          <w:p>
            <w:pPr>
              <w:pStyle w:val="42"/>
              <w:shd w:val="clear"/>
              <w:bidi w:val="0"/>
              <w:rPr>
                <w:rFonts w:hint="default"/>
                <w:color w:val="0000FF"/>
                <w:highlight w:val="none"/>
              </w:rPr>
            </w:pPr>
            <w:r>
              <w:rPr>
                <w:rFonts w:hint="default"/>
                <w:color w:val="0000FF"/>
                <w:highlight w:val="none"/>
                <w:lang w:val="en-US" w:eastAsia="zh-CN"/>
              </w:rPr>
              <w:t>种数</w:t>
            </w:r>
          </w:p>
        </w:tc>
        <w:tc>
          <w:tcPr>
            <w:tcW w:w="886" w:type="pct"/>
            <w:shd w:val="clear" w:color="auto" w:fill="FFFFFF"/>
            <w:vAlign w:val="bottom"/>
          </w:tcPr>
          <w:p>
            <w:pPr>
              <w:pStyle w:val="42"/>
              <w:shd w:val="clear"/>
              <w:bidi w:val="0"/>
              <w:rPr>
                <w:rFonts w:hint="default"/>
                <w:color w:val="0000FF"/>
                <w:highlight w:val="none"/>
                <w:lang w:val="en-US" w:eastAsia="zh-CN"/>
              </w:rPr>
            </w:pPr>
            <w:r>
              <w:rPr>
                <w:rFonts w:hint="eastAsia"/>
                <w:color w:val="0000FF"/>
                <w:highlight w:val="none"/>
                <w:lang w:val="en-US" w:eastAsia="zh-CN"/>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9" w:type="pct"/>
            <w:vMerge w:val="restart"/>
            <w:shd w:val="clear" w:color="auto" w:fill="FFFFFF"/>
            <w:vAlign w:val="center"/>
          </w:tcPr>
          <w:p>
            <w:pPr>
              <w:pStyle w:val="42"/>
              <w:shd w:val="clear"/>
              <w:bidi w:val="0"/>
              <w:rPr>
                <w:rFonts w:hint="default"/>
                <w:color w:val="0000FF"/>
                <w:highlight w:val="none"/>
              </w:rPr>
            </w:pPr>
            <w:r>
              <w:rPr>
                <w:rFonts w:hint="default"/>
                <w:color w:val="0000FF"/>
                <w:highlight w:val="none"/>
                <w:lang w:val="en-US" w:eastAsia="zh-CN"/>
              </w:rPr>
              <w:t>啮齿目Rodentia</w:t>
            </w:r>
          </w:p>
        </w:tc>
        <w:tc>
          <w:tcPr>
            <w:tcW w:w="1544" w:type="pct"/>
            <w:shd w:val="clear" w:color="auto" w:fill="FFFFFF"/>
            <w:vAlign w:val="center"/>
          </w:tcPr>
          <w:p>
            <w:pPr>
              <w:pStyle w:val="42"/>
              <w:shd w:val="clear"/>
              <w:bidi w:val="0"/>
              <w:rPr>
                <w:rFonts w:hint="default"/>
                <w:color w:val="0000FF"/>
                <w:highlight w:val="none"/>
              </w:rPr>
            </w:pPr>
            <w:r>
              <w:rPr>
                <w:rFonts w:hint="default"/>
                <w:color w:val="0000FF"/>
                <w:highlight w:val="none"/>
                <w:lang w:val="en-US" w:eastAsia="zh-CN"/>
              </w:rPr>
              <w:t>鼠科Muridae</w:t>
            </w:r>
          </w:p>
        </w:tc>
        <w:tc>
          <w:tcPr>
            <w:tcW w:w="721" w:type="pct"/>
            <w:shd w:val="clear" w:color="auto" w:fill="FFFFFF"/>
            <w:vAlign w:val="bottom"/>
          </w:tcPr>
          <w:p>
            <w:pPr>
              <w:pStyle w:val="42"/>
              <w:shd w:val="clear"/>
              <w:bidi w:val="0"/>
              <w:rPr>
                <w:rFonts w:hint="default"/>
                <w:color w:val="0000FF"/>
                <w:highlight w:val="none"/>
              </w:rPr>
            </w:pPr>
            <w:r>
              <w:rPr>
                <w:rFonts w:hint="eastAsia"/>
                <w:color w:val="0000FF"/>
                <w:highlight w:val="none"/>
                <w:lang w:val="en-US" w:eastAsia="zh-CN"/>
              </w:rPr>
              <w:t>3</w:t>
            </w:r>
          </w:p>
        </w:tc>
        <w:tc>
          <w:tcPr>
            <w:tcW w:w="548" w:type="pct"/>
            <w:shd w:val="clear" w:color="auto" w:fill="FFFFFF"/>
            <w:vAlign w:val="bottom"/>
          </w:tcPr>
          <w:p>
            <w:pPr>
              <w:pStyle w:val="42"/>
              <w:shd w:val="clear"/>
              <w:bidi w:val="0"/>
              <w:rPr>
                <w:rFonts w:hint="default"/>
                <w:color w:val="0000FF"/>
                <w:highlight w:val="none"/>
              </w:rPr>
            </w:pPr>
            <w:r>
              <w:rPr>
                <w:rFonts w:hint="eastAsia"/>
                <w:color w:val="0000FF"/>
                <w:highlight w:val="none"/>
                <w:lang w:val="en-US" w:eastAsia="zh-CN"/>
              </w:rPr>
              <w:t>4</w:t>
            </w:r>
          </w:p>
        </w:tc>
        <w:tc>
          <w:tcPr>
            <w:tcW w:w="886" w:type="pct"/>
            <w:shd w:val="clear" w:color="auto" w:fill="FFFFFF"/>
            <w:vAlign w:val="center"/>
          </w:tcPr>
          <w:p>
            <w:pPr>
              <w:pStyle w:val="42"/>
              <w:shd w:val="clear"/>
              <w:bidi w:val="0"/>
              <w:rPr>
                <w:rFonts w:hint="default"/>
                <w:color w:val="0000FF"/>
                <w:highlight w:val="none"/>
                <w:lang w:val="en-US"/>
              </w:rPr>
            </w:pPr>
            <w:r>
              <w:rPr>
                <w:rFonts w:hint="eastAsia"/>
                <w:color w:val="0000FF"/>
                <w:highlight w:val="none"/>
                <w:lang w:val="en-US" w:eastAsia="zh-CN"/>
              </w:rPr>
              <w:t>44.44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299" w:type="pct"/>
            <w:vMerge w:val="continue"/>
            <w:shd w:val="clear" w:color="auto" w:fill="FFFFFF"/>
            <w:vAlign w:val="center"/>
          </w:tcPr>
          <w:p>
            <w:pPr>
              <w:pStyle w:val="42"/>
              <w:shd w:val="clear"/>
              <w:bidi w:val="0"/>
              <w:rPr>
                <w:rFonts w:hint="default"/>
                <w:color w:val="0000FF"/>
                <w:highlight w:val="none"/>
              </w:rPr>
            </w:pPr>
          </w:p>
        </w:tc>
        <w:tc>
          <w:tcPr>
            <w:tcW w:w="1544" w:type="pct"/>
            <w:shd w:val="clear" w:color="auto" w:fill="FFFFFF"/>
            <w:vAlign w:val="bottom"/>
          </w:tcPr>
          <w:p>
            <w:pPr>
              <w:pStyle w:val="42"/>
              <w:shd w:val="clear"/>
              <w:bidi w:val="0"/>
              <w:rPr>
                <w:rFonts w:hint="default"/>
                <w:color w:val="0000FF"/>
                <w:highlight w:val="none"/>
              </w:rPr>
            </w:pPr>
            <w:r>
              <w:rPr>
                <w:rFonts w:hint="default"/>
                <w:color w:val="0000FF"/>
                <w:highlight w:val="none"/>
                <w:lang w:val="en-US" w:eastAsia="zh-CN"/>
              </w:rPr>
              <w:t>松鼠科Sciuridae</w:t>
            </w:r>
          </w:p>
        </w:tc>
        <w:tc>
          <w:tcPr>
            <w:tcW w:w="721" w:type="pct"/>
            <w:shd w:val="clear" w:color="auto" w:fill="FFFFFF"/>
            <w:vAlign w:val="bottom"/>
          </w:tcPr>
          <w:p>
            <w:pPr>
              <w:pStyle w:val="42"/>
              <w:shd w:val="clear"/>
              <w:bidi w:val="0"/>
              <w:rPr>
                <w:rFonts w:hint="default"/>
                <w:color w:val="0000FF"/>
                <w:highlight w:val="none"/>
              </w:rPr>
            </w:pPr>
            <w:r>
              <w:rPr>
                <w:rFonts w:hint="default"/>
                <w:color w:val="0000FF"/>
                <w:highlight w:val="none"/>
                <w:lang w:val="en-US" w:eastAsia="zh-CN"/>
              </w:rPr>
              <w:t>2</w:t>
            </w:r>
          </w:p>
        </w:tc>
        <w:tc>
          <w:tcPr>
            <w:tcW w:w="548" w:type="pct"/>
            <w:shd w:val="clear" w:color="auto" w:fill="FFFFFF"/>
            <w:vAlign w:val="bottom"/>
          </w:tcPr>
          <w:p>
            <w:pPr>
              <w:pStyle w:val="42"/>
              <w:shd w:val="clear"/>
              <w:bidi w:val="0"/>
              <w:rPr>
                <w:rFonts w:hint="default"/>
                <w:color w:val="0000FF"/>
                <w:highlight w:val="none"/>
              </w:rPr>
            </w:pPr>
            <w:r>
              <w:rPr>
                <w:rFonts w:hint="eastAsia"/>
                <w:color w:val="0000FF"/>
                <w:highlight w:val="none"/>
                <w:lang w:val="en-US" w:eastAsia="zh-CN"/>
              </w:rPr>
              <w:t>2</w:t>
            </w:r>
          </w:p>
        </w:tc>
        <w:tc>
          <w:tcPr>
            <w:tcW w:w="886" w:type="pct"/>
            <w:shd w:val="clear" w:color="auto" w:fill="FFFFFF"/>
            <w:vAlign w:val="center"/>
          </w:tcPr>
          <w:p>
            <w:pPr>
              <w:pStyle w:val="42"/>
              <w:shd w:val="clear"/>
              <w:bidi w:val="0"/>
              <w:rPr>
                <w:rFonts w:hint="default"/>
                <w:color w:val="0000FF"/>
                <w:highlight w:val="none"/>
                <w:lang w:val="en-US"/>
              </w:rPr>
            </w:pPr>
            <w:r>
              <w:rPr>
                <w:rFonts w:hint="eastAsia"/>
                <w:color w:val="0000FF"/>
                <w:highlight w:val="none"/>
                <w:lang w:val="en-US" w:eastAsia="zh-CN"/>
              </w:rPr>
              <w:t>22.22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299" w:type="pct"/>
            <w:vMerge w:val="restart"/>
            <w:shd w:val="clear" w:color="auto" w:fill="FFFFFF"/>
            <w:vAlign w:val="center"/>
          </w:tcPr>
          <w:p>
            <w:pPr>
              <w:pStyle w:val="42"/>
              <w:shd w:val="clear"/>
              <w:bidi w:val="0"/>
              <w:rPr>
                <w:rFonts w:hint="default"/>
                <w:color w:val="0000FF"/>
                <w:highlight w:val="none"/>
              </w:rPr>
            </w:pPr>
            <w:r>
              <w:rPr>
                <w:rFonts w:hint="default"/>
                <w:color w:val="0000FF"/>
                <w:highlight w:val="none"/>
                <w:lang w:val="en-US" w:eastAsia="zh-CN"/>
              </w:rPr>
              <w:t>翼手目Chiroptera</w:t>
            </w:r>
          </w:p>
        </w:tc>
        <w:tc>
          <w:tcPr>
            <w:tcW w:w="1544" w:type="pct"/>
            <w:shd w:val="clear" w:color="auto" w:fill="FFFFFF"/>
            <w:vAlign w:val="center"/>
          </w:tcPr>
          <w:p>
            <w:pPr>
              <w:pStyle w:val="42"/>
              <w:shd w:val="clear"/>
              <w:bidi w:val="0"/>
              <w:rPr>
                <w:rFonts w:hint="default"/>
                <w:color w:val="0000FF"/>
                <w:highlight w:val="none"/>
              </w:rPr>
            </w:pPr>
            <w:r>
              <w:rPr>
                <w:rFonts w:hint="default"/>
                <w:color w:val="0000FF"/>
                <w:highlight w:val="none"/>
                <w:lang w:val="en-US" w:eastAsia="zh-CN"/>
              </w:rPr>
              <w:t>菊头蝠科Rhinolophidae</w:t>
            </w:r>
          </w:p>
        </w:tc>
        <w:tc>
          <w:tcPr>
            <w:tcW w:w="721" w:type="pct"/>
            <w:shd w:val="clear" w:color="auto" w:fill="FFFFFF"/>
            <w:vAlign w:val="bottom"/>
          </w:tcPr>
          <w:p>
            <w:pPr>
              <w:pStyle w:val="42"/>
              <w:shd w:val="clear"/>
              <w:bidi w:val="0"/>
              <w:rPr>
                <w:rFonts w:hint="default"/>
                <w:color w:val="0000FF"/>
                <w:highlight w:val="none"/>
              </w:rPr>
            </w:pPr>
            <w:r>
              <w:rPr>
                <w:rFonts w:hint="default"/>
                <w:color w:val="0000FF"/>
                <w:highlight w:val="none"/>
                <w:lang w:val="en-US" w:eastAsia="zh-CN"/>
              </w:rPr>
              <w:t>1</w:t>
            </w:r>
          </w:p>
        </w:tc>
        <w:tc>
          <w:tcPr>
            <w:tcW w:w="548" w:type="pct"/>
            <w:shd w:val="clear" w:color="auto" w:fill="FFFFFF"/>
            <w:vAlign w:val="bottom"/>
          </w:tcPr>
          <w:p>
            <w:pPr>
              <w:pStyle w:val="42"/>
              <w:shd w:val="clear"/>
              <w:bidi w:val="0"/>
              <w:rPr>
                <w:rFonts w:hint="default"/>
                <w:color w:val="0000FF"/>
                <w:highlight w:val="none"/>
              </w:rPr>
            </w:pPr>
            <w:r>
              <w:rPr>
                <w:rFonts w:hint="default"/>
                <w:color w:val="0000FF"/>
                <w:highlight w:val="none"/>
                <w:lang w:val="en-US" w:eastAsia="zh-CN"/>
              </w:rPr>
              <w:t>1</w:t>
            </w:r>
          </w:p>
        </w:tc>
        <w:tc>
          <w:tcPr>
            <w:tcW w:w="886" w:type="pct"/>
            <w:shd w:val="clear" w:color="auto" w:fill="FFFFFF"/>
            <w:vAlign w:val="center"/>
          </w:tcPr>
          <w:p>
            <w:pPr>
              <w:pStyle w:val="42"/>
              <w:shd w:val="clear"/>
              <w:bidi w:val="0"/>
              <w:rPr>
                <w:rFonts w:hint="default"/>
                <w:color w:val="0000FF"/>
                <w:highlight w:val="none"/>
                <w:lang w:val="en-US"/>
              </w:rPr>
            </w:pPr>
            <w:r>
              <w:rPr>
                <w:rFonts w:hint="eastAsia"/>
                <w:color w:val="0000FF"/>
                <w:highlight w:val="none"/>
                <w:lang w:val="en-US" w:eastAsia="zh-CN"/>
              </w:rPr>
              <w:t>11.11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1299" w:type="pct"/>
            <w:vMerge w:val="continue"/>
            <w:shd w:val="clear" w:color="auto" w:fill="FFFFFF"/>
            <w:vAlign w:val="center"/>
          </w:tcPr>
          <w:p>
            <w:pPr>
              <w:pStyle w:val="42"/>
              <w:shd w:val="clear"/>
              <w:bidi w:val="0"/>
              <w:rPr>
                <w:rFonts w:hint="default"/>
                <w:color w:val="0000FF"/>
                <w:highlight w:val="none"/>
              </w:rPr>
            </w:pPr>
          </w:p>
        </w:tc>
        <w:tc>
          <w:tcPr>
            <w:tcW w:w="1544" w:type="pct"/>
            <w:shd w:val="clear" w:color="auto" w:fill="FFFFFF"/>
            <w:vAlign w:val="bottom"/>
          </w:tcPr>
          <w:p>
            <w:pPr>
              <w:pStyle w:val="42"/>
              <w:shd w:val="clear"/>
              <w:bidi w:val="0"/>
              <w:rPr>
                <w:rFonts w:hint="default"/>
                <w:color w:val="0000FF"/>
                <w:highlight w:val="none"/>
              </w:rPr>
            </w:pPr>
            <w:r>
              <w:rPr>
                <w:rFonts w:hint="default"/>
                <w:color w:val="0000FF"/>
                <w:highlight w:val="none"/>
                <w:lang w:val="en-US" w:eastAsia="zh-CN"/>
              </w:rPr>
              <w:t>蝙蝠科Vespertilionidae</w:t>
            </w:r>
          </w:p>
        </w:tc>
        <w:tc>
          <w:tcPr>
            <w:tcW w:w="721" w:type="pct"/>
            <w:shd w:val="clear" w:color="auto" w:fill="FFFFFF"/>
            <w:vAlign w:val="bottom"/>
          </w:tcPr>
          <w:p>
            <w:pPr>
              <w:pStyle w:val="42"/>
              <w:shd w:val="clear"/>
              <w:bidi w:val="0"/>
              <w:rPr>
                <w:rFonts w:hint="default"/>
                <w:color w:val="0000FF"/>
                <w:highlight w:val="none"/>
              </w:rPr>
            </w:pPr>
            <w:r>
              <w:rPr>
                <w:rFonts w:hint="eastAsia"/>
                <w:color w:val="0000FF"/>
                <w:highlight w:val="none"/>
                <w:lang w:val="en-US" w:eastAsia="zh-CN"/>
              </w:rPr>
              <w:t>1</w:t>
            </w:r>
          </w:p>
        </w:tc>
        <w:tc>
          <w:tcPr>
            <w:tcW w:w="548" w:type="pct"/>
            <w:shd w:val="clear" w:color="auto" w:fill="FFFFFF"/>
            <w:vAlign w:val="bottom"/>
          </w:tcPr>
          <w:p>
            <w:pPr>
              <w:pStyle w:val="42"/>
              <w:shd w:val="clear"/>
              <w:bidi w:val="0"/>
              <w:rPr>
                <w:rFonts w:hint="default"/>
                <w:color w:val="0000FF"/>
                <w:highlight w:val="none"/>
              </w:rPr>
            </w:pPr>
            <w:r>
              <w:rPr>
                <w:rFonts w:hint="eastAsia"/>
                <w:color w:val="0000FF"/>
                <w:highlight w:val="none"/>
                <w:lang w:val="en-US" w:eastAsia="zh-CN"/>
              </w:rPr>
              <w:t>1</w:t>
            </w:r>
          </w:p>
        </w:tc>
        <w:tc>
          <w:tcPr>
            <w:tcW w:w="886" w:type="pct"/>
            <w:shd w:val="clear" w:color="auto" w:fill="FFFFFF"/>
            <w:vAlign w:val="center"/>
          </w:tcPr>
          <w:p>
            <w:pPr>
              <w:keepNext w:val="0"/>
              <w:keepLines w:val="0"/>
              <w:pageBreakBefore w:val="0"/>
              <w:widowControl w:val="0"/>
              <w:shd w:val="clear"/>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rPr>
            </w:pPr>
            <w:r>
              <w:rPr>
                <w:rFonts w:hint="eastAsia"/>
                <w:color w:val="0000FF"/>
                <w:sz w:val="21"/>
                <w:szCs w:val="21"/>
                <w:highlight w:val="none"/>
                <w:lang w:val="en-US" w:eastAsia="zh-CN"/>
              </w:rPr>
              <w:t>11.11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299" w:type="pct"/>
            <w:shd w:val="clear" w:color="auto" w:fill="FFFFFF"/>
            <w:vAlign w:val="top"/>
          </w:tcPr>
          <w:p>
            <w:pPr>
              <w:pStyle w:val="42"/>
              <w:shd w:val="clear"/>
              <w:bidi w:val="0"/>
              <w:rPr>
                <w:rFonts w:hint="default"/>
                <w:color w:val="0000FF"/>
                <w:highlight w:val="none"/>
              </w:rPr>
            </w:pPr>
            <w:r>
              <w:rPr>
                <w:rFonts w:hint="default"/>
                <w:color w:val="0000FF"/>
                <w:highlight w:val="none"/>
                <w:lang w:val="en-US" w:eastAsia="zh-CN"/>
              </w:rPr>
              <w:t>食肉目Carnivora</w:t>
            </w:r>
          </w:p>
        </w:tc>
        <w:tc>
          <w:tcPr>
            <w:tcW w:w="1544" w:type="pct"/>
            <w:shd w:val="clear" w:color="auto" w:fill="FFFFFF"/>
            <w:vAlign w:val="top"/>
          </w:tcPr>
          <w:p>
            <w:pPr>
              <w:pStyle w:val="42"/>
              <w:shd w:val="clear"/>
              <w:bidi w:val="0"/>
              <w:rPr>
                <w:rFonts w:hint="default"/>
                <w:color w:val="0000FF"/>
                <w:highlight w:val="none"/>
              </w:rPr>
            </w:pPr>
            <w:r>
              <w:rPr>
                <w:rFonts w:hint="default"/>
                <w:color w:val="0000FF"/>
                <w:highlight w:val="none"/>
                <w:lang w:val="en-US" w:eastAsia="zh-CN"/>
              </w:rPr>
              <w:t>鼬科Mustelidae</w:t>
            </w:r>
          </w:p>
        </w:tc>
        <w:tc>
          <w:tcPr>
            <w:tcW w:w="721" w:type="pct"/>
            <w:shd w:val="clear" w:color="auto" w:fill="FFFFFF"/>
            <w:vAlign w:val="top"/>
          </w:tcPr>
          <w:p>
            <w:pPr>
              <w:pStyle w:val="42"/>
              <w:shd w:val="clear"/>
              <w:bidi w:val="0"/>
              <w:rPr>
                <w:rFonts w:hint="default"/>
                <w:color w:val="0000FF"/>
                <w:highlight w:val="none"/>
              </w:rPr>
            </w:pPr>
            <w:r>
              <w:rPr>
                <w:rFonts w:hint="default"/>
                <w:color w:val="0000FF"/>
                <w:highlight w:val="none"/>
                <w:lang w:val="en-US" w:eastAsia="zh-CN"/>
              </w:rPr>
              <w:t>1</w:t>
            </w:r>
          </w:p>
        </w:tc>
        <w:tc>
          <w:tcPr>
            <w:tcW w:w="548" w:type="pct"/>
            <w:shd w:val="clear" w:color="auto" w:fill="FFFFFF"/>
            <w:vAlign w:val="top"/>
          </w:tcPr>
          <w:p>
            <w:pPr>
              <w:pStyle w:val="42"/>
              <w:shd w:val="clear"/>
              <w:bidi w:val="0"/>
              <w:rPr>
                <w:rFonts w:hint="default"/>
                <w:color w:val="0000FF"/>
                <w:highlight w:val="none"/>
              </w:rPr>
            </w:pPr>
            <w:r>
              <w:rPr>
                <w:rFonts w:hint="default"/>
                <w:color w:val="0000FF"/>
                <w:highlight w:val="none"/>
                <w:lang w:val="en-US" w:eastAsia="zh-CN"/>
              </w:rPr>
              <w:t>1</w:t>
            </w:r>
          </w:p>
        </w:tc>
        <w:tc>
          <w:tcPr>
            <w:tcW w:w="886" w:type="pct"/>
            <w:shd w:val="clear" w:color="auto" w:fill="FFFFFF"/>
            <w:vAlign w:val="center"/>
          </w:tcPr>
          <w:p>
            <w:pPr>
              <w:keepNext w:val="0"/>
              <w:keepLines w:val="0"/>
              <w:pageBreakBefore w:val="0"/>
              <w:widowControl w:val="0"/>
              <w:shd w:val="clear"/>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rPr>
            </w:pPr>
            <w:r>
              <w:rPr>
                <w:rFonts w:hint="eastAsia"/>
                <w:color w:val="0000FF"/>
                <w:sz w:val="21"/>
                <w:szCs w:val="21"/>
                <w:highlight w:val="none"/>
                <w:lang w:val="en-US" w:eastAsia="zh-CN"/>
              </w:rPr>
              <w:t>11.11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843" w:type="pct"/>
            <w:gridSpan w:val="2"/>
            <w:shd w:val="clear" w:color="auto" w:fill="FFFFFF"/>
            <w:vAlign w:val="center"/>
          </w:tcPr>
          <w:p>
            <w:pPr>
              <w:pStyle w:val="42"/>
              <w:shd w:val="clear"/>
              <w:bidi w:val="0"/>
              <w:rPr>
                <w:rFonts w:hint="default"/>
                <w:color w:val="0000FF"/>
                <w:highlight w:val="none"/>
              </w:rPr>
            </w:pPr>
            <w:r>
              <w:rPr>
                <w:rFonts w:hint="default"/>
                <w:color w:val="0000FF"/>
                <w:highlight w:val="none"/>
                <w:lang w:val="en-US" w:eastAsia="zh-CN"/>
              </w:rPr>
              <w:t>合计：</w:t>
            </w:r>
            <w:r>
              <w:rPr>
                <w:rFonts w:hint="eastAsia"/>
                <w:color w:val="0000FF"/>
                <w:highlight w:val="none"/>
                <w:lang w:val="en-US" w:eastAsia="zh-CN"/>
              </w:rPr>
              <w:t>3</w:t>
            </w:r>
            <w:r>
              <w:rPr>
                <w:rFonts w:hint="default"/>
                <w:color w:val="0000FF"/>
                <w:highlight w:val="none"/>
                <w:lang w:val="en-US" w:eastAsia="zh-CN"/>
              </w:rPr>
              <w:t>目</w:t>
            </w:r>
            <w:r>
              <w:rPr>
                <w:rFonts w:hint="eastAsia"/>
                <w:color w:val="0000FF"/>
                <w:highlight w:val="none"/>
                <w:lang w:val="en-US" w:eastAsia="zh-CN"/>
              </w:rPr>
              <w:t>5</w:t>
            </w:r>
            <w:r>
              <w:rPr>
                <w:rFonts w:hint="default"/>
                <w:color w:val="0000FF"/>
                <w:highlight w:val="none"/>
                <w:lang w:val="en-US" w:eastAsia="zh-CN"/>
              </w:rPr>
              <w:t>科</w:t>
            </w:r>
          </w:p>
        </w:tc>
        <w:tc>
          <w:tcPr>
            <w:tcW w:w="721" w:type="pct"/>
            <w:shd w:val="clear" w:color="auto" w:fill="FFFFFF"/>
            <w:vAlign w:val="center"/>
          </w:tcPr>
          <w:p>
            <w:pPr>
              <w:pStyle w:val="42"/>
              <w:shd w:val="clear"/>
              <w:bidi w:val="0"/>
              <w:rPr>
                <w:rFonts w:hint="default"/>
                <w:color w:val="0000FF"/>
                <w:highlight w:val="none"/>
              </w:rPr>
            </w:pPr>
            <w:r>
              <w:rPr>
                <w:rFonts w:hint="eastAsia"/>
                <w:color w:val="0000FF"/>
                <w:highlight w:val="none"/>
                <w:lang w:val="en-US" w:eastAsia="zh-CN"/>
              </w:rPr>
              <w:t>8</w:t>
            </w:r>
          </w:p>
        </w:tc>
        <w:tc>
          <w:tcPr>
            <w:tcW w:w="548" w:type="pct"/>
            <w:shd w:val="clear" w:color="auto" w:fill="FFFFFF"/>
            <w:vAlign w:val="bottom"/>
          </w:tcPr>
          <w:p>
            <w:pPr>
              <w:pStyle w:val="42"/>
              <w:shd w:val="clear"/>
              <w:bidi w:val="0"/>
              <w:rPr>
                <w:rFonts w:hint="default"/>
                <w:color w:val="0000FF"/>
                <w:highlight w:val="none"/>
              </w:rPr>
            </w:pPr>
            <w:r>
              <w:rPr>
                <w:rFonts w:hint="eastAsia"/>
                <w:color w:val="0000FF"/>
                <w:highlight w:val="none"/>
                <w:lang w:val="en-US" w:eastAsia="zh-CN"/>
              </w:rPr>
              <w:t>9</w:t>
            </w:r>
          </w:p>
        </w:tc>
        <w:tc>
          <w:tcPr>
            <w:tcW w:w="886" w:type="pct"/>
            <w:shd w:val="clear" w:color="auto" w:fill="FFFFFF"/>
            <w:vAlign w:val="bottom"/>
          </w:tcPr>
          <w:p>
            <w:pPr>
              <w:pStyle w:val="42"/>
              <w:shd w:val="clear"/>
              <w:bidi w:val="0"/>
              <w:rPr>
                <w:rFonts w:hint="default"/>
                <w:color w:val="0000FF"/>
                <w:highlight w:val="none"/>
              </w:rPr>
            </w:pPr>
            <w:r>
              <w:rPr>
                <w:rFonts w:hint="default"/>
                <w:color w:val="0000FF"/>
                <w:highlight w:val="none"/>
                <w:lang w:val="en-US" w:eastAsia="zh-CN"/>
              </w:rPr>
              <w:t>100</w:t>
            </w:r>
          </w:p>
        </w:tc>
      </w:tr>
    </w:tbl>
    <w:p>
      <w:pPr>
        <w:shd w:val="clear"/>
        <w:bidi w:val="0"/>
        <w:ind w:firstLine="480" w:firstLineChars="200"/>
        <w:rPr>
          <w:rFonts w:hint="default"/>
          <w:color w:val="0000FF"/>
          <w:highlight w:val="none"/>
          <w:lang w:val="zh-TW" w:eastAsia="zh-TW"/>
        </w:rPr>
      </w:pPr>
      <w:r>
        <w:rPr>
          <w:rFonts w:hint="default"/>
          <w:color w:val="0000FF"/>
          <w:highlight w:val="none"/>
          <w:lang w:val="zh-TW" w:eastAsia="zh-TW"/>
        </w:rPr>
        <w:t>评价区的兽类以小型的啮齿占绝大多数，较大型的兽类和数量都少，与评价区周边村寨人口多、耕地多、生产活动广泛，环境受人为影响程度较大有关。兽类动物的分布区类型、资源现状及保护情况见附录。</w:t>
      </w:r>
    </w:p>
    <w:p>
      <w:pPr>
        <w:shd w:val="clear"/>
        <w:bidi w:val="0"/>
        <w:ind w:firstLine="480" w:firstLineChars="200"/>
        <w:rPr>
          <w:rFonts w:hint="default"/>
          <w:color w:val="0000FF"/>
          <w:highlight w:val="none"/>
        </w:rPr>
      </w:pPr>
      <w:bookmarkStart w:id="545" w:name="bookmark96"/>
      <w:r>
        <w:rPr>
          <w:rFonts w:hint="eastAsia"/>
          <w:color w:val="0000FF"/>
          <w:highlight w:val="none"/>
          <w:lang w:val="en-US" w:eastAsia="zh-CN"/>
        </w:rPr>
        <w:t>5）</w:t>
      </w:r>
      <w:r>
        <w:rPr>
          <w:rFonts w:hint="default"/>
          <w:color w:val="0000FF"/>
          <w:highlight w:val="none"/>
          <w:lang w:val="zh-TW" w:eastAsia="zh-TW"/>
        </w:rPr>
        <w:t>陆生脊椎动物区系特点</w:t>
      </w:r>
      <w:bookmarkEnd w:id="545"/>
    </w:p>
    <w:p>
      <w:pPr>
        <w:shd w:val="clear"/>
        <w:bidi w:val="0"/>
        <w:ind w:firstLine="480" w:firstLineChars="200"/>
        <w:rPr>
          <w:rFonts w:hint="default"/>
          <w:color w:val="0000FF"/>
          <w:highlight w:val="none"/>
        </w:rPr>
      </w:pPr>
      <w:r>
        <w:rPr>
          <w:rFonts w:hint="default"/>
          <w:color w:val="0000FF"/>
          <w:highlight w:val="none"/>
          <w:lang w:val="zh-TW" w:eastAsia="zh-TW"/>
        </w:rPr>
        <w:t>调查区处于东洋界西南区，若仅从动物地理区划的分界范围界定，则调查区的陆生脊椎动物区系结果与当地在中国动物地理区划中的位置相符合，即当地动物区系属于东洋界西南区，而本次调查所记录的陆栖脊椎动物物种均为东洋界物种或</w:t>
      </w:r>
      <w:r>
        <w:rPr>
          <w:rFonts w:hint="eastAsia"/>
          <w:color w:val="0000FF"/>
          <w:highlight w:val="none"/>
          <w:lang w:val="zh-TW" w:eastAsia="zh-CN"/>
        </w:rPr>
        <w:t>陆界</w:t>
      </w:r>
      <w:r>
        <w:rPr>
          <w:rFonts w:hint="default"/>
          <w:color w:val="0000FF"/>
          <w:highlight w:val="none"/>
          <w:lang w:val="zh-TW" w:eastAsia="zh-TW"/>
        </w:rPr>
        <w:t>广布种，且以西南区物种或东洋广布种为主。</w:t>
      </w:r>
    </w:p>
    <w:p>
      <w:pPr>
        <w:shd w:val="clear"/>
        <w:bidi w:val="0"/>
        <w:ind w:firstLine="480" w:firstLineChars="200"/>
        <w:rPr>
          <w:rFonts w:hint="default"/>
          <w:color w:val="0000FF"/>
          <w:highlight w:val="none"/>
          <w:lang w:val="en-US" w:eastAsia="zh-CN"/>
        </w:rPr>
      </w:pPr>
      <w:r>
        <w:rPr>
          <w:rFonts w:hint="eastAsia"/>
          <w:color w:val="0000FF"/>
          <w:highlight w:val="none"/>
          <w:lang w:val="zh-TW" w:eastAsia="zh-CN"/>
        </w:rPr>
        <w:t>（</w:t>
      </w:r>
      <w:r>
        <w:rPr>
          <w:rFonts w:hint="eastAsia"/>
          <w:color w:val="0000FF"/>
          <w:highlight w:val="none"/>
          <w:lang w:val="en-US" w:eastAsia="zh-CN"/>
        </w:rPr>
        <w:t>3</w:t>
      </w:r>
      <w:r>
        <w:rPr>
          <w:rFonts w:hint="eastAsia"/>
          <w:color w:val="0000FF"/>
          <w:highlight w:val="none"/>
          <w:lang w:val="zh-TW" w:eastAsia="zh-CN"/>
        </w:rPr>
        <w:t>）</w:t>
      </w:r>
      <w:r>
        <w:rPr>
          <w:rFonts w:hint="default"/>
          <w:color w:val="0000FF"/>
          <w:highlight w:val="none"/>
          <w:lang w:val="zh-TW" w:eastAsia="zh-TW"/>
        </w:rPr>
        <w:t>珍稀、濒危、保护及特有动物</w:t>
      </w:r>
    </w:p>
    <w:p>
      <w:pPr>
        <w:shd w:val="clear"/>
        <w:bidi w:val="0"/>
        <w:ind w:firstLine="480" w:firstLineChars="200"/>
        <w:rPr>
          <w:rFonts w:hint="default"/>
          <w:color w:val="0000FF"/>
          <w:highlight w:val="none"/>
        </w:rPr>
      </w:pPr>
      <w:r>
        <w:rPr>
          <w:rFonts w:hint="default"/>
          <w:color w:val="0000FF"/>
          <w:highlight w:val="none"/>
          <w:lang w:val="zh-TW" w:eastAsia="zh-TW"/>
        </w:rPr>
        <w:t>根据《国家重点保护野生动物名录》</w:t>
      </w:r>
      <w:r>
        <w:rPr>
          <w:rFonts w:hint="default"/>
          <w:color w:val="0000FF"/>
          <w:highlight w:val="none"/>
          <w:lang w:val="en-US" w:eastAsia="en-US"/>
        </w:rPr>
        <w:t>（2021</w:t>
      </w:r>
      <w:r>
        <w:rPr>
          <w:rFonts w:hint="default"/>
          <w:color w:val="0000FF"/>
          <w:highlight w:val="none"/>
          <w:lang w:val="zh-TW" w:eastAsia="zh-TW"/>
        </w:rPr>
        <w:t>年）、《云南省重点保护野生动物名录》</w:t>
      </w:r>
      <w:r>
        <w:rPr>
          <w:rFonts w:hint="default"/>
          <w:color w:val="0000FF"/>
          <w:highlight w:val="none"/>
          <w:lang w:val="en-US" w:eastAsia="en-US"/>
        </w:rPr>
        <w:t>（</w:t>
      </w:r>
      <w:r>
        <w:rPr>
          <w:rFonts w:hint="eastAsia"/>
          <w:color w:val="0000FF"/>
          <w:highlight w:val="none"/>
          <w:lang w:val="en-US" w:eastAsia="zh-CN"/>
        </w:rPr>
        <w:t>2023</w:t>
      </w:r>
      <w:r>
        <w:rPr>
          <w:rFonts w:hint="default"/>
          <w:color w:val="0000FF"/>
          <w:highlight w:val="none"/>
          <w:lang w:val="zh-TW" w:eastAsia="zh-TW"/>
        </w:rPr>
        <w:t>年）</w:t>
      </w:r>
      <w:r>
        <w:rPr>
          <w:rFonts w:hint="default"/>
          <w:color w:val="0000FF"/>
          <w:highlight w:val="none"/>
          <w:lang w:val="en-US" w:eastAsia="zh-CN"/>
        </w:rPr>
        <w:t>和</w:t>
      </w:r>
      <w:r>
        <w:rPr>
          <w:rFonts w:hint="default"/>
          <w:color w:val="0000FF"/>
          <w:highlight w:val="none"/>
          <w:lang w:val="zh-TW" w:eastAsia="zh-TW"/>
        </w:rPr>
        <w:t>《中国生物多样性红色名录一脊椎动物卷》</w:t>
      </w:r>
      <w:r>
        <w:rPr>
          <w:rFonts w:hint="default"/>
          <w:color w:val="0000FF"/>
          <w:highlight w:val="none"/>
          <w:lang w:val="en-US" w:eastAsia="en-US"/>
        </w:rPr>
        <w:t>（20</w:t>
      </w:r>
      <w:r>
        <w:rPr>
          <w:rFonts w:hint="default"/>
          <w:color w:val="0000FF"/>
          <w:highlight w:val="none"/>
          <w:lang w:val="en-US" w:eastAsia="zh-CN"/>
        </w:rPr>
        <w:t>20</w:t>
      </w:r>
      <w:r>
        <w:rPr>
          <w:rFonts w:hint="default"/>
          <w:color w:val="0000FF"/>
          <w:highlight w:val="none"/>
          <w:lang w:val="zh-TW" w:eastAsia="zh-TW"/>
        </w:rPr>
        <w:t>年），调查区共记录珍稀、濒危和保护动物</w:t>
      </w:r>
      <w:r>
        <w:rPr>
          <w:rFonts w:hint="eastAsia"/>
          <w:color w:val="0000FF"/>
          <w:highlight w:val="none"/>
          <w:lang w:val="en-US" w:eastAsia="zh-CN"/>
        </w:rPr>
        <w:t>2</w:t>
      </w:r>
      <w:r>
        <w:rPr>
          <w:rFonts w:hint="default"/>
          <w:color w:val="0000FF"/>
          <w:highlight w:val="none"/>
          <w:lang w:val="zh-TW" w:eastAsia="zh-TW"/>
        </w:rPr>
        <w:t>种，</w:t>
      </w:r>
      <w:r>
        <w:rPr>
          <w:rFonts w:hint="default"/>
          <w:color w:val="0000FF"/>
          <w:highlight w:val="none"/>
          <w:lang w:val="en-US" w:eastAsia="zh-CN"/>
        </w:rPr>
        <w:t>全部为</w:t>
      </w:r>
      <w:r>
        <w:rPr>
          <w:rFonts w:hint="default"/>
          <w:color w:val="0000FF"/>
          <w:highlight w:val="none"/>
          <w:lang w:val="zh-TW" w:eastAsia="zh-TW"/>
        </w:rPr>
        <w:t>国家二级保护动物，具体见表</w:t>
      </w:r>
      <w:r>
        <w:rPr>
          <w:rFonts w:hint="eastAsia"/>
          <w:color w:val="0000FF"/>
          <w:highlight w:val="none"/>
          <w:lang w:val="en-US" w:eastAsia="zh-CN"/>
        </w:rPr>
        <w:t>4.2.5-14</w:t>
      </w:r>
      <w:r>
        <w:rPr>
          <w:rFonts w:hint="default"/>
          <w:color w:val="0000FF"/>
          <w:highlight w:val="none"/>
          <w:lang w:val="zh-TW" w:eastAsia="zh-TW"/>
        </w:rPr>
        <w:t>。</w:t>
      </w:r>
    </w:p>
    <w:p>
      <w:pPr>
        <w:pStyle w:val="40"/>
        <w:shd w:val="clear"/>
        <w:bidi w:val="0"/>
        <w:rPr>
          <w:rFonts w:hint="default" w:ascii="Times New Roman" w:hAnsi="Times New Roman" w:eastAsia="宋体" w:cs="Times New Roman"/>
          <w:b/>
          <w:bCs/>
          <w:color w:val="0000FF"/>
          <w:szCs w:val="24"/>
          <w:highlight w:val="none"/>
        </w:rPr>
      </w:pPr>
      <w:r>
        <w:rPr>
          <w:rFonts w:hint="default"/>
          <w:color w:val="0000FF"/>
          <w:highlight w:val="none"/>
          <w:lang w:val="zh-TW" w:eastAsia="zh-TW"/>
        </w:rPr>
        <w:t>表</w:t>
      </w:r>
      <w:r>
        <w:rPr>
          <w:rFonts w:hint="eastAsia"/>
          <w:color w:val="0000FF"/>
          <w:highlight w:val="none"/>
          <w:lang w:val="en-US" w:eastAsia="zh-CN"/>
        </w:rPr>
        <w:t xml:space="preserve">4.2.5-14  </w:t>
      </w:r>
      <w:r>
        <w:rPr>
          <w:rFonts w:hint="default"/>
          <w:color w:val="0000FF"/>
          <w:highlight w:val="none"/>
          <w:lang w:val="zh-TW" w:eastAsia="zh-TW"/>
        </w:rPr>
        <w:t>调查区珍稀、濒危和保护动物一览表</w:t>
      </w:r>
    </w:p>
    <w:tbl>
      <w:tblPr>
        <w:tblStyle w:val="29"/>
        <w:tblW w:w="502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588"/>
        <w:gridCol w:w="1577"/>
        <w:gridCol w:w="1969"/>
        <w:gridCol w:w="1354"/>
        <w:gridCol w:w="1234"/>
        <w:gridCol w:w="660"/>
        <w:gridCol w:w="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467" w:hRule="exact"/>
          <w:jc w:val="center"/>
        </w:trPr>
        <w:tc>
          <w:tcPr>
            <w:tcW w:w="352"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序号</w:t>
            </w:r>
          </w:p>
        </w:tc>
        <w:tc>
          <w:tcPr>
            <w:tcW w:w="942"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中文名</w:t>
            </w:r>
          </w:p>
        </w:tc>
        <w:tc>
          <w:tcPr>
            <w:tcW w:w="1176"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拉丁名</w:t>
            </w:r>
          </w:p>
        </w:tc>
        <w:tc>
          <w:tcPr>
            <w:tcW w:w="809" w:type="pct"/>
            <w:tcBorders>
              <w:tl2br w:val="nil"/>
              <w:tr2bl w:val="nil"/>
            </w:tcBorders>
            <w:shd w:val="clear" w:color="auto" w:fill="auto"/>
            <w:noWrap w:val="0"/>
            <w:vAlign w:val="center"/>
          </w:tcPr>
          <w:p>
            <w:pPr>
              <w:pStyle w:val="42"/>
              <w:shd w:val="clear"/>
              <w:bidi w:val="0"/>
              <w:jc w:val="center"/>
              <w:rPr>
                <w:rFonts w:hint="default"/>
                <w:color w:val="0000FF"/>
                <w:highlight w:val="none"/>
                <w:lang w:val="en-US" w:eastAsia="zh-CN"/>
              </w:rPr>
            </w:pPr>
            <w:r>
              <w:rPr>
                <w:rFonts w:hint="default"/>
                <w:color w:val="0000FF"/>
                <w:highlight w:val="none"/>
                <w:lang w:val="en-US" w:eastAsia="zh-CN"/>
              </w:rPr>
              <w:t>保护等级</w:t>
            </w:r>
          </w:p>
        </w:tc>
        <w:tc>
          <w:tcPr>
            <w:tcW w:w="737" w:type="pct"/>
            <w:tcBorders>
              <w:tl2br w:val="nil"/>
              <w:tr2bl w:val="nil"/>
            </w:tcBorders>
            <w:shd w:val="clear" w:color="auto" w:fill="auto"/>
            <w:noWrap w:val="0"/>
            <w:vAlign w:val="center"/>
          </w:tcPr>
          <w:p>
            <w:pPr>
              <w:pStyle w:val="42"/>
              <w:shd w:val="clear"/>
              <w:bidi w:val="0"/>
              <w:jc w:val="center"/>
              <w:rPr>
                <w:rFonts w:hint="default"/>
                <w:color w:val="0000FF"/>
                <w:highlight w:val="none"/>
                <w:lang w:val="en-US" w:eastAsia="zh-CN"/>
              </w:rPr>
            </w:pPr>
            <w:r>
              <w:rPr>
                <w:rFonts w:hint="default"/>
                <w:color w:val="0000FF"/>
                <w:highlight w:val="none"/>
                <w:lang w:val="en-US" w:eastAsia="zh-CN"/>
              </w:rPr>
              <w:t>受威胁情况</w:t>
            </w:r>
          </w:p>
        </w:tc>
        <w:tc>
          <w:tcPr>
            <w:tcW w:w="394" w:type="pct"/>
            <w:tcBorders>
              <w:tl2br w:val="nil"/>
              <w:tr2bl w:val="nil"/>
            </w:tcBorders>
            <w:shd w:val="clear" w:color="auto" w:fill="auto"/>
            <w:noWrap w:val="0"/>
            <w:vAlign w:val="center"/>
          </w:tcPr>
          <w:p>
            <w:pPr>
              <w:pStyle w:val="42"/>
              <w:shd w:val="clear"/>
              <w:bidi w:val="0"/>
              <w:jc w:val="center"/>
              <w:rPr>
                <w:rFonts w:hint="default"/>
                <w:color w:val="0000FF"/>
                <w:highlight w:val="none"/>
                <w:lang w:val="en-US" w:eastAsia="zh-CN"/>
              </w:rPr>
            </w:pPr>
            <w:r>
              <w:rPr>
                <w:rFonts w:hint="default"/>
                <w:color w:val="0000FF"/>
                <w:highlight w:val="none"/>
                <w:lang w:val="en-US" w:eastAsia="zh-CN"/>
              </w:rPr>
              <w:t>特有</w:t>
            </w:r>
          </w:p>
        </w:tc>
        <w:tc>
          <w:tcPr>
            <w:tcW w:w="586" w:type="pct"/>
            <w:tcBorders>
              <w:tl2br w:val="nil"/>
              <w:tr2bl w:val="nil"/>
            </w:tcBorders>
            <w:shd w:val="clear" w:color="auto" w:fill="auto"/>
            <w:noWrap w:val="0"/>
            <w:vAlign w:val="center"/>
          </w:tcPr>
          <w:p>
            <w:pPr>
              <w:pStyle w:val="42"/>
              <w:shd w:val="clear"/>
              <w:bidi w:val="0"/>
              <w:jc w:val="center"/>
              <w:rPr>
                <w:rFonts w:hint="default"/>
                <w:color w:val="0000FF"/>
                <w:highlight w:val="none"/>
                <w:lang w:val="en-US" w:eastAsia="zh-CN"/>
              </w:rPr>
            </w:pPr>
            <w:r>
              <w:rPr>
                <w:rFonts w:hint="eastAsia"/>
                <w:color w:val="0000FF"/>
                <w:highlight w:val="none"/>
                <w:lang w:val="en-US" w:eastAsia="zh-CN"/>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352"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1</w:t>
            </w:r>
          </w:p>
        </w:tc>
        <w:tc>
          <w:tcPr>
            <w:tcW w:w="942"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红隼</w:t>
            </w:r>
          </w:p>
        </w:tc>
        <w:tc>
          <w:tcPr>
            <w:tcW w:w="1176" w:type="pct"/>
            <w:tcBorders>
              <w:tl2br w:val="nil"/>
              <w:tr2bl w:val="nil"/>
            </w:tcBorders>
            <w:shd w:val="clear" w:color="auto" w:fill="auto"/>
            <w:noWrap w:val="0"/>
            <w:vAlign w:val="center"/>
          </w:tcPr>
          <w:p>
            <w:pPr>
              <w:pStyle w:val="42"/>
              <w:shd w:val="clear"/>
              <w:bidi w:val="0"/>
              <w:jc w:val="center"/>
              <w:rPr>
                <w:rFonts w:hint="default"/>
                <w:i/>
                <w:iCs/>
                <w:color w:val="0000FF"/>
                <w:highlight w:val="none"/>
              </w:rPr>
            </w:pPr>
            <w:r>
              <w:rPr>
                <w:rFonts w:hint="default"/>
                <w:i/>
                <w:iCs/>
                <w:color w:val="0000FF"/>
                <w:highlight w:val="none"/>
                <w:lang w:val="en-US" w:eastAsia="zh-CN"/>
              </w:rPr>
              <w:t>Falco tinnunculus</w:t>
            </w:r>
          </w:p>
          <w:p>
            <w:pPr>
              <w:pStyle w:val="42"/>
              <w:shd w:val="clear"/>
              <w:bidi w:val="0"/>
              <w:jc w:val="center"/>
              <w:rPr>
                <w:rFonts w:hint="default"/>
                <w:i/>
                <w:iCs/>
                <w:color w:val="0000FF"/>
                <w:highlight w:val="none"/>
              </w:rPr>
            </w:pPr>
          </w:p>
        </w:tc>
        <w:tc>
          <w:tcPr>
            <w:tcW w:w="809"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eastAsia"/>
                <w:color w:val="0000FF"/>
                <w:highlight w:val="none"/>
                <w:lang w:val="en-US" w:eastAsia="zh-CN"/>
              </w:rPr>
              <w:t>国</w:t>
            </w:r>
            <w:r>
              <w:rPr>
                <w:rFonts w:hint="default"/>
                <w:color w:val="0000FF"/>
                <w:highlight w:val="none"/>
              </w:rPr>
              <w:t>II</w:t>
            </w:r>
          </w:p>
        </w:tc>
        <w:tc>
          <w:tcPr>
            <w:tcW w:w="737" w:type="pct"/>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394" w:type="pct"/>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586"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val="en-US" w:eastAsia="zh-CN"/>
              </w:rPr>
            </w:pPr>
            <w:r>
              <w:rPr>
                <w:rFonts w:hint="eastAsia"/>
                <w:color w:val="0000FF"/>
                <w:highlight w:val="none"/>
                <w:lang w:val="en-US" w:eastAsia="zh-CN"/>
              </w:rPr>
              <w:t>目击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352" w:type="pct"/>
            <w:tcBorders>
              <w:tl2br w:val="nil"/>
              <w:tr2bl w:val="nil"/>
            </w:tcBorders>
            <w:shd w:val="clear" w:color="auto" w:fill="auto"/>
            <w:noWrap w:val="0"/>
            <w:vAlign w:val="center"/>
          </w:tcPr>
          <w:p>
            <w:pPr>
              <w:pStyle w:val="42"/>
              <w:shd w:val="clear"/>
              <w:bidi w:val="0"/>
              <w:jc w:val="center"/>
              <w:rPr>
                <w:rFonts w:hint="eastAsia" w:eastAsia="宋体"/>
                <w:color w:val="0000FF"/>
                <w:highlight w:val="none"/>
                <w:lang w:eastAsia="zh-CN"/>
              </w:rPr>
            </w:pPr>
            <w:r>
              <w:rPr>
                <w:rFonts w:hint="eastAsia"/>
                <w:color w:val="0000FF"/>
                <w:highlight w:val="none"/>
                <w:lang w:val="en-US" w:eastAsia="zh-CN"/>
              </w:rPr>
              <w:t>2</w:t>
            </w:r>
          </w:p>
        </w:tc>
        <w:tc>
          <w:tcPr>
            <w:tcW w:w="942"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黑翅鸢</w:t>
            </w:r>
          </w:p>
        </w:tc>
        <w:tc>
          <w:tcPr>
            <w:tcW w:w="1176" w:type="pct"/>
            <w:tcBorders>
              <w:tl2br w:val="nil"/>
              <w:tr2bl w:val="nil"/>
            </w:tcBorders>
            <w:shd w:val="clear" w:color="auto" w:fill="auto"/>
            <w:noWrap w:val="0"/>
            <w:vAlign w:val="center"/>
          </w:tcPr>
          <w:p>
            <w:pPr>
              <w:pStyle w:val="42"/>
              <w:shd w:val="clear"/>
              <w:bidi w:val="0"/>
              <w:jc w:val="center"/>
              <w:rPr>
                <w:rFonts w:hint="default"/>
                <w:i/>
                <w:iCs/>
                <w:color w:val="0000FF"/>
                <w:highlight w:val="none"/>
              </w:rPr>
            </w:pPr>
            <w:r>
              <w:rPr>
                <w:rFonts w:hint="default"/>
                <w:i/>
                <w:iCs/>
                <w:color w:val="0000FF"/>
                <w:highlight w:val="none"/>
                <w:lang w:val="en-US" w:eastAsia="zh-CN"/>
              </w:rPr>
              <w:t>Elanus caeruleus</w:t>
            </w:r>
          </w:p>
          <w:p>
            <w:pPr>
              <w:pStyle w:val="42"/>
              <w:shd w:val="clear"/>
              <w:bidi w:val="0"/>
              <w:jc w:val="center"/>
              <w:rPr>
                <w:rFonts w:hint="default"/>
                <w:i/>
                <w:iCs/>
                <w:color w:val="0000FF"/>
                <w:highlight w:val="none"/>
              </w:rPr>
            </w:pPr>
          </w:p>
        </w:tc>
        <w:tc>
          <w:tcPr>
            <w:tcW w:w="809"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eastAsia"/>
                <w:color w:val="0000FF"/>
                <w:highlight w:val="none"/>
                <w:lang w:val="en-US" w:eastAsia="zh-CN"/>
              </w:rPr>
              <w:t>国</w:t>
            </w:r>
            <w:r>
              <w:rPr>
                <w:rFonts w:hint="default"/>
                <w:color w:val="0000FF"/>
                <w:highlight w:val="none"/>
              </w:rPr>
              <w:t>II</w:t>
            </w:r>
          </w:p>
        </w:tc>
        <w:tc>
          <w:tcPr>
            <w:tcW w:w="737" w:type="pct"/>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394" w:type="pct"/>
            <w:tcBorders>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586" w:type="pct"/>
            <w:tcBorders>
              <w:tl2br w:val="nil"/>
              <w:tr2bl w:val="nil"/>
            </w:tcBorders>
            <w:shd w:val="clear" w:color="auto" w:fill="auto"/>
            <w:noWrap w:val="0"/>
            <w:vAlign w:val="center"/>
          </w:tcPr>
          <w:p>
            <w:pPr>
              <w:pStyle w:val="42"/>
              <w:shd w:val="clear"/>
              <w:bidi w:val="0"/>
              <w:jc w:val="center"/>
              <w:rPr>
                <w:rFonts w:hint="default"/>
                <w:color w:val="0000FF"/>
                <w:highlight w:val="none"/>
              </w:rPr>
            </w:pPr>
            <w:r>
              <w:rPr>
                <w:rFonts w:hint="eastAsia"/>
                <w:color w:val="0000FF"/>
                <w:highlight w:val="none"/>
                <w:lang w:val="en-US" w:eastAsia="zh-CN"/>
              </w:rPr>
              <w:t>目击</w:t>
            </w:r>
          </w:p>
        </w:tc>
      </w:tr>
    </w:tbl>
    <w:p>
      <w:pPr>
        <w:pStyle w:val="96"/>
        <w:shd w:val="clear"/>
        <w:spacing w:beforeLines="0" w:afterLines="0" w:line="322" w:lineRule="exact"/>
        <w:ind w:firstLine="680" w:firstLineChars="400"/>
        <w:jc w:val="left"/>
        <w:rPr>
          <w:rFonts w:hint="default" w:ascii="Times New Roman" w:hAnsi="Times New Roman" w:eastAsia="宋体" w:cs="Times New Roman"/>
          <w:color w:val="0000FF"/>
          <w:sz w:val="17"/>
          <w:szCs w:val="17"/>
          <w:highlight w:val="none"/>
        </w:rPr>
      </w:pPr>
      <w:r>
        <w:rPr>
          <w:rStyle w:val="95"/>
          <w:rFonts w:hint="default" w:ascii="Times New Roman" w:hAnsi="Times New Roman" w:eastAsia="宋体" w:cs="Times New Roman"/>
          <w:color w:val="0000FF"/>
          <w:sz w:val="17"/>
          <w:szCs w:val="17"/>
          <w:highlight w:val="none"/>
          <w:lang w:val="zh-TW" w:eastAsia="zh-TW"/>
        </w:rPr>
        <w:t>注：保护级别：</w:t>
      </w:r>
      <w:r>
        <w:rPr>
          <w:rStyle w:val="95"/>
          <w:rFonts w:hint="default" w:ascii="Times New Roman" w:hAnsi="Times New Roman" w:eastAsia="宋体" w:cs="Times New Roman"/>
          <w:color w:val="0000FF"/>
          <w:sz w:val="17"/>
          <w:szCs w:val="17"/>
          <w:highlight w:val="none"/>
          <w:lang w:val="en-US" w:eastAsia="zh-CN"/>
        </w:rPr>
        <w:t>国</w:t>
      </w:r>
      <w:r>
        <w:rPr>
          <w:rStyle w:val="95"/>
          <w:rFonts w:hint="eastAsia" w:ascii="Times New Roman" w:hAnsi="Times New Roman" w:cs="Times New Roman"/>
          <w:color w:val="0000FF"/>
          <w:sz w:val="17"/>
          <w:szCs w:val="17"/>
          <w:highlight w:val="none"/>
          <w:lang w:val="en-US" w:eastAsia="zh-CN"/>
        </w:rPr>
        <w:t>Ⅱ级</w:t>
      </w:r>
      <w:r>
        <w:rPr>
          <w:rStyle w:val="95"/>
          <w:rFonts w:hint="default" w:ascii="Times New Roman" w:hAnsi="Times New Roman" w:eastAsia="宋体" w:cs="Times New Roman"/>
          <w:color w:val="0000FF"/>
          <w:sz w:val="17"/>
          <w:szCs w:val="17"/>
          <w:highlight w:val="none"/>
          <w:lang w:val="zh-TW" w:eastAsia="zh-TW"/>
        </w:rPr>
        <w:t>：国家</w:t>
      </w:r>
      <w:r>
        <w:rPr>
          <w:rStyle w:val="95"/>
          <w:rFonts w:hint="eastAsia" w:ascii="Times New Roman" w:hAnsi="Times New Roman" w:cs="Times New Roman"/>
          <w:color w:val="0000FF"/>
          <w:sz w:val="17"/>
          <w:szCs w:val="17"/>
          <w:highlight w:val="none"/>
          <w:lang w:val="zh-TW" w:eastAsia="zh-CN"/>
        </w:rPr>
        <w:t>Ⅱ级</w:t>
      </w:r>
      <w:r>
        <w:rPr>
          <w:rStyle w:val="95"/>
          <w:rFonts w:hint="default" w:ascii="Times New Roman" w:hAnsi="Times New Roman" w:eastAsia="宋体" w:cs="Times New Roman"/>
          <w:color w:val="0000FF"/>
          <w:sz w:val="17"/>
          <w:szCs w:val="17"/>
          <w:highlight w:val="none"/>
          <w:lang w:val="zh-TW" w:eastAsia="zh-TW"/>
        </w:rPr>
        <w:t>重点保护野生动物。</w:t>
      </w:r>
    </w:p>
    <w:p>
      <w:pPr>
        <w:shd w:val="clear"/>
        <w:bidi w:val="0"/>
        <w:ind w:firstLine="480" w:firstLineChars="200"/>
        <w:rPr>
          <w:rFonts w:hint="default"/>
          <w:color w:val="0000FF"/>
          <w:highlight w:val="none"/>
        </w:rPr>
      </w:pPr>
      <w:r>
        <w:rPr>
          <w:rFonts w:hint="eastAsia"/>
          <w:color w:val="0000FF"/>
          <w:highlight w:val="none"/>
          <w:lang w:val="en-US" w:eastAsia="zh-CN"/>
        </w:rPr>
        <w:t>1）</w:t>
      </w:r>
      <w:r>
        <w:rPr>
          <w:rFonts w:hint="default"/>
          <w:color w:val="0000FF"/>
          <w:highlight w:val="none"/>
          <w:lang w:val="zh-TW" w:eastAsia="zh-TW"/>
        </w:rPr>
        <w:t>两栖动物</w:t>
      </w:r>
    </w:p>
    <w:p>
      <w:pPr>
        <w:shd w:val="clear"/>
        <w:bidi w:val="0"/>
        <w:ind w:firstLine="480" w:firstLineChars="200"/>
        <w:rPr>
          <w:rFonts w:hint="default"/>
          <w:color w:val="0000FF"/>
          <w:highlight w:val="none"/>
        </w:rPr>
      </w:pPr>
      <w:r>
        <w:rPr>
          <w:rFonts w:hint="default"/>
          <w:color w:val="0000FF"/>
          <w:highlight w:val="none"/>
          <w:lang w:val="zh-TW" w:eastAsia="zh-TW"/>
        </w:rPr>
        <w:t>在评价区分布的</w:t>
      </w:r>
      <w:r>
        <w:rPr>
          <w:rFonts w:hint="eastAsia"/>
          <w:color w:val="0000FF"/>
          <w:highlight w:val="none"/>
          <w:lang w:val="en-US" w:eastAsia="zh-CN"/>
        </w:rPr>
        <w:t>5</w:t>
      </w:r>
      <w:r>
        <w:rPr>
          <w:rFonts w:hint="default"/>
          <w:color w:val="0000FF"/>
          <w:highlight w:val="none"/>
          <w:lang w:val="zh-TW" w:eastAsia="zh-TW"/>
        </w:rPr>
        <w:t>种两栖动物中，</w:t>
      </w:r>
      <w:r>
        <w:rPr>
          <w:rFonts w:hint="eastAsia"/>
          <w:color w:val="0000FF"/>
          <w:highlight w:val="none"/>
          <w:lang w:val="en-US" w:eastAsia="zh-CN"/>
        </w:rPr>
        <w:t>未调查到</w:t>
      </w:r>
      <w:r>
        <w:rPr>
          <w:rFonts w:hint="default"/>
          <w:color w:val="0000FF"/>
          <w:highlight w:val="none"/>
          <w:lang w:val="zh-TW" w:eastAsia="zh-TW"/>
        </w:rPr>
        <w:t>国家级和云南省级重点保护野生动物；也</w:t>
      </w:r>
      <w:r>
        <w:rPr>
          <w:rFonts w:hint="eastAsia"/>
          <w:color w:val="0000FF"/>
          <w:highlight w:val="none"/>
          <w:lang w:val="en-US" w:eastAsia="zh-CN"/>
        </w:rPr>
        <w:t>未发现</w:t>
      </w:r>
      <w:r>
        <w:rPr>
          <w:rFonts w:hint="default"/>
          <w:color w:val="0000FF"/>
          <w:highlight w:val="none"/>
          <w:lang w:val="zh-TW" w:eastAsia="zh-TW"/>
        </w:rPr>
        <w:t>珍稀濒危动物分布。调查未发现该地区特有种类分布。</w:t>
      </w:r>
    </w:p>
    <w:p>
      <w:pPr>
        <w:shd w:val="clear"/>
        <w:bidi w:val="0"/>
        <w:ind w:firstLine="480" w:firstLineChars="200"/>
        <w:rPr>
          <w:rFonts w:hint="default"/>
          <w:color w:val="0000FF"/>
          <w:highlight w:val="none"/>
        </w:rPr>
      </w:pPr>
      <w:bookmarkStart w:id="546" w:name="bookmark98"/>
      <w:r>
        <w:rPr>
          <w:rFonts w:hint="eastAsia"/>
          <w:color w:val="0000FF"/>
          <w:highlight w:val="none"/>
          <w:lang w:val="en-US" w:eastAsia="zh-CN"/>
        </w:rPr>
        <w:t>2）</w:t>
      </w:r>
      <w:r>
        <w:rPr>
          <w:rFonts w:hint="default"/>
          <w:color w:val="0000FF"/>
          <w:highlight w:val="none"/>
          <w:lang w:val="zh-TW" w:eastAsia="zh-TW"/>
        </w:rPr>
        <w:t>爬行动物</w:t>
      </w:r>
      <w:bookmarkEnd w:id="546"/>
    </w:p>
    <w:p>
      <w:pPr>
        <w:shd w:val="clear"/>
        <w:bidi w:val="0"/>
        <w:ind w:firstLine="480" w:firstLineChars="200"/>
        <w:rPr>
          <w:rFonts w:hint="default"/>
          <w:color w:val="0000FF"/>
          <w:highlight w:val="none"/>
        </w:rPr>
      </w:pPr>
      <w:r>
        <w:rPr>
          <w:rFonts w:hint="default"/>
          <w:color w:val="0000FF"/>
          <w:highlight w:val="none"/>
          <w:lang w:val="zh-TW" w:eastAsia="zh-TW"/>
        </w:rPr>
        <w:t>在评价区分布的</w:t>
      </w:r>
      <w:r>
        <w:rPr>
          <w:rFonts w:hint="eastAsia"/>
          <w:color w:val="0000FF"/>
          <w:highlight w:val="none"/>
          <w:lang w:val="en-US" w:eastAsia="zh-CN"/>
        </w:rPr>
        <w:t>4</w:t>
      </w:r>
      <w:r>
        <w:rPr>
          <w:rFonts w:hint="default"/>
          <w:color w:val="0000FF"/>
          <w:highlight w:val="none"/>
          <w:lang w:val="zh-TW" w:eastAsia="zh-TW"/>
        </w:rPr>
        <w:t>种爬行动物中，</w:t>
      </w:r>
      <w:r>
        <w:rPr>
          <w:rFonts w:hint="eastAsia"/>
          <w:color w:val="0000FF"/>
          <w:highlight w:val="none"/>
          <w:lang w:val="en-US" w:eastAsia="zh-CN"/>
        </w:rPr>
        <w:t>未调查到</w:t>
      </w:r>
      <w:r>
        <w:rPr>
          <w:rFonts w:hint="default"/>
          <w:color w:val="0000FF"/>
          <w:highlight w:val="none"/>
          <w:lang w:val="zh-TW" w:eastAsia="zh-TW"/>
        </w:rPr>
        <w:t>国家级和云南省级重点保护野生动物分布；也</w:t>
      </w:r>
      <w:r>
        <w:rPr>
          <w:rFonts w:hint="eastAsia"/>
          <w:color w:val="0000FF"/>
          <w:highlight w:val="none"/>
          <w:lang w:val="en-US" w:eastAsia="zh-CN"/>
        </w:rPr>
        <w:t>未发现</w:t>
      </w:r>
      <w:r>
        <w:rPr>
          <w:rFonts w:hint="default"/>
          <w:color w:val="0000FF"/>
          <w:highlight w:val="none"/>
          <w:lang w:val="zh-TW" w:eastAsia="zh-TW"/>
        </w:rPr>
        <w:t>珍稀濒危动物分布</w:t>
      </w:r>
      <w:r>
        <w:rPr>
          <w:rFonts w:hint="default"/>
          <w:color w:val="0000FF"/>
          <w:highlight w:val="none"/>
          <w:lang w:val="zh-TW" w:eastAsia="zh-CN"/>
        </w:rPr>
        <w:t>；</w:t>
      </w:r>
      <w:r>
        <w:rPr>
          <w:rFonts w:hint="default"/>
          <w:color w:val="0000FF"/>
          <w:highlight w:val="none"/>
          <w:lang w:val="zh-TW" w:eastAsia="zh-TW"/>
        </w:rPr>
        <w:t>未发现该地区特有种类分布。</w:t>
      </w:r>
    </w:p>
    <w:p>
      <w:pPr>
        <w:shd w:val="clear"/>
        <w:bidi w:val="0"/>
        <w:ind w:firstLine="480" w:firstLineChars="200"/>
        <w:rPr>
          <w:rFonts w:hint="default"/>
          <w:color w:val="0000FF"/>
          <w:highlight w:val="none"/>
        </w:rPr>
      </w:pPr>
      <w:bookmarkStart w:id="547" w:name="bookmark99"/>
      <w:r>
        <w:rPr>
          <w:rFonts w:hint="eastAsia"/>
          <w:color w:val="0000FF"/>
          <w:highlight w:val="none"/>
          <w:lang w:val="en-US" w:eastAsia="zh-CN"/>
        </w:rPr>
        <w:t>3）</w:t>
      </w:r>
      <w:r>
        <w:rPr>
          <w:rFonts w:hint="default"/>
          <w:color w:val="0000FF"/>
          <w:highlight w:val="none"/>
          <w:lang w:val="zh-TW" w:eastAsia="zh-TW"/>
        </w:rPr>
        <w:t>鸟类</w:t>
      </w:r>
      <w:bookmarkEnd w:id="547"/>
    </w:p>
    <w:p>
      <w:pPr>
        <w:shd w:val="clear"/>
        <w:bidi w:val="0"/>
        <w:ind w:firstLine="480" w:firstLineChars="200"/>
        <w:rPr>
          <w:rFonts w:hint="default"/>
          <w:color w:val="0000FF"/>
          <w:highlight w:val="none"/>
          <w:lang w:val="zh-TW" w:eastAsia="zh-TW"/>
        </w:rPr>
      </w:pPr>
      <w:r>
        <w:rPr>
          <w:rFonts w:hint="default"/>
          <w:color w:val="0000FF"/>
          <w:highlight w:val="none"/>
          <w:lang w:val="zh-TW" w:eastAsia="zh-TW"/>
        </w:rPr>
        <w:t>在所记录的</w:t>
      </w:r>
      <w:r>
        <w:rPr>
          <w:rFonts w:hint="eastAsia"/>
          <w:color w:val="0000FF"/>
          <w:highlight w:val="none"/>
          <w:lang w:val="en-US" w:eastAsia="zh-CN"/>
        </w:rPr>
        <w:t>4</w:t>
      </w:r>
      <w:r>
        <w:rPr>
          <w:rFonts w:hint="default"/>
          <w:color w:val="0000FF"/>
          <w:highlight w:val="none"/>
          <w:lang w:val="en-US" w:eastAsia="zh-CN"/>
        </w:rPr>
        <w:t>7</w:t>
      </w:r>
      <w:r>
        <w:rPr>
          <w:rFonts w:hint="default"/>
          <w:color w:val="0000FF"/>
          <w:highlight w:val="none"/>
          <w:lang w:val="zh-TW" w:eastAsia="zh-TW"/>
        </w:rPr>
        <w:t>种鸟类中，有</w:t>
      </w:r>
      <w:r>
        <w:rPr>
          <w:rFonts w:hint="eastAsia"/>
          <w:color w:val="0000FF"/>
          <w:highlight w:val="none"/>
          <w:lang w:val="en-US" w:eastAsia="zh-CN"/>
        </w:rPr>
        <w:t>2</w:t>
      </w:r>
      <w:r>
        <w:rPr>
          <w:rFonts w:hint="default"/>
          <w:color w:val="0000FF"/>
          <w:highlight w:val="none"/>
          <w:lang w:val="zh-TW" w:eastAsia="zh-TW"/>
        </w:rPr>
        <w:t>种国家</w:t>
      </w:r>
      <w:r>
        <w:rPr>
          <w:rFonts w:hint="eastAsia"/>
          <w:color w:val="0000FF"/>
          <w:highlight w:val="none"/>
          <w:lang w:val="zh-TW" w:eastAsia="zh-CN"/>
        </w:rPr>
        <w:t>Ⅱ级</w:t>
      </w:r>
      <w:r>
        <w:rPr>
          <w:rFonts w:hint="default"/>
          <w:color w:val="0000FF"/>
          <w:highlight w:val="none"/>
          <w:lang w:val="zh-TW" w:eastAsia="zh-TW"/>
        </w:rPr>
        <w:t>保护动物</w:t>
      </w:r>
      <w:r>
        <w:rPr>
          <w:rFonts w:hint="default"/>
          <w:color w:val="0000FF"/>
          <w:highlight w:val="none"/>
          <w:lang w:val="zh-TW" w:eastAsia="zh-CN"/>
        </w:rPr>
        <w:t>：</w:t>
      </w:r>
      <w:r>
        <w:rPr>
          <w:rFonts w:hint="default"/>
          <w:color w:val="0000FF"/>
          <w:highlight w:val="none"/>
          <w:lang w:val="zh-TW" w:eastAsia="zh-TW"/>
        </w:rPr>
        <w:t>黑翅鸢</w:t>
      </w:r>
      <w:r>
        <w:rPr>
          <w:rFonts w:hint="eastAsia"/>
          <w:color w:val="0000FF"/>
          <w:highlight w:val="none"/>
          <w:lang w:val="zh-TW" w:eastAsia="zh-CN"/>
        </w:rPr>
        <w:t>、</w:t>
      </w:r>
      <w:r>
        <w:rPr>
          <w:rFonts w:hint="default"/>
          <w:color w:val="0000FF"/>
          <w:highlight w:val="none"/>
          <w:lang w:val="zh-TW" w:eastAsia="zh-TW"/>
        </w:rPr>
        <w:t>红隼</w:t>
      </w:r>
      <w:r>
        <w:rPr>
          <w:rFonts w:hint="eastAsia"/>
          <w:color w:val="0000FF"/>
          <w:highlight w:val="none"/>
          <w:lang w:val="zh-TW" w:eastAsia="zh-CN"/>
        </w:rPr>
        <w:t>，</w:t>
      </w:r>
      <w:r>
        <w:rPr>
          <w:rFonts w:hint="default"/>
          <w:color w:val="0000FF"/>
          <w:highlight w:val="none"/>
          <w:lang w:val="zh-TW" w:eastAsia="zh-TW"/>
        </w:rPr>
        <w:t>均栖息在附近植被较丰富的区域中，由于人类活动的干扰，动物基本不会进入项目评价区内。对上述种类须注意依法加以保护，避免伤害到从周围地区偶尔进入评价区的保护物种。</w:t>
      </w:r>
    </w:p>
    <w:p>
      <w:pPr>
        <w:shd w:val="clear"/>
        <w:bidi w:val="0"/>
        <w:ind w:firstLine="480" w:firstLineChars="200"/>
        <w:rPr>
          <w:rFonts w:hint="default"/>
          <w:color w:val="0000FF"/>
          <w:highlight w:val="none"/>
        </w:rPr>
      </w:pPr>
      <w:bookmarkStart w:id="548" w:name="bookmark100"/>
      <w:r>
        <w:rPr>
          <w:rFonts w:hint="eastAsia"/>
          <w:color w:val="0000FF"/>
          <w:highlight w:val="none"/>
          <w:lang w:val="en-US" w:eastAsia="zh-CN"/>
        </w:rPr>
        <w:t>①</w:t>
      </w:r>
      <w:r>
        <w:rPr>
          <w:rFonts w:hint="default"/>
          <w:b/>
          <w:bCs/>
          <w:color w:val="0000FF"/>
          <w:highlight w:val="none"/>
          <w:lang w:val="zh-TW" w:eastAsia="zh-TW"/>
        </w:rPr>
        <w:t>黑翅鸢</w:t>
      </w:r>
      <w:r>
        <w:rPr>
          <w:rFonts w:hint="default"/>
          <w:b/>
          <w:bCs/>
          <w:i/>
          <w:iCs/>
          <w:color w:val="0000FF"/>
          <w:highlight w:val="none"/>
        </w:rPr>
        <w:t>Elanus</w:t>
      </w:r>
      <w:r>
        <w:rPr>
          <w:rFonts w:hint="default"/>
          <w:b/>
          <w:bCs/>
          <w:i/>
          <w:iCs/>
          <w:color w:val="0000FF"/>
          <w:highlight w:val="none"/>
          <w:lang w:val="en-US" w:eastAsia="zh-CN"/>
        </w:rPr>
        <w:t xml:space="preserve"> </w:t>
      </w:r>
      <w:r>
        <w:rPr>
          <w:rFonts w:hint="default"/>
          <w:b/>
          <w:bCs/>
          <w:i/>
          <w:iCs/>
          <w:color w:val="0000FF"/>
          <w:highlight w:val="none"/>
        </w:rPr>
        <w:t>caeruleus</w:t>
      </w:r>
      <w:r>
        <w:rPr>
          <w:rFonts w:hint="default"/>
          <w:color w:val="0000FF"/>
          <w:highlight w:val="none"/>
          <w:lang w:val="en-US" w:eastAsia="zh-CN"/>
        </w:rPr>
        <w:t xml:space="preserve"> </w:t>
      </w:r>
      <w:r>
        <w:rPr>
          <w:rFonts w:hint="default"/>
          <w:color w:val="0000FF"/>
          <w:highlight w:val="none"/>
          <w:lang w:val="zh-TW" w:eastAsia="zh-TW"/>
        </w:rPr>
        <w:t>国家</w:t>
      </w:r>
      <w:r>
        <w:rPr>
          <w:rFonts w:hint="eastAsia"/>
          <w:color w:val="0000FF"/>
          <w:highlight w:val="none"/>
          <w:lang w:val="zh-TW" w:eastAsia="zh-CN"/>
        </w:rPr>
        <w:t>Ⅱ级</w:t>
      </w:r>
      <w:r>
        <w:rPr>
          <w:rFonts w:hint="default"/>
          <w:color w:val="0000FF"/>
          <w:highlight w:val="none"/>
          <w:lang w:val="zh-TW" w:eastAsia="zh-TW"/>
        </w:rPr>
        <w:t>保护</w:t>
      </w:r>
    </w:p>
    <w:bookmarkEnd w:id="548"/>
    <w:p>
      <w:pPr>
        <w:shd w:val="clear"/>
        <w:bidi w:val="0"/>
        <w:ind w:firstLine="480" w:firstLineChars="200"/>
        <w:rPr>
          <w:rFonts w:hint="default"/>
          <w:color w:val="0000FF"/>
          <w:highlight w:val="none"/>
        </w:rPr>
      </w:pPr>
      <w:r>
        <w:rPr>
          <w:rFonts w:hint="default"/>
          <w:color w:val="0000FF"/>
          <w:highlight w:val="none"/>
          <w:lang w:val="zh-TW" w:eastAsia="zh-TW"/>
        </w:rPr>
        <w:t>形态特征：小型猛禽，体长约33厘米。上体蓝灰色，下体白色。眼先和眼周具黑斑，肩部亦有黑斑，飞翔时初级飞羽下面黑色，和白色的下体形成鲜明对照。尾较短，平尾，中间稍凹，呈浅叉状。脚黄色，嘴黑色。常在空中翱翔，间或进行滑翔。</w:t>
      </w:r>
    </w:p>
    <w:p>
      <w:pPr>
        <w:shd w:val="clear"/>
        <w:bidi w:val="0"/>
        <w:ind w:firstLine="480" w:firstLineChars="200"/>
        <w:rPr>
          <w:rFonts w:hint="default"/>
          <w:color w:val="0000FF"/>
          <w:highlight w:val="none"/>
        </w:rPr>
      </w:pPr>
      <w:r>
        <w:rPr>
          <w:rFonts w:hint="default"/>
          <w:color w:val="0000FF"/>
          <w:highlight w:val="none"/>
          <w:lang w:val="zh-TW" w:eastAsia="zh-TW"/>
        </w:rPr>
        <w:t>生活习性：常单独在早晨和黄昏活动，白天常见停息在大树树梢或电线杆上，当有小鸟和昆虫飞过时，才突然猛冲过去扑食。有时也在空中盘旋、翱翔，并不时地将两翅上举成‘V’字形滑翔。间或也鼓翼飞翔，两翅扇动较轻，显得相当轻盈，发现地面食物时突然直扑而下。</w:t>
      </w:r>
    </w:p>
    <w:p>
      <w:pPr>
        <w:shd w:val="clear"/>
        <w:bidi w:val="0"/>
        <w:ind w:firstLine="480" w:firstLineChars="200"/>
        <w:rPr>
          <w:rFonts w:hint="default"/>
          <w:color w:val="0000FF"/>
          <w:highlight w:val="none"/>
        </w:rPr>
      </w:pPr>
      <w:r>
        <w:rPr>
          <w:rFonts w:hint="eastAsia"/>
          <w:color w:val="0000FF"/>
          <w:highlight w:val="none"/>
          <w:lang w:val="en-US" w:eastAsia="zh-CN"/>
        </w:rPr>
        <w:t>②</w:t>
      </w:r>
      <w:r>
        <w:rPr>
          <w:rFonts w:hint="default"/>
          <w:b/>
          <w:bCs/>
          <w:color w:val="0000FF"/>
          <w:highlight w:val="none"/>
          <w:lang w:val="zh-TW" w:eastAsia="zh-TW"/>
        </w:rPr>
        <w:t>红隼</w:t>
      </w:r>
      <w:r>
        <w:rPr>
          <w:rFonts w:hint="default"/>
          <w:b/>
          <w:bCs/>
          <w:i/>
          <w:iCs/>
          <w:color w:val="0000FF"/>
          <w:highlight w:val="none"/>
        </w:rPr>
        <w:t>Falco</w:t>
      </w:r>
      <w:r>
        <w:rPr>
          <w:rFonts w:hint="default"/>
          <w:b/>
          <w:bCs/>
          <w:i/>
          <w:iCs/>
          <w:color w:val="0000FF"/>
          <w:highlight w:val="none"/>
          <w:lang w:val="en-US" w:eastAsia="zh-CN"/>
        </w:rPr>
        <w:t xml:space="preserve"> </w:t>
      </w:r>
      <w:r>
        <w:rPr>
          <w:rFonts w:hint="default"/>
          <w:b/>
          <w:bCs/>
          <w:i/>
          <w:iCs/>
          <w:color w:val="0000FF"/>
          <w:highlight w:val="none"/>
        </w:rPr>
        <w:t>tinnunculu</w:t>
      </w:r>
      <w:r>
        <w:rPr>
          <w:rFonts w:hint="default"/>
          <w:b/>
          <w:bCs/>
          <w:i/>
          <w:iCs/>
          <w:color w:val="0000FF"/>
          <w:highlight w:val="none"/>
          <w:lang w:val="en-US" w:eastAsia="zh-CN"/>
        </w:rPr>
        <w:t>s</w:t>
      </w:r>
      <w:r>
        <w:rPr>
          <w:rFonts w:hint="default"/>
          <w:color w:val="0000FF"/>
          <w:highlight w:val="none"/>
          <w:lang w:val="en-US" w:eastAsia="zh-CN"/>
        </w:rPr>
        <w:t xml:space="preserve"> </w:t>
      </w:r>
      <w:r>
        <w:rPr>
          <w:rFonts w:hint="default"/>
          <w:color w:val="0000FF"/>
          <w:highlight w:val="none"/>
          <w:lang w:val="zh-TW" w:eastAsia="zh-TW"/>
        </w:rPr>
        <w:t>国家</w:t>
      </w:r>
      <w:r>
        <w:rPr>
          <w:rFonts w:hint="eastAsia"/>
          <w:color w:val="0000FF"/>
          <w:highlight w:val="none"/>
          <w:lang w:val="zh-TW" w:eastAsia="zh-CN"/>
        </w:rPr>
        <w:t>Ⅱ级</w:t>
      </w:r>
      <w:r>
        <w:rPr>
          <w:rFonts w:hint="default"/>
          <w:color w:val="0000FF"/>
          <w:highlight w:val="none"/>
          <w:lang w:val="zh-TW" w:eastAsia="zh-TW"/>
        </w:rPr>
        <w:t>保护动物</w:t>
      </w:r>
    </w:p>
    <w:p>
      <w:pPr>
        <w:shd w:val="clear"/>
        <w:bidi w:val="0"/>
        <w:ind w:firstLine="480" w:firstLineChars="200"/>
        <w:rPr>
          <w:rFonts w:hint="default"/>
          <w:color w:val="0000FF"/>
          <w:highlight w:val="none"/>
        </w:rPr>
      </w:pPr>
      <w:r>
        <w:rPr>
          <w:rFonts w:hint="default"/>
          <w:color w:val="0000FF"/>
          <w:highlight w:val="none"/>
          <w:lang w:val="zh-TW" w:eastAsia="zh-TW"/>
        </w:rPr>
        <w:t>形态特征：体长</w:t>
      </w:r>
      <w:r>
        <w:rPr>
          <w:rFonts w:hint="default"/>
          <w:color w:val="0000FF"/>
          <w:highlight w:val="none"/>
          <w:lang w:val="en-US" w:eastAsia="en-US"/>
        </w:rPr>
        <w:t>350</w:t>
      </w:r>
      <w:r>
        <w:rPr>
          <w:rFonts w:hint="default"/>
          <w:color w:val="0000FF"/>
          <w:highlight w:val="none"/>
        </w:rPr>
        <w:t>mm</w:t>
      </w:r>
      <w:r>
        <w:rPr>
          <w:rFonts w:hint="default"/>
          <w:color w:val="0000FF"/>
          <w:highlight w:val="none"/>
          <w:lang w:val="zh-TW" w:eastAsia="zh-TW"/>
        </w:rPr>
        <w:t>左右，雄鸟头顶至后颈灰，并具黑色条纹；背羽砖红色，布有黑色粗斑</w:t>
      </w:r>
      <w:r>
        <w:rPr>
          <w:rFonts w:hint="default"/>
          <w:color w:val="0000FF"/>
          <w:highlight w:val="none"/>
          <w:lang w:val="zh-TW" w:eastAsia="zh-CN"/>
        </w:rPr>
        <w:t>；</w:t>
      </w:r>
      <w:r>
        <w:rPr>
          <w:rFonts w:hint="default"/>
          <w:color w:val="0000FF"/>
          <w:highlight w:val="none"/>
          <w:lang w:val="zh-TW" w:eastAsia="zh-TW"/>
        </w:rPr>
        <w:t>尾羽青灰色，具宽阔的黑色次端斑及棕白色端缘，外侧尾羽较中央尾羽短甚，呈凸尾型。雌鸟上体砖红色，头顶满布黑色纵纹，背具黑色横斑，爪黑色。雌雄鸟胸和腹均淡棕黄色，具黑色纵纹和点斑。</w:t>
      </w:r>
    </w:p>
    <w:p>
      <w:pPr>
        <w:shd w:val="clear"/>
        <w:bidi w:val="0"/>
        <w:ind w:firstLine="480" w:firstLineChars="200"/>
        <w:rPr>
          <w:rFonts w:hint="default"/>
          <w:color w:val="0000FF"/>
          <w:highlight w:val="none"/>
        </w:rPr>
      </w:pPr>
      <w:r>
        <w:rPr>
          <w:rFonts w:hint="default"/>
          <w:color w:val="0000FF"/>
          <w:highlight w:val="none"/>
          <w:lang w:val="zh-TW" w:eastAsia="zh-TW"/>
        </w:rPr>
        <w:t>生活习性：栖息于林缘、灌丛、田野等开阔地及居民区。常单独活成对活动。飞行速度快，有时见在空中振翅定点停留，主要捕食地面上的食物，如昆虫、两栖类、小型爬行类、小型鸟类和小型兽类等，有时也取食少量植物性食物。</w:t>
      </w:r>
    </w:p>
    <w:p>
      <w:pPr>
        <w:shd w:val="clear"/>
        <w:bidi w:val="0"/>
        <w:ind w:firstLine="480" w:firstLineChars="200"/>
        <w:rPr>
          <w:rFonts w:hint="default"/>
          <w:color w:val="0000FF"/>
          <w:highlight w:val="none"/>
          <w:lang w:val="zh-TW" w:eastAsia="zh-TW"/>
        </w:rPr>
      </w:pPr>
      <w:bookmarkStart w:id="549" w:name="bookmark101"/>
      <w:r>
        <w:rPr>
          <w:rFonts w:hint="eastAsia"/>
          <w:color w:val="0000FF"/>
          <w:highlight w:val="none"/>
          <w:lang w:val="en-US" w:eastAsia="zh-CN"/>
        </w:rPr>
        <w:t>4）</w:t>
      </w:r>
      <w:r>
        <w:rPr>
          <w:rFonts w:hint="default"/>
          <w:color w:val="0000FF"/>
          <w:highlight w:val="none"/>
          <w:lang w:val="zh-TW" w:eastAsia="zh-TW"/>
        </w:rPr>
        <w:t>哺乳类</w:t>
      </w:r>
      <w:bookmarkEnd w:id="549"/>
    </w:p>
    <w:p>
      <w:pPr>
        <w:shd w:val="clear"/>
        <w:bidi w:val="0"/>
        <w:ind w:firstLine="480" w:firstLineChars="200"/>
        <w:rPr>
          <w:rFonts w:hint="default"/>
          <w:color w:val="0000FF"/>
          <w:highlight w:val="none"/>
        </w:rPr>
      </w:pPr>
      <w:r>
        <w:rPr>
          <w:rFonts w:hint="default"/>
          <w:color w:val="0000FF"/>
          <w:highlight w:val="none"/>
          <w:lang w:val="zh-TW" w:eastAsia="zh-TW"/>
        </w:rPr>
        <w:t>在评价区分布的</w:t>
      </w:r>
      <w:r>
        <w:rPr>
          <w:rFonts w:hint="eastAsia"/>
          <w:color w:val="0000FF"/>
          <w:highlight w:val="none"/>
          <w:lang w:val="en-US" w:eastAsia="zh-CN"/>
        </w:rPr>
        <w:t>9</w:t>
      </w:r>
      <w:r>
        <w:rPr>
          <w:rFonts w:hint="default"/>
          <w:color w:val="0000FF"/>
          <w:highlight w:val="none"/>
          <w:lang w:val="zh-TW" w:eastAsia="zh-TW"/>
        </w:rPr>
        <w:t>种哺乳动物中，没有发现评价范围内有国家级保护动物，未发现该地区特有种类分布。</w:t>
      </w:r>
    </w:p>
    <w:p>
      <w:pPr>
        <w:shd w:val="clear"/>
        <w:bidi w:val="0"/>
        <w:rPr>
          <w:rFonts w:hint="default"/>
          <w:color w:val="0000FF"/>
          <w:highlight w:val="none"/>
        </w:rPr>
      </w:pPr>
      <w:r>
        <w:rPr>
          <w:rFonts w:hint="eastAsia"/>
          <w:color w:val="0000FF"/>
          <w:highlight w:val="none"/>
          <w:lang w:val="zh-TW" w:eastAsia="zh-CN"/>
        </w:rPr>
        <w:t>（</w:t>
      </w:r>
      <w:r>
        <w:rPr>
          <w:rFonts w:hint="eastAsia"/>
          <w:color w:val="0000FF"/>
          <w:highlight w:val="none"/>
          <w:lang w:val="en-US" w:eastAsia="zh-CN"/>
        </w:rPr>
        <w:t>4</w:t>
      </w:r>
      <w:r>
        <w:rPr>
          <w:rFonts w:hint="eastAsia"/>
          <w:color w:val="0000FF"/>
          <w:highlight w:val="none"/>
          <w:lang w:val="zh-TW" w:eastAsia="zh-CN"/>
        </w:rPr>
        <w:t>）</w:t>
      </w:r>
      <w:r>
        <w:rPr>
          <w:rFonts w:hint="default"/>
          <w:color w:val="0000FF"/>
          <w:highlight w:val="none"/>
          <w:lang w:val="zh-TW" w:eastAsia="zh-TW"/>
        </w:rPr>
        <w:t>脊椎动物资源现状小结</w:t>
      </w:r>
    </w:p>
    <w:p>
      <w:pPr>
        <w:shd w:val="clear"/>
        <w:bidi w:val="0"/>
        <w:ind w:firstLine="480" w:firstLineChars="200"/>
        <w:rPr>
          <w:rFonts w:hint="default"/>
          <w:color w:val="0000FF"/>
          <w:highlight w:val="none"/>
        </w:rPr>
      </w:pPr>
      <w:r>
        <w:rPr>
          <w:rFonts w:hint="eastAsia"/>
          <w:color w:val="0000FF"/>
          <w:highlight w:val="none"/>
          <w:lang w:val="en-US" w:eastAsia="zh-CN"/>
        </w:rPr>
        <w:t>1）</w:t>
      </w:r>
      <w:r>
        <w:rPr>
          <w:rFonts w:hint="default"/>
          <w:color w:val="0000FF"/>
          <w:highlight w:val="none"/>
          <w:lang w:val="zh-TW" w:eastAsia="zh-TW"/>
        </w:rPr>
        <w:t>种类少、种群小、无资源优势</w:t>
      </w:r>
    </w:p>
    <w:p>
      <w:pPr>
        <w:shd w:val="clear"/>
        <w:bidi w:val="0"/>
        <w:ind w:firstLine="480" w:firstLineChars="200"/>
        <w:rPr>
          <w:rFonts w:hint="default"/>
          <w:color w:val="0000FF"/>
          <w:highlight w:val="none"/>
        </w:rPr>
      </w:pPr>
      <w:r>
        <w:rPr>
          <w:rFonts w:hint="default"/>
          <w:color w:val="0000FF"/>
          <w:highlight w:val="none"/>
          <w:lang w:val="zh-TW" w:eastAsia="zh-TW"/>
        </w:rPr>
        <w:t>评价区目前共记载陆栖脊椎动物</w:t>
      </w:r>
      <w:r>
        <w:rPr>
          <w:rFonts w:hint="eastAsia"/>
          <w:color w:val="0000FF"/>
          <w:highlight w:val="none"/>
          <w:lang w:val="en-US" w:eastAsia="zh-CN"/>
        </w:rPr>
        <w:t>6</w:t>
      </w:r>
      <w:r>
        <w:rPr>
          <w:rFonts w:hint="default"/>
          <w:color w:val="0000FF"/>
          <w:highlight w:val="none"/>
          <w:lang w:val="en-US" w:eastAsia="zh-CN"/>
        </w:rPr>
        <w:t>6</w:t>
      </w:r>
      <w:r>
        <w:rPr>
          <w:rFonts w:hint="default"/>
          <w:color w:val="0000FF"/>
          <w:highlight w:val="none"/>
          <w:lang w:val="zh-TW" w:eastAsia="zh-TW"/>
        </w:rPr>
        <w:t>种，但可供直接经济利用的动物资源，如人们所熟悉的食用、观赏用和药用等种类少，而少数可供直接经济利用的种类，如山斑鸠和云南兔等种类的特点是种群小。资源是以种群数量为基础的，没有一定的数量规模就难以开发供应市场。由于陆生脊椎动物各个类群均存在种群小数量少，难以形成一定的资源规模。所以一旦种群遭到人为的过度捕猎等破坏往往难以恢复，而一些种类对环境有严格的最适要求，环境一旦稍微变化，均会导致数量急剧下降，以致处于濒危状态，甚至灭绝。</w:t>
      </w:r>
    </w:p>
    <w:p>
      <w:pPr>
        <w:shd w:val="clear"/>
        <w:bidi w:val="0"/>
        <w:ind w:firstLine="480" w:firstLineChars="200"/>
        <w:rPr>
          <w:rFonts w:hint="default"/>
          <w:color w:val="0000FF"/>
          <w:highlight w:val="none"/>
        </w:rPr>
      </w:pPr>
      <w:r>
        <w:rPr>
          <w:rFonts w:hint="eastAsia"/>
          <w:color w:val="0000FF"/>
          <w:highlight w:val="none"/>
          <w:lang w:val="en-US" w:eastAsia="zh-CN"/>
        </w:rPr>
        <w:t>2）</w:t>
      </w:r>
      <w:r>
        <w:rPr>
          <w:rFonts w:hint="default"/>
          <w:color w:val="0000FF"/>
          <w:highlight w:val="none"/>
          <w:lang w:val="zh-TW" w:eastAsia="zh-TW"/>
        </w:rPr>
        <w:t>小型有害兽类种群数量大</w:t>
      </w:r>
    </w:p>
    <w:p>
      <w:pPr>
        <w:shd w:val="clear"/>
        <w:bidi w:val="0"/>
        <w:ind w:firstLine="480" w:firstLineChars="200"/>
        <w:rPr>
          <w:rFonts w:hint="default"/>
          <w:color w:val="0000FF"/>
          <w:highlight w:val="none"/>
          <w:lang w:val="zh-TW" w:eastAsia="zh-TW"/>
        </w:rPr>
      </w:pPr>
      <w:r>
        <w:rPr>
          <w:rFonts w:hint="default"/>
          <w:color w:val="0000FF"/>
          <w:highlight w:val="none"/>
          <w:lang w:val="zh-TW" w:eastAsia="zh-TW"/>
        </w:rPr>
        <w:t>在拟建工程的评价区周围，小型兽类，尤其是啮齿类活动痕迹十分多，而且种类和数量均较丰富，这主要与评价区的生境主要以人为干扰的生境为主有关。该类群有赤腹松鼠、红颊长吻松鼠、褐家鼠</w:t>
      </w:r>
      <w:r>
        <w:rPr>
          <w:rFonts w:hint="default"/>
          <w:color w:val="0000FF"/>
          <w:highlight w:val="none"/>
          <w:lang w:val="en-US" w:eastAsia="en-US"/>
        </w:rPr>
        <w:t>、</w:t>
      </w:r>
      <w:r>
        <w:rPr>
          <w:rFonts w:hint="default"/>
          <w:color w:val="0000FF"/>
          <w:highlight w:val="none"/>
          <w:lang w:val="zh-TW" w:eastAsia="zh-TW"/>
        </w:rPr>
        <w:t>黄胸鼠等种类。</w:t>
      </w:r>
    </w:p>
    <w:p>
      <w:pPr>
        <w:shd w:val="clear"/>
        <w:bidi w:val="0"/>
        <w:ind w:firstLine="480" w:firstLineChars="200"/>
        <w:rPr>
          <w:rFonts w:hint="default"/>
          <w:color w:val="0000FF"/>
          <w:highlight w:val="none"/>
        </w:rPr>
      </w:pPr>
      <w:r>
        <w:rPr>
          <w:rFonts w:hint="eastAsia"/>
          <w:color w:val="0000FF"/>
          <w:highlight w:val="none"/>
          <w:lang w:val="en-US" w:eastAsia="zh-CN"/>
        </w:rPr>
        <w:t>3）</w:t>
      </w:r>
      <w:r>
        <w:rPr>
          <w:rFonts w:hint="default"/>
          <w:color w:val="0000FF"/>
          <w:highlight w:val="none"/>
          <w:lang w:val="zh-TW" w:eastAsia="zh-TW"/>
        </w:rPr>
        <w:t>保护物种种类一般</w:t>
      </w:r>
    </w:p>
    <w:p>
      <w:pPr>
        <w:shd w:val="clear"/>
        <w:bidi w:val="0"/>
        <w:ind w:firstLine="480" w:firstLineChars="200"/>
        <w:rPr>
          <w:rFonts w:hint="default"/>
          <w:color w:val="0000FF"/>
          <w:highlight w:val="none"/>
        </w:rPr>
      </w:pPr>
      <w:r>
        <w:rPr>
          <w:rFonts w:hint="default"/>
          <w:color w:val="0000FF"/>
          <w:highlight w:val="none"/>
          <w:lang w:val="zh-TW" w:eastAsia="zh-TW"/>
        </w:rPr>
        <w:t>本次评价范围区域内无中国野生动物保护法列为重点保护动物名单中的I</w:t>
      </w:r>
      <w:r>
        <w:rPr>
          <w:rFonts w:hint="default"/>
          <w:color w:val="0000FF"/>
          <w:highlight w:val="none"/>
          <w:lang w:val="en-US" w:eastAsia="zh-CN"/>
        </w:rPr>
        <w:t>保护</w:t>
      </w:r>
      <w:r>
        <w:rPr>
          <w:rFonts w:hint="default"/>
          <w:color w:val="0000FF"/>
          <w:highlight w:val="none"/>
          <w:lang w:val="zh-TW" w:eastAsia="zh-TW"/>
        </w:rPr>
        <w:t>或被列入云南省保护动物名单中的两栖动物和爬行动物，哺乳动物中没有被国家列为重点保护动物，鸟类中有</w:t>
      </w:r>
      <w:r>
        <w:rPr>
          <w:rFonts w:hint="eastAsia"/>
          <w:color w:val="0000FF"/>
          <w:highlight w:val="none"/>
          <w:lang w:val="en-US" w:eastAsia="zh-CN"/>
        </w:rPr>
        <w:t>2</w:t>
      </w:r>
      <w:r>
        <w:rPr>
          <w:rFonts w:hint="default"/>
          <w:color w:val="0000FF"/>
          <w:highlight w:val="none"/>
          <w:lang w:val="zh-TW" w:eastAsia="zh-TW"/>
        </w:rPr>
        <w:t>种被国家列为</w:t>
      </w:r>
      <w:r>
        <w:rPr>
          <w:rFonts w:hint="eastAsia"/>
          <w:color w:val="0000FF"/>
          <w:highlight w:val="none"/>
          <w:lang w:val="zh-TW" w:eastAsia="zh-CN"/>
        </w:rPr>
        <w:t>Ⅱ级</w:t>
      </w:r>
      <w:r>
        <w:rPr>
          <w:rFonts w:hint="default"/>
          <w:color w:val="0000FF"/>
          <w:highlight w:val="none"/>
          <w:lang w:val="zh-TW" w:eastAsia="zh-TW"/>
        </w:rPr>
        <w:t>重点保护动物；但它们己主要在评价范围外活动。</w:t>
      </w:r>
    </w:p>
    <w:p>
      <w:pPr>
        <w:shd w:val="clear"/>
        <w:bidi w:val="0"/>
        <w:ind w:firstLine="480" w:firstLineChars="200"/>
        <w:rPr>
          <w:rFonts w:hint="default"/>
          <w:color w:val="0000FF"/>
          <w:highlight w:val="none"/>
        </w:rPr>
      </w:pPr>
      <w:r>
        <w:rPr>
          <w:rFonts w:hint="eastAsia"/>
          <w:color w:val="0000FF"/>
          <w:highlight w:val="none"/>
          <w:lang w:val="en-US" w:eastAsia="zh-CN"/>
        </w:rPr>
        <w:t>4）</w:t>
      </w:r>
      <w:r>
        <w:rPr>
          <w:rFonts w:hint="default"/>
          <w:color w:val="0000FF"/>
          <w:highlight w:val="none"/>
          <w:lang w:val="zh-TW" w:eastAsia="zh-TW"/>
        </w:rPr>
        <w:t>缺乏狭域分布的特有种类</w:t>
      </w:r>
    </w:p>
    <w:p>
      <w:pPr>
        <w:shd w:val="clear"/>
        <w:bidi w:val="0"/>
        <w:ind w:firstLine="480" w:firstLineChars="200"/>
        <w:rPr>
          <w:rFonts w:hint="default"/>
          <w:color w:val="0000FF"/>
          <w:highlight w:val="none"/>
          <w:lang w:val="zh-TW" w:eastAsia="zh-CN"/>
        </w:rPr>
      </w:pPr>
      <w:r>
        <w:rPr>
          <w:rFonts w:hint="default"/>
          <w:color w:val="0000FF"/>
          <w:highlight w:val="none"/>
          <w:lang w:val="zh-TW" w:eastAsia="zh-TW"/>
        </w:rPr>
        <w:t>两栖类、爬行类、鸟类和兽类等类群中均无局限分布于项目范围区的特有属、种。</w:t>
      </w:r>
    </w:p>
    <w:p>
      <w:pPr>
        <w:pStyle w:val="5"/>
        <w:numPr>
          <w:ilvl w:val="3"/>
          <w:numId w:val="1"/>
        </w:numPr>
        <w:shd w:val="clear"/>
        <w:bidi w:val="0"/>
        <w:rPr>
          <w:rFonts w:hint="eastAsia"/>
          <w:color w:val="0000FF"/>
          <w:highlight w:val="none"/>
          <w:lang w:val="en-US" w:eastAsia="zh-CN"/>
        </w:rPr>
      </w:pPr>
      <w:r>
        <w:rPr>
          <w:rFonts w:hint="default"/>
          <w:color w:val="0000FF"/>
          <w:highlight w:val="none"/>
          <w:lang w:val="en-US" w:eastAsia="zh-CN"/>
        </w:rPr>
        <w:t>评价区</w:t>
      </w:r>
      <w:r>
        <w:rPr>
          <w:rFonts w:hint="eastAsia"/>
          <w:color w:val="0000FF"/>
          <w:highlight w:val="none"/>
          <w:lang w:val="en-US" w:eastAsia="zh-CN"/>
        </w:rPr>
        <w:t>水生生物</w:t>
      </w:r>
      <w:r>
        <w:rPr>
          <w:rFonts w:hint="default"/>
          <w:color w:val="0000FF"/>
          <w:highlight w:val="none"/>
          <w:lang w:val="en-US" w:eastAsia="zh-CN"/>
        </w:rPr>
        <w:t>现状</w:t>
      </w:r>
    </w:p>
    <w:p>
      <w:pPr>
        <w:shd w:val="clear"/>
        <w:bidi w:val="0"/>
        <w:ind w:firstLine="480" w:firstLineChars="200"/>
        <w:rPr>
          <w:rFonts w:hint="eastAsia"/>
          <w:color w:val="0000FF"/>
          <w:highlight w:val="none"/>
          <w:lang w:val="en-US" w:eastAsia="zh-CN"/>
        </w:rPr>
      </w:pPr>
      <w:r>
        <w:rPr>
          <w:rFonts w:hint="eastAsia"/>
          <w:color w:val="0000FF"/>
          <w:highlight w:val="none"/>
          <w:lang w:val="en-US" w:eastAsia="zh-CN"/>
        </w:rPr>
        <w:t>本项目灌区位于元谋县金沙江以北地区，涉及河流为金沙江左岸一级支流——姜驿河和沙沟箐，2条河流均为季节性河流，长期干涸，只在6到9月间有水。项目涉及水库5个，分别为姜中水库、李官坟水库、致富水库、水平石水库、界牌箐水库。</w:t>
      </w:r>
    </w:p>
    <w:p>
      <w:pPr>
        <w:shd w:val="clear"/>
        <w:bidi w:val="0"/>
        <w:ind w:firstLine="480" w:firstLineChars="200"/>
        <w:rPr>
          <w:rFonts w:hint="eastAsia"/>
          <w:color w:val="0000FF"/>
          <w:highlight w:val="none"/>
          <w:lang w:val="en-US" w:eastAsia="zh-CN"/>
        </w:rPr>
      </w:pPr>
      <w:r>
        <w:rPr>
          <w:rFonts w:hint="eastAsia"/>
          <w:color w:val="0000FF"/>
          <w:lang w:val="en-US" w:eastAsia="zh-CN"/>
        </w:rPr>
        <w:t>调查时间：</w:t>
      </w:r>
      <w:r>
        <w:rPr>
          <w:rFonts w:hint="default"/>
          <w:color w:val="0000FF"/>
          <w:highlight w:val="none"/>
          <w:lang w:val="zh-TW" w:eastAsia="zh-TW"/>
        </w:rPr>
        <w:t>202</w:t>
      </w:r>
      <w:r>
        <w:rPr>
          <w:rFonts w:hint="default"/>
          <w:color w:val="0000FF"/>
          <w:highlight w:val="none"/>
          <w:lang w:val="en-US" w:eastAsia="zh-CN"/>
        </w:rPr>
        <w:t>3</w:t>
      </w:r>
      <w:r>
        <w:rPr>
          <w:rFonts w:hint="default"/>
          <w:color w:val="0000FF"/>
          <w:highlight w:val="none"/>
          <w:lang w:val="zh-TW" w:eastAsia="zh-TW"/>
        </w:rPr>
        <w:t>年</w:t>
      </w:r>
      <w:r>
        <w:rPr>
          <w:rFonts w:hint="default"/>
          <w:color w:val="0000FF"/>
          <w:highlight w:val="none"/>
          <w:lang w:val="en-US" w:eastAsia="zh-CN"/>
        </w:rPr>
        <w:t>9</w:t>
      </w:r>
      <w:r>
        <w:rPr>
          <w:rFonts w:hint="default"/>
          <w:color w:val="0000FF"/>
          <w:highlight w:val="none"/>
          <w:lang w:val="zh-TW" w:eastAsia="zh-TW"/>
        </w:rPr>
        <w:t>月</w:t>
      </w:r>
      <w:r>
        <w:rPr>
          <w:rFonts w:hint="default"/>
          <w:color w:val="0000FF"/>
          <w:highlight w:val="none"/>
          <w:lang w:val="en-US" w:eastAsia="zh-CN"/>
        </w:rPr>
        <w:t>13-17</w:t>
      </w:r>
      <w:r>
        <w:rPr>
          <w:rFonts w:hint="default"/>
          <w:color w:val="0000FF"/>
          <w:highlight w:val="none"/>
          <w:lang w:val="zh-TW" w:eastAsia="zh-TW"/>
        </w:rPr>
        <w:t>日、11月</w:t>
      </w:r>
      <w:r>
        <w:rPr>
          <w:rFonts w:hint="default"/>
          <w:color w:val="0000FF"/>
          <w:highlight w:val="none"/>
          <w:lang w:val="en-US" w:eastAsia="en-US"/>
        </w:rPr>
        <w:t>12-14</w:t>
      </w:r>
      <w:r>
        <w:rPr>
          <w:rFonts w:hint="default"/>
          <w:color w:val="0000FF"/>
          <w:highlight w:val="none"/>
          <w:lang w:val="zh-TW" w:eastAsia="zh-TW"/>
        </w:rPr>
        <w:t>日，202</w:t>
      </w:r>
      <w:r>
        <w:rPr>
          <w:rFonts w:hint="default"/>
          <w:color w:val="0000FF"/>
          <w:highlight w:val="none"/>
          <w:lang w:val="en-US" w:eastAsia="zh-CN"/>
        </w:rPr>
        <w:t>4</w:t>
      </w:r>
      <w:r>
        <w:rPr>
          <w:rFonts w:hint="default"/>
          <w:color w:val="0000FF"/>
          <w:highlight w:val="none"/>
          <w:lang w:val="zh-TW" w:eastAsia="zh-TW"/>
        </w:rPr>
        <w:t>年1月</w:t>
      </w:r>
      <w:r>
        <w:rPr>
          <w:rFonts w:hint="default"/>
          <w:color w:val="0000FF"/>
          <w:highlight w:val="none"/>
          <w:lang w:val="en-US" w:eastAsia="zh-CN"/>
        </w:rPr>
        <w:t>1-3</w:t>
      </w:r>
      <w:r>
        <w:rPr>
          <w:rFonts w:hint="default"/>
          <w:color w:val="0000FF"/>
          <w:highlight w:val="none"/>
          <w:lang w:val="zh-TW" w:eastAsia="zh-TW"/>
        </w:rPr>
        <w:t>日</w:t>
      </w:r>
      <w:r>
        <w:rPr>
          <w:rFonts w:hint="eastAsia"/>
          <w:color w:val="0000FF"/>
          <w:highlight w:val="none"/>
          <w:lang w:val="en-US" w:eastAsia="zh-CN"/>
        </w:rPr>
        <w:t>期间。</w:t>
      </w:r>
    </w:p>
    <w:p>
      <w:pPr>
        <w:shd w:val="clear"/>
        <w:bidi w:val="0"/>
        <w:ind w:firstLine="480" w:firstLineChars="200"/>
        <w:rPr>
          <w:rFonts w:hint="default"/>
          <w:color w:val="0000FF"/>
          <w:vertAlign w:val="baseline"/>
          <w:lang w:val="en-US" w:eastAsia="zh-CN"/>
        </w:rPr>
      </w:pPr>
      <w:r>
        <w:rPr>
          <w:rFonts w:hint="eastAsia"/>
          <w:color w:val="0000FF"/>
          <w:lang w:val="en-US" w:eastAsia="zh-CN"/>
        </w:rPr>
        <w:t>调查期间姜驿河及沙沟箐河现状如下：</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79"/>
        <w:gridCol w:w="44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default"/>
                <w:color w:val="0000FF"/>
                <w:vertAlign w:val="baseline"/>
                <w:lang w:val="en-US" w:eastAsia="zh-CN"/>
              </w:rPr>
            </w:pPr>
            <w:r>
              <w:rPr>
                <w:rFonts w:hint="default"/>
                <w:color w:val="0000FF"/>
                <w:vertAlign w:val="baseline"/>
                <w:lang w:val="en-US" w:eastAsia="zh-CN"/>
              </w:rPr>
              <w:drawing>
                <wp:inline distT="0" distB="0" distL="114300" distR="114300">
                  <wp:extent cx="2611755" cy="1958340"/>
                  <wp:effectExtent l="0" t="0" r="17145" b="3810"/>
                  <wp:docPr id="115" name="图片 115" descr="IMG_20231129_17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IMG_20231129_171046"/>
                          <pic:cNvPicPr>
                            <a:picLocks noChangeAspect="1"/>
                          </pic:cNvPicPr>
                        </pic:nvPicPr>
                        <pic:blipFill>
                          <a:blip r:embed="rId77"/>
                          <a:srcRect t="19958"/>
                          <a:stretch>
                            <a:fillRect/>
                          </a:stretch>
                        </pic:blipFill>
                        <pic:spPr>
                          <a:xfrm>
                            <a:off x="0" y="0"/>
                            <a:ext cx="2611755" cy="1958340"/>
                          </a:xfrm>
                          <a:prstGeom prst="rect">
                            <a:avLst/>
                          </a:prstGeom>
                        </pic:spPr>
                      </pic:pic>
                    </a:graphicData>
                  </a:graphic>
                </wp:inline>
              </w:drawing>
            </w:r>
          </w:p>
        </w:tc>
        <w:tc>
          <w:tcPr>
            <w:tcW w:w="4261" w:type="dxa"/>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default"/>
                <w:color w:val="0000FF"/>
                <w:vertAlign w:val="baseline"/>
                <w:lang w:val="en-US" w:eastAsia="zh-CN"/>
              </w:rPr>
            </w:pPr>
            <w:r>
              <w:drawing>
                <wp:inline distT="0" distB="0" distL="114300" distR="114300">
                  <wp:extent cx="2874010" cy="1956435"/>
                  <wp:effectExtent l="0" t="0" r="2540" b="5715"/>
                  <wp:docPr id="1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7"/>
                          <pic:cNvPicPr>
                            <a:picLocks noChangeAspect="1"/>
                          </pic:cNvPicPr>
                        </pic:nvPicPr>
                        <pic:blipFill>
                          <a:blip r:embed="rId78"/>
                          <a:stretch>
                            <a:fillRect/>
                          </a:stretch>
                        </pic:blipFill>
                        <pic:spPr>
                          <a:xfrm>
                            <a:off x="0" y="0"/>
                            <a:ext cx="2874010" cy="19564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vertAlign w:val="baseline"/>
                <w:lang w:val="en-US" w:eastAsia="zh-CN"/>
              </w:rPr>
            </w:pPr>
            <w:r>
              <w:rPr>
                <w:rFonts w:hint="eastAsia"/>
                <w:color w:val="0000FF"/>
                <w:sz w:val="21"/>
                <w:szCs w:val="21"/>
                <w:vertAlign w:val="baseline"/>
                <w:lang w:val="en-US" w:eastAsia="zh-CN"/>
              </w:rPr>
              <w:t>姜驿河</w:t>
            </w:r>
          </w:p>
        </w:tc>
        <w:tc>
          <w:tcPr>
            <w:tcW w:w="4261" w:type="dxa"/>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vertAlign w:val="baseline"/>
                <w:lang w:val="en-US" w:eastAsia="zh-CN"/>
              </w:rPr>
            </w:pPr>
            <w:r>
              <w:rPr>
                <w:rFonts w:hint="eastAsia"/>
                <w:color w:val="0000FF"/>
                <w:sz w:val="21"/>
                <w:szCs w:val="21"/>
                <w:vertAlign w:val="baseline"/>
                <w:lang w:val="en-US" w:eastAsia="zh-CN"/>
              </w:rPr>
              <w:t>沙沟箐</w:t>
            </w:r>
          </w:p>
        </w:tc>
      </w:tr>
    </w:tbl>
    <w:p>
      <w:pPr>
        <w:shd w:val="clear"/>
        <w:bidi w:val="0"/>
        <w:ind w:firstLine="480" w:firstLineChars="200"/>
        <w:rPr>
          <w:rFonts w:hint="default"/>
          <w:color w:val="0000FF"/>
          <w:lang w:val="en-US" w:eastAsia="zh-CN"/>
        </w:rPr>
      </w:pPr>
    </w:p>
    <w:bookmarkEnd w:id="543"/>
    <w:p>
      <w:pPr>
        <w:keepNext w:val="0"/>
        <w:keepLines w:val="0"/>
        <w:widowControl/>
        <w:suppressLineNumbers w:val="0"/>
        <w:jc w:val="left"/>
        <w:rPr>
          <w:rFonts w:hint="eastAsia" w:ascii="宋体" w:hAnsi="宋体" w:eastAsia="宋体" w:cs="宋体"/>
          <w:b/>
          <w:bCs/>
          <w:color w:val="0000FF"/>
          <w:kern w:val="0"/>
          <w:sz w:val="24"/>
          <w:szCs w:val="24"/>
          <w:lang w:val="en-US" w:eastAsia="zh-CN" w:bidi="ar"/>
        </w:rPr>
      </w:pPr>
      <w:r>
        <w:rPr>
          <w:rFonts w:hint="eastAsia" w:ascii="宋体" w:hAnsi="宋体" w:eastAsia="宋体" w:cs="宋体"/>
          <w:b/>
          <w:bCs/>
          <w:color w:val="0000FF"/>
          <w:kern w:val="0"/>
          <w:sz w:val="24"/>
          <w:szCs w:val="24"/>
          <w:lang w:val="en-US" w:eastAsia="zh-CN" w:bidi="ar"/>
        </w:rPr>
        <w:t>一、调查方法</w:t>
      </w:r>
    </w:p>
    <w:p>
      <w:pPr>
        <w:shd w:val="clear"/>
        <w:bidi w:val="0"/>
        <w:ind w:firstLine="480" w:firstLineChars="200"/>
        <w:rPr>
          <w:rFonts w:hint="eastAsia"/>
          <w:color w:val="0000FF"/>
          <w:highlight w:val="none"/>
          <w:lang w:val="en-US" w:eastAsia="zh-CN"/>
        </w:rPr>
      </w:pPr>
      <w:r>
        <w:rPr>
          <w:rFonts w:hint="eastAsia"/>
          <w:color w:val="0000FF"/>
          <w:highlight w:val="none"/>
          <w:lang w:val="en-US" w:eastAsia="zh-CN"/>
        </w:rPr>
        <w:t>（1）水生植被植物调查方法</w:t>
      </w:r>
    </w:p>
    <w:p>
      <w:pPr>
        <w:shd w:val="clear"/>
        <w:bidi w:val="0"/>
        <w:ind w:firstLine="480" w:firstLineChars="200"/>
        <w:rPr>
          <w:rFonts w:hint="eastAsia"/>
          <w:color w:val="0000FF"/>
          <w:highlight w:val="none"/>
          <w:lang w:val="en-US" w:eastAsia="zh-CN"/>
        </w:rPr>
      </w:pPr>
      <w:r>
        <w:rPr>
          <w:rFonts w:hint="eastAsia"/>
          <w:color w:val="0000FF"/>
          <w:highlight w:val="none"/>
          <w:lang w:val="en-US" w:eastAsia="zh-CN"/>
        </w:rPr>
        <w:t>①样方调查</w:t>
      </w:r>
    </w:p>
    <w:p>
      <w:pPr>
        <w:shd w:val="clear"/>
        <w:bidi w:val="0"/>
        <w:ind w:firstLine="480" w:firstLineChars="200"/>
        <w:rPr>
          <w:rFonts w:hint="eastAsia"/>
          <w:color w:val="0000FF"/>
          <w:highlight w:val="none"/>
          <w:lang w:val="en-US" w:eastAsia="zh-CN"/>
        </w:rPr>
      </w:pPr>
      <w:r>
        <w:rPr>
          <w:rFonts w:hint="eastAsia"/>
          <w:color w:val="0000FF"/>
          <w:highlight w:val="none"/>
          <w:lang w:val="en-US" w:eastAsia="zh-CN"/>
        </w:rPr>
        <w:t>挺水植物、浮叶植物、漂浮植物、沉水植物调查：在实地踏查和遥感卫星影像数据分析的基础上，结合评价区的地形地貌特点和交通状况，确定典型的群落地段，采用法瑞学派样方记录法进行群落调查。根据群落高度、面积，群落样方设为 20*20m</w:t>
      </w:r>
      <w:r>
        <w:rPr>
          <w:rFonts w:hint="eastAsia"/>
          <w:color w:val="0000FF"/>
          <w:highlight w:val="none"/>
          <w:vertAlign w:val="superscript"/>
          <w:lang w:val="en-US" w:eastAsia="zh-CN"/>
        </w:rPr>
        <w:t>2</w:t>
      </w:r>
      <w:r>
        <w:rPr>
          <w:rFonts w:hint="eastAsia"/>
          <w:color w:val="0000FF"/>
          <w:highlight w:val="none"/>
          <w:lang w:val="en-US" w:eastAsia="zh-CN"/>
        </w:rPr>
        <w:t>、10*10m</w:t>
      </w:r>
      <w:r>
        <w:rPr>
          <w:rFonts w:hint="eastAsia"/>
          <w:color w:val="0000FF"/>
          <w:highlight w:val="none"/>
          <w:vertAlign w:val="superscript"/>
          <w:lang w:val="en-US" w:eastAsia="zh-CN"/>
        </w:rPr>
        <w:t>2</w:t>
      </w:r>
      <w:r>
        <w:rPr>
          <w:rFonts w:hint="eastAsia"/>
          <w:color w:val="0000FF"/>
          <w:highlight w:val="none"/>
          <w:lang w:val="en-US" w:eastAsia="zh-CN"/>
        </w:rPr>
        <w:t>或 1×1m</w:t>
      </w:r>
      <w:r>
        <w:rPr>
          <w:rFonts w:hint="eastAsia"/>
          <w:color w:val="0000FF"/>
          <w:highlight w:val="none"/>
          <w:vertAlign w:val="superscript"/>
          <w:lang w:val="en-US" w:eastAsia="zh-CN"/>
        </w:rPr>
        <w:t>2</w:t>
      </w:r>
      <w:r>
        <w:rPr>
          <w:rFonts w:hint="eastAsia"/>
          <w:color w:val="0000FF"/>
          <w:highlight w:val="none"/>
          <w:lang w:val="en-US" w:eastAsia="zh-CN"/>
        </w:rPr>
        <w:t>，记录样方内所有种类，并按 Braun-Blanquet 多优度-群聚度记分。样方记录采用法瑞学派目测法估计多优度（盖度）和群聚度综合级。</w:t>
      </w:r>
    </w:p>
    <w:p>
      <w:pPr>
        <w:shd w:val="clear"/>
        <w:bidi w:val="0"/>
        <w:ind w:firstLine="480" w:firstLineChars="200"/>
        <w:rPr>
          <w:rFonts w:hint="eastAsia"/>
          <w:color w:val="0000FF"/>
          <w:highlight w:val="none"/>
          <w:lang w:val="en-US" w:eastAsia="zh-CN"/>
        </w:rPr>
      </w:pPr>
      <w:r>
        <w:rPr>
          <w:rFonts w:hint="eastAsia"/>
          <w:color w:val="0000FF"/>
          <w:highlight w:val="none"/>
          <w:lang w:val="en-US" w:eastAsia="zh-CN"/>
        </w:rPr>
        <w:t>②路线调查</w:t>
      </w:r>
    </w:p>
    <w:p>
      <w:pPr>
        <w:shd w:val="clear"/>
        <w:bidi w:val="0"/>
        <w:ind w:firstLine="480" w:firstLineChars="200"/>
        <w:rPr>
          <w:rFonts w:hint="eastAsia"/>
          <w:color w:val="0000FF"/>
          <w:highlight w:val="none"/>
          <w:lang w:val="en-US" w:eastAsia="zh-CN"/>
        </w:rPr>
      </w:pPr>
      <w:r>
        <w:rPr>
          <w:rFonts w:hint="eastAsia"/>
          <w:color w:val="0000FF"/>
          <w:highlight w:val="none"/>
          <w:lang w:val="en-US" w:eastAsia="zh-CN"/>
        </w:rPr>
        <w:t>对评价区内的水生植物资源进行路线调查。路线调查时，采用 GPS 跟踪结合卫星影像图对评价区地物类型进行标定，记录各个区域的水生植被类型以及相关的植物种类。</w:t>
      </w:r>
    </w:p>
    <w:p>
      <w:pPr>
        <w:shd w:val="clear"/>
        <w:bidi w:val="0"/>
        <w:ind w:firstLine="480" w:firstLineChars="200"/>
        <w:rPr>
          <w:rFonts w:hint="eastAsia"/>
          <w:color w:val="0000FF"/>
          <w:highlight w:val="none"/>
          <w:lang w:val="en-US" w:eastAsia="zh-CN"/>
        </w:rPr>
      </w:pPr>
      <w:r>
        <w:rPr>
          <w:rFonts w:hint="eastAsia"/>
          <w:color w:val="0000FF"/>
          <w:highlight w:val="none"/>
          <w:lang w:val="en-US" w:eastAsia="zh-CN"/>
        </w:rPr>
        <w:t xml:space="preserve"> （2）鱼类调查方法</w:t>
      </w:r>
    </w:p>
    <w:p>
      <w:pPr>
        <w:shd w:val="clear"/>
        <w:bidi w:val="0"/>
        <w:ind w:firstLine="480" w:firstLineChars="200"/>
        <w:rPr>
          <w:rFonts w:hint="eastAsia"/>
          <w:color w:val="0000FF"/>
          <w:highlight w:val="none"/>
          <w:lang w:val="en-US" w:eastAsia="zh-CN"/>
        </w:rPr>
      </w:pPr>
      <w:r>
        <w:rPr>
          <w:rFonts w:hint="eastAsia"/>
          <w:color w:val="0000FF"/>
          <w:highlight w:val="none"/>
          <w:lang w:val="en-US" w:eastAsia="zh-CN"/>
        </w:rPr>
        <w:t>参照《内陆水域渔业资源调查手册》、《生物物种资源监测概论》等进行。主要调查鱼类种类及其资源量，包括种类组成、地理分布、三场分布以及珍稀保护鱼类、洄游鱼类、特有和主要经济鱼类现状。由于评价区位于金沙江流域，正处于10年禁渔期，所以仅采取市场调查、现场访问和生境判定等方法，现场调查采取市场调查、访问渔民及参考已有资料。</w:t>
      </w:r>
    </w:p>
    <w:p>
      <w:pPr>
        <w:shd w:val="clear"/>
        <w:bidi w:val="0"/>
        <w:ind w:firstLine="480" w:firstLineChars="200"/>
        <w:rPr>
          <w:rFonts w:hint="eastAsia"/>
          <w:color w:val="0000FF"/>
          <w:highlight w:val="none"/>
          <w:lang w:val="en-US" w:eastAsia="zh-CN"/>
        </w:rPr>
      </w:pPr>
      <w:r>
        <w:rPr>
          <w:rFonts w:hint="eastAsia"/>
          <w:color w:val="0000FF"/>
          <w:highlight w:val="none"/>
          <w:lang w:val="en-US" w:eastAsia="zh-CN"/>
        </w:rPr>
        <w:t>（3）浮游生物、底栖动物等的调查方法</w:t>
      </w:r>
    </w:p>
    <w:p>
      <w:pPr>
        <w:shd w:val="clear"/>
        <w:bidi w:val="0"/>
        <w:ind w:firstLine="480" w:firstLineChars="200"/>
        <w:rPr>
          <w:rFonts w:hint="eastAsia"/>
          <w:color w:val="0000FF"/>
          <w:highlight w:val="none"/>
          <w:lang w:val="en-US" w:eastAsia="zh-CN"/>
        </w:rPr>
      </w:pPr>
      <w:r>
        <w:rPr>
          <w:rFonts w:hint="eastAsia"/>
          <w:color w:val="0000FF"/>
          <w:highlight w:val="none"/>
          <w:lang w:val="en-US" w:eastAsia="zh-CN"/>
        </w:rPr>
        <w:t>本次调查结果中的浮游生物、底栖动物等结果主要采用现场取样鉴定及参考已有资料。因姜驿河和沙沟箐2条河流均为季节性河流，长期干涸，调查时均为干涸状态，仅对项目涉及4个水库（姜中水库、李官坟水库、水平石水库、界牌箐水库）进行取样调查。</w:t>
      </w:r>
    </w:p>
    <w:p>
      <w:pPr>
        <w:keepNext w:val="0"/>
        <w:keepLines w:val="0"/>
        <w:widowControl/>
        <w:suppressLineNumbers w:val="0"/>
        <w:jc w:val="left"/>
        <w:rPr>
          <w:rFonts w:hint="default" w:ascii="宋体" w:hAnsi="宋体" w:eastAsia="宋体" w:cs="宋体"/>
          <w:b/>
          <w:bCs/>
          <w:color w:val="0000FF"/>
          <w:kern w:val="0"/>
          <w:sz w:val="24"/>
          <w:szCs w:val="24"/>
          <w:lang w:val="en-US" w:eastAsia="zh-CN" w:bidi="ar"/>
        </w:rPr>
      </w:pPr>
      <w:r>
        <w:rPr>
          <w:rFonts w:hint="eastAsia" w:ascii="宋体" w:hAnsi="宋体" w:eastAsia="宋体" w:cs="宋体"/>
          <w:b/>
          <w:bCs/>
          <w:color w:val="0000FF"/>
          <w:kern w:val="0"/>
          <w:sz w:val="24"/>
          <w:szCs w:val="24"/>
          <w:lang w:val="en-US" w:eastAsia="zh-CN" w:bidi="ar"/>
        </w:rPr>
        <w:t>二、鱼类资源现状</w:t>
      </w:r>
    </w:p>
    <w:p>
      <w:pPr>
        <w:shd w:val="clear"/>
        <w:bidi w:val="0"/>
        <w:ind w:firstLine="480" w:firstLineChars="200"/>
        <w:rPr>
          <w:rStyle w:val="78"/>
          <w:rFonts w:hint="default" w:ascii="Times New Roman" w:hAnsi="Times New Roman" w:eastAsia="宋体" w:cs="Times New Roman"/>
          <w:b w:val="0"/>
          <w:color w:val="0000FF"/>
          <w:szCs w:val="24"/>
          <w:highlight w:val="none"/>
          <w:lang w:val="zh-TW" w:eastAsia="zh-TW"/>
        </w:rPr>
      </w:pPr>
      <w:r>
        <w:rPr>
          <w:rFonts w:hint="eastAsia"/>
          <w:color w:val="0000FF"/>
          <w:highlight w:val="none"/>
          <w:lang w:val="en-US" w:eastAsia="zh-CN"/>
        </w:rPr>
        <w:t>项目组多次前往项目区对评价范围内的2条河流及5个水库进行调查。</w:t>
      </w:r>
      <w:r>
        <w:rPr>
          <w:rFonts w:hint="default"/>
          <w:color w:val="0000FF"/>
          <w:highlight w:val="none"/>
          <w:lang w:val="zh-TW" w:eastAsia="zh-TW"/>
        </w:rPr>
        <w:t>由于金沙江全面禁渔，</w:t>
      </w:r>
      <w:r>
        <w:rPr>
          <w:rFonts w:hint="eastAsia"/>
          <w:color w:val="0000FF"/>
          <w:highlight w:val="none"/>
          <w:lang w:val="en-US" w:eastAsia="zh-CN"/>
        </w:rPr>
        <w:t>鱼类调查</w:t>
      </w:r>
      <w:r>
        <w:rPr>
          <w:rFonts w:hint="default"/>
          <w:color w:val="0000FF"/>
          <w:highlight w:val="none"/>
          <w:lang w:val="zh-TW" w:eastAsia="zh-TW"/>
        </w:rPr>
        <w:t>采用资料引用、市场调查和访问的方法，经过评价区涉及的河流</w:t>
      </w:r>
      <w:r>
        <w:rPr>
          <w:rFonts w:hint="eastAsia"/>
          <w:color w:val="0000FF"/>
          <w:highlight w:val="none"/>
          <w:lang w:val="zh-TW" w:eastAsia="zh-CN"/>
        </w:rPr>
        <w:t>、</w:t>
      </w:r>
      <w:r>
        <w:rPr>
          <w:rFonts w:hint="eastAsia"/>
          <w:color w:val="0000FF"/>
          <w:highlight w:val="none"/>
          <w:lang w:val="en-US" w:eastAsia="zh-CN"/>
        </w:rPr>
        <w:t>水库</w:t>
      </w:r>
      <w:r>
        <w:rPr>
          <w:rFonts w:hint="default"/>
          <w:color w:val="0000FF"/>
          <w:highlight w:val="none"/>
          <w:lang w:val="zh-TW" w:eastAsia="zh-TW"/>
        </w:rPr>
        <w:t>及附近村镇进行走访调查及市场调查，同时查阅《金沙江流域鱼类》、《长江流域的鱼类资源及其保护对策》</w:t>
      </w:r>
      <w:r>
        <w:rPr>
          <w:rFonts w:hint="eastAsia"/>
          <w:color w:val="0000FF"/>
          <w:highlight w:val="none"/>
          <w:lang w:val="zh-TW" w:eastAsia="zh-CN"/>
        </w:rPr>
        <w:t>《金沙江乌东德水电站水资源综合利用-元谋县姜驿乡提水工程环境影响报告书》</w:t>
      </w:r>
      <w:r>
        <w:rPr>
          <w:rFonts w:hint="default"/>
          <w:color w:val="0000FF"/>
          <w:highlight w:val="none"/>
          <w:lang w:val="zh-TW" w:eastAsia="zh-TW"/>
        </w:rPr>
        <w:t>等文献资料，本评价区涉及</w:t>
      </w:r>
      <w:r>
        <w:rPr>
          <w:rFonts w:hint="eastAsia"/>
          <w:color w:val="0000FF"/>
          <w:highlight w:val="none"/>
          <w:lang w:val="zh-TW" w:eastAsia="zh-CN"/>
        </w:rPr>
        <w:t>的</w:t>
      </w:r>
      <w:r>
        <w:rPr>
          <w:rFonts w:hint="eastAsia"/>
          <w:color w:val="0000FF"/>
          <w:highlight w:val="none"/>
          <w:lang w:val="en-US" w:eastAsia="zh-CN"/>
        </w:rPr>
        <w:t>2条河流及5个水库共访问到鱼类6种，隶属于2目3</w:t>
      </w:r>
      <w:r>
        <w:rPr>
          <w:rFonts w:hint="default"/>
          <w:color w:val="0000FF"/>
          <w:highlight w:val="none"/>
          <w:lang w:val="zh-TW" w:eastAsia="zh-TW"/>
        </w:rPr>
        <w:t>科</w:t>
      </w:r>
      <w:r>
        <w:rPr>
          <w:rFonts w:hint="eastAsia"/>
          <w:color w:val="0000FF"/>
          <w:highlight w:val="none"/>
          <w:lang w:val="en-US" w:eastAsia="zh-CN"/>
        </w:rPr>
        <w:t>6</w:t>
      </w:r>
      <w:r>
        <w:rPr>
          <w:rFonts w:hint="default"/>
          <w:color w:val="0000FF"/>
          <w:highlight w:val="none"/>
          <w:lang w:val="zh-TW" w:eastAsia="zh-TW"/>
        </w:rPr>
        <w:t>属，鱼类的种类列表如下：</w:t>
      </w:r>
    </w:p>
    <w:p>
      <w:pPr>
        <w:pStyle w:val="40"/>
        <w:shd w:val="clear"/>
        <w:bidi w:val="0"/>
        <w:rPr>
          <w:rFonts w:hint="eastAsia" w:eastAsia="宋体"/>
          <w:color w:val="0000FF"/>
          <w:highlight w:val="none"/>
          <w:lang w:val="en-US" w:eastAsia="zh-CN"/>
        </w:rPr>
      </w:pPr>
      <w:r>
        <w:rPr>
          <w:rFonts w:hint="default"/>
          <w:color w:val="0000FF"/>
          <w:highlight w:val="none"/>
          <w:lang w:val="zh-TW" w:eastAsia="zh-TW"/>
        </w:rPr>
        <w:t>表</w:t>
      </w:r>
      <w:r>
        <w:rPr>
          <w:rFonts w:hint="eastAsia"/>
          <w:color w:val="0000FF"/>
          <w:highlight w:val="none"/>
          <w:lang w:val="en-US" w:eastAsia="zh-CN"/>
        </w:rPr>
        <w:t xml:space="preserve">4.2.5-15  </w:t>
      </w:r>
      <w:r>
        <w:rPr>
          <w:rFonts w:hint="default"/>
          <w:color w:val="0000FF"/>
          <w:highlight w:val="none"/>
          <w:lang w:val="zh-TW" w:eastAsia="zh-TW"/>
        </w:rPr>
        <w:t>评价区</w:t>
      </w:r>
      <w:r>
        <w:rPr>
          <w:rFonts w:hint="eastAsia"/>
          <w:color w:val="0000FF"/>
          <w:highlight w:val="none"/>
          <w:lang w:val="en-US" w:eastAsia="zh-CN"/>
        </w:rPr>
        <w:t>鱼类名录</w:t>
      </w:r>
    </w:p>
    <w:tbl>
      <w:tblPr>
        <w:tblStyle w:val="29"/>
        <w:tblW w:w="502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4822"/>
        <w:gridCol w:w="1471"/>
        <w:gridCol w:w="20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5" w:hRule="exact"/>
        </w:trPr>
        <w:tc>
          <w:tcPr>
            <w:tcW w:w="288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b/>
                <w:bCs/>
                <w:color w:val="0000FF"/>
                <w:highlight w:val="none"/>
              </w:rPr>
            </w:pPr>
            <w:r>
              <w:rPr>
                <w:rFonts w:hint="default"/>
                <w:b/>
                <w:bCs/>
                <w:color w:val="0000FF"/>
                <w:highlight w:val="none"/>
                <w:lang w:val="zh-TW" w:eastAsia="zh-TW"/>
              </w:rPr>
              <w:t>学名</w:t>
            </w:r>
            <w:r>
              <w:rPr>
                <w:rFonts w:hint="default"/>
                <w:b/>
                <w:bCs/>
                <w:color w:val="0000FF"/>
                <w:highlight w:val="none"/>
                <w:lang w:val="en-US" w:eastAsia="en-US"/>
              </w:rPr>
              <w:t>（</w:t>
            </w:r>
            <w:r>
              <w:rPr>
                <w:rFonts w:hint="default"/>
                <w:b/>
                <w:bCs/>
                <w:color w:val="0000FF"/>
                <w:highlight w:val="none"/>
                <w:lang w:val="zh-TW" w:eastAsia="zh-TW"/>
              </w:rPr>
              <w:t>中文名、拉丁名）</w:t>
            </w:r>
          </w:p>
        </w:tc>
        <w:tc>
          <w:tcPr>
            <w:tcW w:w="879"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b/>
                <w:bCs/>
                <w:color w:val="0000FF"/>
                <w:highlight w:val="none"/>
              </w:rPr>
            </w:pPr>
            <w:r>
              <w:rPr>
                <w:rFonts w:hint="default"/>
                <w:b/>
                <w:bCs/>
                <w:color w:val="0000FF"/>
                <w:highlight w:val="none"/>
                <w:lang w:val="zh-TW" w:eastAsia="zh-TW"/>
              </w:rPr>
              <w:t>调查方法</w:t>
            </w:r>
          </w:p>
        </w:tc>
        <w:tc>
          <w:tcPr>
            <w:tcW w:w="1237"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b/>
                <w:bCs/>
                <w:color w:val="0000FF"/>
                <w:highlight w:val="none"/>
              </w:rPr>
            </w:pPr>
            <w:r>
              <w:rPr>
                <w:rFonts w:hint="default"/>
                <w:b/>
                <w:bCs/>
                <w:color w:val="0000FF"/>
                <w:highlight w:val="none"/>
                <w:lang w:val="zh-TW" w:eastAsia="zh-TW"/>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50" w:hRule="exact"/>
        </w:trPr>
        <w:tc>
          <w:tcPr>
            <w:tcW w:w="288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both"/>
              <w:rPr>
                <w:rFonts w:hint="default"/>
                <w:color w:val="0000FF"/>
                <w:highlight w:val="none"/>
              </w:rPr>
            </w:pPr>
            <w:r>
              <w:rPr>
                <w:rFonts w:hint="default"/>
                <w:color w:val="0000FF"/>
                <w:highlight w:val="none"/>
              </w:rPr>
              <w:t>O</w:t>
            </w:r>
            <w:r>
              <w:rPr>
                <w:rFonts w:hint="default"/>
                <w:color w:val="0000FF"/>
                <w:highlight w:val="none"/>
                <w:lang w:val="en-US" w:eastAsia="en-US"/>
              </w:rPr>
              <w:t>1</w:t>
            </w:r>
            <w:r>
              <w:rPr>
                <w:rFonts w:hint="default"/>
                <w:color w:val="0000FF"/>
                <w:highlight w:val="none"/>
                <w:lang w:val="zh-TW" w:eastAsia="zh-TW"/>
              </w:rPr>
              <w:t>鲤形目</w:t>
            </w:r>
            <w:r>
              <w:rPr>
                <w:rFonts w:hint="default"/>
                <w:color w:val="0000FF"/>
                <w:highlight w:val="none"/>
              </w:rPr>
              <w:t>CYPRINIFORMES</w:t>
            </w:r>
          </w:p>
        </w:tc>
        <w:tc>
          <w:tcPr>
            <w:tcW w:w="879"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237"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0" w:hRule="exact"/>
        </w:trPr>
        <w:tc>
          <w:tcPr>
            <w:tcW w:w="288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ind w:firstLine="420" w:firstLineChars="200"/>
              <w:jc w:val="both"/>
              <w:rPr>
                <w:rFonts w:hint="default"/>
                <w:color w:val="0000FF"/>
                <w:highlight w:val="none"/>
              </w:rPr>
            </w:pPr>
            <w:r>
              <w:rPr>
                <w:rFonts w:hint="default"/>
                <w:color w:val="0000FF"/>
                <w:highlight w:val="none"/>
              </w:rPr>
              <w:t>F</w:t>
            </w:r>
            <w:r>
              <w:rPr>
                <w:rFonts w:hint="default"/>
                <w:color w:val="0000FF"/>
                <w:highlight w:val="none"/>
                <w:lang w:val="en-US" w:eastAsia="en-US"/>
              </w:rPr>
              <w:t>1</w:t>
            </w:r>
            <w:r>
              <w:rPr>
                <w:rFonts w:hint="default"/>
                <w:color w:val="0000FF"/>
                <w:highlight w:val="none"/>
                <w:lang w:val="zh-TW" w:eastAsia="zh-TW"/>
              </w:rPr>
              <w:t>鲤科</w:t>
            </w:r>
            <w:r>
              <w:rPr>
                <w:rFonts w:hint="default"/>
                <w:color w:val="0000FF"/>
                <w:highlight w:val="none"/>
              </w:rPr>
              <w:t>Cyprinidae</w:t>
            </w:r>
          </w:p>
        </w:tc>
        <w:tc>
          <w:tcPr>
            <w:tcW w:w="879"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237"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0" w:hRule="exact"/>
        </w:trPr>
        <w:tc>
          <w:tcPr>
            <w:tcW w:w="288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ind w:firstLine="630" w:firstLineChars="300"/>
              <w:jc w:val="both"/>
              <w:rPr>
                <w:rFonts w:hint="default"/>
                <w:color w:val="0000FF"/>
                <w:highlight w:val="none"/>
              </w:rPr>
            </w:pPr>
            <w:r>
              <w:rPr>
                <w:rFonts w:hint="default"/>
                <w:color w:val="0000FF"/>
                <w:highlight w:val="none"/>
              </w:rPr>
              <w:t>SF</w:t>
            </w:r>
            <w:r>
              <w:rPr>
                <w:rFonts w:hint="default"/>
                <w:color w:val="0000FF"/>
                <w:highlight w:val="none"/>
                <w:lang w:val="en-US" w:eastAsia="en-US"/>
              </w:rPr>
              <w:t>1</w:t>
            </w:r>
            <w:r>
              <w:rPr>
                <w:rFonts w:hint="default"/>
                <w:color w:val="0000FF"/>
                <w:highlight w:val="none"/>
                <w:lang w:val="zh-TW" w:eastAsia="zh-TW"/>
              </w:rPr>
              <w:t>鲤亚科</w:t>
            </w:r>
            <w:r>
              <w:rPr>
                <w:rFonts w:hint="default"/>
                <w:color w:val="0000FF"/>
                <w:highlight w:val="none"/>
              </w:rPr>
              <w:t>Cyprininae</w:t>
            </w:r>
          </w:p>
        </w:tc>
        <w:tc>
          <w:tcPr>
            <w:tcW w:w="879"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237"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60" w:hRule="exact"/>
        </w:trPr>
        <w:tc>
          <w:tcPr>
            <w:tcW w:w="2882"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ind w:firstLine="1050" w:firstLineChars="500"/>
              <w:jc w:val="both"/>
              <w:rPr>
                <w:rFonts w:hint="default"/>
                <w:color w:val="0000FF"/>
                <w:highlight w:val="none"/>
              </w:rPr>
            </w:pPr>
            <w:r>
              <w:rPr>
                <w:rFonts w:hint="default"/>
                <w:color w:val="0000FF"/>
                <w:highlight w:val="none"/>
                <w:lang w:val="en-US" w:eastAsia="en-US"/>
              </w:rPr>
              <w:t>1</w:t>
            </w:r>
            <w:r>
              <w:rPr>
                <w:rFonts w:hint="default"/>
                <w:color w:val="0000FF"/>
                <w:highlight w:val="none"/>
                <w:lang w:val="en-US" w:eastAsia="zh-CN"/>
              </w:rPr>
              <w:t>.</w:t>
            </w:r>
            <w:r>
              <w:rPr>
                <w:rFonts w:hint="default"/>
                <w:color w:val="0000FF"/>
                <w:highlight w:val="none"/>
                <w:lang w:val="zh-TW" w:eastAsia="zh-TW"/>
              </w:rPr>
              <w:t>鲫鱼</w:t>
            </w:r>
            <w:r>
              <w:rPr>
                <w:rFonts w:hint="default"/>
                <w:i/>
                <w:iCs/>
                <w:color w:val="0000FF"/>
                <w:highlight w:val="none"/>
                <w:lang w:val="en-US" w:eastAsia="zh-CN"/>
              </w:rPr>
              <w:t xml:space="preserve">Cyprinus auratus </w:t>
            </w:r>
          </w:p>
          <w:p>
            <w:pPr>
              <w:pStyle w:val="42"/>
              <w:shd w:val="clear"/>
              <w:bidi w:val="0"/>
              <w:jc w:val="both"/>
              <w:rPr>
                <w:rFonts w:hint="default"/>
                <w:color w:val="0000FF"/>
                <w:highlight w:val="none"/>
              </w:rPr>
            </w:pPr>
          </w:p>
        </w:tc>
        <w:tc>
          <w:tcPr>
            <w:tcW w:w="879"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访问</w:t>
            </w:r>
          </w:p>
        </w:tc>
        <w:tc>
          <w:tcPr>
            <w:tcW w:w="123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外来种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55" w:hRule="exact"/>
        </w:trPr>
        <w:tc>
          <w:tcPr>
            <w:tcW w:w="288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ind w:firstLine="1050" w:firstLineChars="500"/>
              <w:jc w:val="both"/>
              <w:rPr>
                <w:rFonts w:hint="default"/>
                <w:color w:val="0000FF"/>
                <w:highlight w:val="none"/>
              </w:rPr>
            </w:pPr>
            <w:r>
              <w:rPr>
                <w:rFonts w:hint="default"/>
                <w:color w:val="0000FF"/>
                <w:highlight w:val="none"/>
                <w:lang w:val="en-US" w:eastAsia="en-US"/>
              </w:rPr>
              <w:t>2.</w:t>
            </w:r>
            <w:r>
              <w:rPr>
                <w:rFonts w:hint="default"/>
                <w:color w:val="0000FF"/>
                <w:highlight w:val="none"/>
                <w:lang w:val="zh-TW" w:eastAsia="zh-TW"/>
              </w:rPr>
              <w:t>鲤鱼</w:t>
            </w:r>
            <w:r>
              <w:rPr>
                <w:rFonts w:hint="default"/>
                <w:i/>
                <w:iCs/>
                <w:color w:val="0000FF"/>
                <w:highlight w:val="none"/>
                <w:lang w:val="en-US" w:eastAsia="zh-CN"/>
              </w:rPr>
              <w:t>Cyprinus carpio</w:t>
            </w:r>
          </w:p>
          <w:p>
            <w:pPr>
              <w:pStyle w:val="42"/>
              <w:shd w:val="clear"/>
              <w:bidi w:val="0"/>
              <w:jc w:val="both"/>
              <w:rPr>
                <w:rFonts w:hint="default"/>
                <w:color w:val="0000FF"/>
                <w:highlight w:val="none"/>
              </w:rPr>
            </w:pPr>
          </w:p>
        </w:tc>
        <w:tc>
          <w:tcPr>
            <w:tcW w:w="879"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访问</w:t>
            </w:r>
          </w:p>
        </w:tc>
        <w:tc>
          <w:tcPr>
            <w:tcW w:w="1237"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外来种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50" w:hRule="exact"/>
        </w:trPr>
        <w:tc>
          <w:tcPr>
            <w:tcW w:w="288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ind w:firstLine="630" w:firstLineChars="300"/>
              <w:jc w:val="both"/>
              <w:rPr>
                <w:rFonts w:hint="default"/>
                <w:color w:val="0000FF"/>
                <w:highlight w:val="none"/>
              </w:rPr>
            </w:pPr>
            <w:r>
              <w:rPr>
                <w:rFonts w:hint="default"/>
                <w:color w:val="0000FF"/>
                <w:highlight w:val="none"/>
              </w:rPr>
              <w:t>SF</w:t>
            </w:r>
            <w:r>
              <w:rPr>
                <w:rFonts w:hint="default"/>
                <w:color w:val="0000FF"/>
                <w:highlight w:val="none"/>
                <w:lang w:val="en-US" w:eastAsia="en-US"/>
              </w:rPr>
              <w:t>2</w:t>
            </w:r>
            <w:r>
              <w:rPr>
                <w:rFonts w:hint="default"/>
                <w:color w:val="0000FF"/>
                <w:highlight w:val="none"/>
                <w:lang w:val="zh-TW" w:eastAsia="zh-TW"/>
              </w:rPr>
              <w:t>鮑亚科</w:t>
            </w:r>
            <w:r>
              <w:rPr>
                <w:rFonts w:hint="default"/>
                <w:color w:val="0000FF"/>
                <w:highlight w:val="none"/>
              </w:rPr>
              <w:t>Gobioninae</w:t>
            </w:r>
          </w:p>
        </w:tc>
        <w:tc>
          <w:tcPr>
            <w:tcW w:w="879"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237"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50" w:hRule="exact"/>
        </w:trPr>
        <w:tc>
          <w:tcPr>
            <w:tcW w:w="288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ind w:firstLine="1050" w:firstLineChars="500"/>
              <w:jc w:val="both"/>
              <w:rPr>
                <w:rFonts w:hint="default"/>
                <w:color w:val="0000FF"/>
                <w:highlight w:val="none"/>
              </w:rPr>
            </w:pPr>
            <w:r>
              <w:rPr>
                <w:rFonts w:hint="default"/>
                <w:color w:val="0000FF"/>
                <w:highlight w:val="none"/>
              </w:rPr>
              <w:t>3</w:t>
            </w:r>
            <w:r>
              <w:rPr>
                <w:rFonts w:hint="default"/>
                <w:color w:val="0000FF"/>
                <w:highlight w:val="none"/>
                <w:lang w:val="en-US" w:eastAsia="en-US"/>
              </w:rPr>
              <w:t>.</w:t>
            </w:r>
            <w:r>
              <w:rPr>
                <w:rFonts w:hint="default"/>
                <w:color w:val="0000FF"/>
                <w:highlight w:val="none"/>
                <w:lang w:val="zh-TW" w:eastAsia="zh-TW"/>
              </w:rPr>
              <w:t>棒花鱼</w:t>
            </w:r>
            <w:r>
              <w:rPr>
                <w:rFonts w:hint="default"/>
                <w:i/>
                <w:iCs/>
                <w:color w:val="0000FF"/>
                <w:highlight w:val="none"/>
                <w:lang w:val="en-US" w:eastAsia="zh-CN"/>
              </w:rPr>
              <w:t>Abbottina rivalaris</w:t>
            </w:r>
          </w:p>
        </w:tc>
        <w:tc>
          <w:tcPr>
            <w:tcW w:w="879"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市场调查</w:t>
            </w:r>
          </w:p>
        </w:tc>
        <w:tc>
          <w:tcPr>
            <w:tcW w:w="1237"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土著种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50" w:hRule="exact"/>
        </w:trPr>
        <w:tc>
          <w:tcPr>
            <w:tcW w:w="288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ind w:firstLine="1050" w:firstLineChars="500"/>
              <w:jc w:val="both"/>
              <w:rPr>
                <w:rFonts w:hint="default"/>
                <w:color w:val="0000FF"/>
                <w:highlight w:val="none"/>
              </w:rPr>
            </w:pPr>
            <w:r>
              <w:rPr>
                <w:rFonts w:hint="default"/>
                <w:color w:val="0000FF"/>
                <w:highlight w:val="none"/>
              </w:rPr>
              <w:t>4.</w:t>
            </w:r>
            <w:r>
              <w:rPr>
                <w:rFonts w:hint="default"/>
                <w:color w:val="0000FF"/>
                <w:highlight w:val="none"/>
                <w:lang w:val="zh-TW" w:eastAsia="zh-TW"/>
              </w:rPr>
              <w:t>麦穗鱼</w:t>
            </w:r>
            <w:r>
              <w:rPr>
                <w:rFonts w:hint="default"/>
                <w:i/>
                <w:iCs/>
                <w:color w:val="0000FF"/>
                <w:highlight w:val="none"/>
                <w:lang w:val="en-US" w:eastAsia="zh-CN"/>
              </w:rPr>
              <w:t xml:space="preserve">Pseudorasbora parva </w:t>
            </w:r>
          </w:p>
          <w:p>
            <w:pPr>
              <w:pStyle w:val="42"/>
              <w:shd w:val="clear"/>
              <w:bidi w:val="0"/>
              <w:jc w:val="both"/>
              <w:rPr>
                <w:rFonts w:hint="default"/>
                <w:color w:val="0000FF"/>
                <w:highlight w:val="none"/>
              </w:rPr>
            </w:pPr>
          </w:p>
        </w:tc>
        <w:tc>
          <w:tcPr>
            <w:tcW w:w="879"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市场调查</w:t>
            </w:r>
          </w:p>
        </w:tc>
        <w:tc>
          <w:tcPr>
            <w:tcW w:w="1237"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外来种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50" w:hRule="exact"/>
        </w:trPr>
        <w:tc>
          <w:tcPr>
            <w:tcW w:w="288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ind w:firstLine="420" w:firstLineChars="200"/>
              <w:jc w:val="both"/>
              <w:rPr>
                <w:rFonts w:hint="default"/>
                <w:color w:val="0000FF"/>
                <w:highlight w:val="none"/>
              </w:rPr>
            </w:pPr>
            <w:r>
              <w:rPr>
                <w:rFonts w:hint="default"/>
                <w:color w:val="0000FF"/>
                <w:highlight w:val="none"/>
              </w:rPr>
              <w:t>F</w:t>
            </w:r>
            <w:r>
              <w:rPr>
                <w:rFonts w:hint="default"/>
                <w:color w:val="0000FF"/>
                <w:highlight w:val="none"/>
                <w:lang w:val="en-US" w:eastAsia="en-US"/>
              </w:rPr>
              <w:t>2</w:t>
            </w:r>
            <w:r>
              <w:rPr>
                <w:rFonts w:hint="default"/>
                <w:color w:val="0000FF"/>
                <w:highlight w:val="none"/>
                <w:lang w:val="zh-TW" w:eastAsia="zh-TW"/>
              </w:rPr>
              <w:t>鳅科</w:t>
            </w:r>
            <w:r>
              <w:rPr>
                <w:rFonts w:hint="default"/>
                <w:color w:val="0000FF"/>
                <w:highlight w:val="none"/>
              </w:rPr>
              <w:t>Cobitidae</w:t>
            </w:r>
          </w:p>
        </w:tc>
        <w:tc>
          <w:tcPr>
            <w:tcW w:w="879"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237"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50" w:hRule="exact"/>
        </w:trPr>
        <w:tc>
          <w:tcPr>
            <w:tcW w:w="288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ind w:firstLine="1050" w:firstLineChars="500"/>
              <w:jc w:val="both"/>
              <w:rPr>
                <w:rFonts w:hint="default"/>
                <w:color w:val="0000FF"/>
                <w:highlight w:val="none"/>
              </w:rPr>
            </w:pPr>
            <w:r>
              <w:rPr>
                <w:rFonts w:hint="eastAsia"/>
                <w:color w:val="0000FF"/>
                <w:highlight w:val="none"/>
                <w:lang w:val="en-US" w:eastAsia="zh-CN"/>
              </w:rPr>
              <w:t>5</w:t>
            </w:r>
            <w:r>
              <w:rPr>
                <w:rFonts w:hint="default"/>
                <w:color w:val="0000FF"/>
                <w:highlight w:val="none"/>
                <w:lang w:val="en-US" w:eastAsia="en-US"/>
              </w:rPr>
              <w:t>.</w:t>
            </w:r>
            <w:r>
              <w:rPr>
                <w:rFonts w:hint="default"/>
                <w:color w:val="0000FF"/>
                <w:highlight w:val="none"/>
                <w:lang w:val="zh-TW" w:eastAsia="zh-TW"/>
              </w:rPr>
              <w:t>泥鳅</w:t>
            </w:r>
            <w:r>
              <w:rPr>
                <w:rFonts w:hint="default"/>
                <w:i/>
                <w:iCs/>
                <w:color w:val="0000FF"/>
                <w:highlight w:val="none"/>
                <w:lang w:val="en-US" w:eastAsia="zh-CN"/>
              </w:rPr>
              <w:t>Misgurnus anguillicaudatus</w:t>
            </w:r>
          </w:p>
        </w:tc>
        <w:tc>
          <w:tcPr>
            <w:tcW w:w="879"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市场调查</w:t>
            </w:r>
          </w:p>
        </w:tc>
        <w:tc>
          <w:tcPr>
            <w:tcW w:w="1237"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外来种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50" w:hRule="exact"/>
        </w:trPr>
        <w:tc>
          <w:tcPr>
            <w:tcW w:w="288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both"/>
              <w:rPr>
                <w:rFonts w:hint="default"/>
                <w:color w:val="0000FF"/>
                <w:highlight w:val="none"/>
              </w:rPr>
            </w:pPr>
            <w:r>
              <w:rPr>
                <w:rFonts w:hint="default"/>
                <w:color w:val="0000FF"/>
                <w:highlight w:val="none"/>
              </w:rPr>
              <w:t>O</w:t>
            </w:r>
            <w:r>
              <w:rPr>
                <w:rFonts w:hint="default"/>
                <w:color w:val="0000FF"/>
                <w:highlight w:val="none"/>
                <w:lang w:val="en-US" w:eastAsia="zh-CN"/>
              </w:rPr>
              <w:t>2</w:t>
            </w:r>
            <w:r>
              <w:rPr>
                <w:rFonts w:hint="default"/>
                <w:color w:val="0000FF"/>
                <w:highlight w:val="none"/>
                <w:lang w:val="zh-TW" w:eastAsia="zh-TW"/>
              </w:rPr>
              <w:t>合鳃鱼目</w:t>
            </w:r>
            <w:r>
              <w:rPr>
                <w:rFonts w:hint="default"/>
                <w:color w:val="0000FF"/>
                <w:highlight w:val="none"/>
              </w:rPr>
              <w:t>SYNBRANCHIFORMES</w:t>
            </w:r>
          </w:p>
        </w:tc>
        <w:tc>
          <w:tcPr>
            <w:tcW w:w="879"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237"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50" w:hRule="exact"/>
        </w:trPr>
        <w:tc>
          <w:tcPr>
            <w:tcW w:w="288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ind w:firstLine="420" w:firstLineChars="200"/>
              <w:jc w:val="both"/>
              <w:rPr>
                <w:rFonts w:hint="default"/>
                <w:color w:val="0000FF"/>
                <w:highlight w:val="none"/>
              </w:rPr>
            </w:pPr>
            <w:r>
              <w:rPr>
                <w:rFonts w:hint="default"/>
                <w:color w:val="0000FF"/>
                <w:highlight w:val="none"/>
              </w:rPr>
              <w:t>F</w:t>
            </w:r>
            <w:r>
              <w:rPr>
                <w:rFonts w:hint="default"/>
                <w:color w:val="0000FF"/>
                <w:highlight w:val="none"/>
                <w:lang w:val="en-US" w:eastAsia="zh-CN"/>
              </w:rPr>
              <w:t>3</w:t>
            </w:r>
            <w:r>
              <w:rPr>
                <w:rFonts w:hint="default"/>
                <w:color w:val="0000FF"/>
                <w:highlight w:val="none"/>
                <w:lang w:val="zh-TW" w:eastAsia="zh-TW"/>
              </w:rPr>
              <w:t>合鳃鱼科</w:t>
            </w:r>
            <w:r>
              <w:rPr>
                <w:rFonts w:hint="default"/>
                <w:color w:val="0000FF"/>
                <w:highlight w:val="none"/>
              </w:rPr>
              <w:t>Synbranchidae</w:t>
            </w:r>
          </w:p>
        </w:tc>
        <w:tc>
          <w:tcPr>
            <w:tcW w:w="879"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237"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6" w:hRule="exact"/>
        </w:trPr>
        <w:tc>
          <w:tcPr>
            <w:tcW w:w="2882"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ind w:firstLine="1050" w:firstLineChars="500"/>
              <w:jc w:val="both"/>
              <w:rPr>
                <w:rFonts w:hint="default"/>
                <w:color w:val="0000FF"/>
                <w:highlight w:val="none"/>
              </w:rPr>
            </w:pPr>
            <w:r>
              <w:rPr>
                <w:rFonts w:hint="eastAsia"/>
                <w:color w:val="0000FF"/>
                <w:highlight w:val="none"/>
                <w:lang w:val="en-US" w:eastAsia="zh-CN"/>
              </w:rPr>
              <w:t>6</w:t>
            </w:r>
            <w:r>
              <w:rPr>
                <w:rFonts w:hint="default"/>
                <w:color w:val="0000FF"/>
                <w:highlight w:val="none"/>
                <w:lang w:val="en-US" w:eastAsia="en-US"/>
              </w:rPr>
              <w:t>.</w:t>
            </w:r>
            <w:r>
              <w:rPr>
                <w:rFonts w:hint="default"/>
                <w:color w:val="0000FF"/>
                <w:highlight w:val="none"/>
                <w:lang w:val="zh-TW" w:eastAsia="zh-TW"/>
              </w:rPr>
              <w:t>黄鳝</w:t>
            </w:r>
            <w:r>
              <w:rPr>
                <w:rFonts w:hint="default"/>
                <w:i/>
                <w:iCs/>
                <w:color w:val="0000FF"/>
                <w:highlight w:val="none"/>
                <w:lang w:val="en-US" w:eastAsia="zh-CN"/>
              </w:rPr>
              <w:t>Monopterus albus</w:t>
            </w:r>
          </w:p>
        </w:tc>
        <w:tc>
          <w:tcPr>
            <w:tcW w:w="879"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市场调查</w:t>
            </w:r>
          </w:p>
        </w:tc>
        <w:tc>
          <w:tcPr>
            <w:tcW w:w="1237"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rPr>
            </w:pPr>
            <w:r>
              <w:rPr>
                <w:rFonts w:hint="default"/>
                <w:color w:val="0000FF"/>
                <w:highlight w:val="none"/>
                <w:lang w:val="zh-TW" w:eastAsia="zh-TW"/>
              </w:rPr>
              <w:t>外来种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60" w:hRule="exact"/>
        </w:trPr>
        <w:tc>
          <w:tcPr>
            <w:tcW w:w="2882"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jc w:val="both"/>
              <w:rPr>
                <w:rFonts w:hint="default"/>
                <w:color w:val="0000FF"/>
                <w:highlight w:val="none"/>
              </w:rPr>
            </w:pPr>
            <w:r>
              <w:rPr>
                <w:rFonts w:hint="default"/>
                <w:color w:val="0000FF"/>
                <w:highlight w:val="none"/>
                <w:lang w:val="zh-TW" w:eastAsia="zh-TW"/>
              </w:rPr>
              <w:t>总计种数</w:t>
            </w:r>
            <w:r>
              <w:rPr>
                <w:rFonts w:hint="default"/>
                <w:color w:val="0000FF"/>
                <w:highlight w:val="none"/>
                <w:lang w:val="en-US" w:eastAsia="en-US"/>
              </w:rPr>
              <w:t>：</w:t>
            </w:r>
            <w:r>
              <w:rPr>
                <w:rFonts w:hint="default"/>
                <w:color w:val="0000FF"/>
                <w:highlight w:val="none"/>
                <w:lang w:val="en-US" w:eastAsia="zh-CN"/>
              </w:rPr>
              <w:t>2</w:t>
            </w:r>
            <w:r>
              <w:rPr>
                <w:rFonts w:hint="default"/>
                <w:color w:val="0000FF"/>
                <w:highlight w:val="none"/>
                <w:lang w:val="zh-TW" w:eastAsia="zh-TW"/>
              </w:rPr>
              <w:t>目</w:t>
            </w:r>
            <w:r>
              <w:rPr>
                <w:rFonts w:hint="default"/>
                <w:color w:val="0000FF"/>
                <w:highlight w:val="none"/>
                <w:lang w:val="en-US" w:eastAsia="zh-CN"/>
              </w:rPr>
              <w:t>3</w:t>
            </w:r>
            <w:r>
              <w:rPr>
                <w:rFonts w:hint="default"/>
                <w:color w:val="0000FF"/>
                <w:highlight w:val="none"/>
                <w:lang w:val="zh-TW" w:eastAsia="zh-TW"/>
              </w:rPr>
              <w:t>科</w:t>
            </w:r>
            <w:r>
              <w:rPr>
                <w:rFonts w:hint="eastAsia"/>
                <w:color w:val="0000FF"/>
                <w:highlight w:val="none"/>
                <w:lang w:val="en-US" w:eastAsia="zh-CN"/>
              </w:rPr>
              <w:t>6</w:t>
            </w:r>
            <w:r>
              <w:rPr>
                <w:rFonts w:hint="default"/>
                <w:color w:val="0000FF"/>
                <w:highlight w:val="none"/>
                <w:lang w:val="zh-TW" w:eastAsia="zh-TW"/>
              </w:rPr>
              <w:t>属</w:t>
            </w:r>
            <w:r>
              <w:rPr>
                <w:rFonts w:hint="eastAsia"/>
                <w:color w:val="0000FF"/>
                <w:highlight w:val="none"/>
                <w:lang w:val="en-US" w:eastAsia="zh-CN"/>
              </w:rPr>
              <w:t>6</w:t>
            </w:r>
            <w:r>
              <w:rPr>
                <w:rFonts w:hint="default"/>
                <w:color w:val="0000FF"/>
                <w:highlight w:val="none"/>
                <w:lang w:val="zh-TW" w:eastAsia="zh-TW"/>
              </w:rPr>
              <w:t>种</w:t>
            </w:r>
          </w:p>
        </w:tc>
        <w:tc>
          <w:tcPr>
            <w:tcW w:w="879"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jc w:val="center"/>
              <w:rPr>
                <w:rFonts w:hint="default"/>
                <w:color w:val="0000FF"/>
                <w:highlight w:val="none"/>
              </w:rPr>
            </w:pPr>
          </w:p>
        </w:tc>
        <w:tc>
          <w:tcPr>
            <w:tcW w:w="1237"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pPr>
              <w:pStyle w:val="42"/>
              <w:shd w:val="clear"/>
              <w:bidi w:val="0"/>
              <w:jc w:val="center"/>
              <w:rPr>
                <w:rFonts w:hint="default"/>
                <w:color w:val="0000FF"/>
                <w:highlight w:val="none"/>
              </w:rPr>
            </w:pPr>
          </w:p>
        </w:tc>
      </w:tr>
    </w:tbl>
    <w:p>
      <w:pPr>
        <w:shd w:val="clear"/>
        <w:bidi w:val="0"/>
        <w:ind w:firstLine="480" w:firstLineChars="200"/>
        <w:rPr>
          <w:rFonts w:hint="default"/>
          <w:color w:val="0000FF"/>
          <w:highlight w:val="none"/>
          <w:lang w:val="zh-TW" w:eastAsia="zh-TW"/>
        </w:rPr>
      </w:pPr>
      <w:r>
        <w:rPr>
          <w:rFonts w:hint="default"/>
          <w:color w:val="0000FF"/>
          <w:highlight w:val="none"/>
          <w:lang w:val="zh-TW" w:eastAsia="zh-TW"/>
        </w:rPr>
        <w:t>评价区河段分布有鱼类</w:t>
      </w:r>
      <w:r>
        <w:rPr>
          <w:rFonts w:hint="eastAsia"/>
          <w:color w:val="0000FF"/>
          <w:highlight w:val="none"/>
          <w:lang w:val="en-US" w:eastAsia="zh-CN"/>
        </w:rPr>
        <w:t>6</w:t>
      </w:r>
      <w:r>
        <w:rPr>
          <w:rFonts w:hint="default"/>
          <w:color w:val="0000FF"/>
          <w:highlight w:val="none"/>
          <w:lang w:val="zh-TW" w:eastAsia="zh-TW"/>
        </w:rPr>
        <w:t>种，隶属</w:t>
      </w:r>
      <w:r>
        <w:rPr>
          <w:rFonts w:hint="default"/>
          <w:color w:val="0000FF"/>
          <w:highlight w:val="none"/>
          <w:lang w:val="en-US" w:eastAsia="zh-CN"/>
        </w:rPr>
        <w:t>3</w:t>
      </w:r>
      <w:r>
        <w:rPr>
          <w:rFonts w:hint="default"/>
          <w:color w:val="0000FF"/>
          <w:highlight w:val="none"/>
          <w:lang w:val="zh-TW" w:eastAsia="zh-TW"/>
        </w:rPr>
        <w:t>科</w:t>
      </w:r>
      <w:r>
        <w:rPr>
          <w:rFonts w:hint="eastAsia"/>
          <w:color w:val="0000FF"/>
          <w:highlight w:val="none"/>
          <w:lang w:val="en-US" w:eastAsia="zh-CN"/>
        </w:rPr>
        <w:t>6</w:t>
      </w:r>
      <w:r>
        <w:rPr>
          <w:rFonts w:hint="default"/>
          <w:color w:val="0000FF"/>
          <w:highlight w:val="none"/>
          <w:lang w:val="zh-TW" w:eastAsia="zh-TW"/>
        </w:rPr>
        <w:t>属，其中鲤、鲫鱼、泥鳅和黄鳝为引入养殖种类，而非原产土著种类，原产土著鱼类</w:t>
      </w:r>
      <w:r>
        <w:rPr>
          <w:rFonts w:hint="default"/>
          <w:color w:val="0000FF"/>
          <w:highlight w:val="none"/>
          <w:lang w:val="en-US" w:eastAsia="zh-CN"/>
        </w:rPr>
        <w:t>仅有棒花鱼</w:t>
      </w:r>
      <w:r>
        <w:rPr>
          <w:rFonts w:hint="eastAsia"/>
          <w:color w:val="0000FF"/>
          <w:highlight w:val="none"/>
          <w:lang w:val="en-US" w:eastAsia="zh-CN"/>
        </w:rPr>
        <w:t>1</w:t>
      </w:r>
      <w:r>
        <w:rPr>
          <w:rFonts w:hint="default"/>
          <w:color w:val="0000FF"/>
          <w:highlight w:val="none"/>
          <w:lang w:val="en-US" w:eastAsia="zh-CN"/>
        </w:rPr>
        <w:t>种</w:t>
      </w:r>
      <w:r>
        <w:rPr>
          <w:rFonts w:hint="default"/>
          <w:color w:val="0000FF"/>
          <w:highlight w:val="none"/>
          <w:lang w:val="zh-TW" w:eastAsia="zh-TW"/>
        </w:rPr>
        <w:t>。</w:t>
      </w:r>
    </w:p>
    <w:p>
      <w:pPr>
        <w:shd w:val="clear"/>
        <w:bidi w:val="0"/>
        <w:ind w:firstLine="480" w:firstLineChars="200"/>
        <w:rPr>
          <w:rFonts w:hint="default"/>
          <w:color w:val="0000FF"/>
          <w:highlight w:val="none"/>
          <w:lang w:val="zh-TW" w:eastAsia="zh-TW"/>
        </w:rPr>
      </w:pPr>
      <w:r>
        <w:rPr>
          <w:rFonts w:hint="default"/>
          <w:color w:val="0000FF"/>
          <w:highlight w:val="none"/>
          <w:lang w:val="zh-TW" w:eastAsia="zh-TW"/>
        </w:rPr>
        <w:t>在</w:t>
      </w:r>
      <w:r>
        <w:rPr>
          <w:rFonts w:hint="default"/>
          <w:color w:val="0000FF"/>
          <w:highlight w:val="none"/>
          <w:lang w:val="en-US" w:eastAsia="zh-CN"/>
        </w:rPr>
        <w:t>3</w:t>
      </w:r>
      <w:r>
        <w:rPr>
          <w:rFonts w:hint="default"/>
          <w:color w:val="0000FF"/>
          <w:highlight w:val="none"/>
          <w:lang w:val="zh-TW" w:eastAsia="zh-TW"/>
        </w:rPr>
        <w:t>个科中，以鲤科鱼类的种类最多，有</w:t>
      </w:r>
      <w:r>
        <w:rPr>
          <w:rFonts w:hint="eastAsia"/>
          <w:color w:val="0000FF"/>
          <w:highlight w:val="none"/>
          <w:lang w:val="en-US" w:eastAsia="zh-CN"/>
        </w:rPr>
        <w:t>4</w:t>
      </w:r>
      <w:r>
        <w:rPr>
          <w:rFonts w:hint="default"/>
          <w:color w:val="0000FF"/>
          <w:highlight w:val="none"/>
          <w:lang w:val="zh-TW" w:eastAsia="zh-TW"/>
        </w:rPr>
        <w:t>种，占全部鱼类种数的</w:t>
      </w:r>
      <w:r>
        <w:rPr>
          <w:rFonts w:hint="eastAsia"/>
          <w:color w:val="0000FF"/>
          <w:highlight w:val="none"/>
          <w:lang w:val="en-US" w:eastAsia="zh-CN"/>
        </w:rPr>
        <w:t>66.67</w:t>
      </w:r>
      <w:r>
        <w:rPr>
          <w:rFonts w:hint="default"/>
          <w:color w:val="0000FF"/>
          <w:highlight w:val="none"/>
          <w:lang w:val="zh-TW" w:eastAsia="zh-TW"/>
        </w:rPr>
        <w:t>%；其余科均只有1种，占全部鱼类物种数的</w:t>
      </w:r>
      <w:r>
        <w:rPr>
          <w:rFonts w:hint="default"/>
          <w:color w:val="0000FF"/>
          <w:highlight w:val="none"/>
          <w:lang w:val="en-US" w:eastAsia="zh-CN"/>
        </w:rPr>
        <w:t>1</w:t>
      </w:r>
      <w:r>
        <w:rPr>
          <w:rFonts w:hint="eastAsia"/>
          <w:color w:val="0000FF"/>
          <w:highlight w:val="none"/>
          <w:lang w:val="en-US" w:eastAsia="zh-CN"/>
        </w:rPr>
        <w:t>6.67</w:t>
      </w:r>
      <w:r>
        <w:rPr>
          <w:rFonts w:hint="default"/>
          <w:color w:val="0000FF"/>
          <w:highlight w:val="none"/>
          <w:lang w:val="zh-TW" w:eastAsia="zh-TW"/>
        </w:rPr>
        <w:t>%。</w:t>
      </w:r>
    </w:p>
    <w:p>
      <w:pPr>
        <w:pStyle w:val="40"/>
        <w:shd w:val="clear"/>
        <w:bidi w:val="0"/>
        <w:rPr>
          <w:rFonts w:hint="default"/>
          <w:color w:val="0000FF"/>
          <w:highlight w:val="none"/>
          <w:lang w:val="zh-TW" w:eastAsia="zh-TW"/>
        </w:rPr>
      </w:pPr>
    </w:p>
    <w:p>
      <w:pPr>
        <w:pStyle w:val="40"/>
        <w:shd w:val="clear"/>
        <w:bidi w:val="0"/>
        <w:rPr>
          <w:rFonts w:hint="default"/>
          <w:color w:val="0000FF"/>
          <w:highlight w:val="none"/>
          <w:lang w:val="zh-TW" w:eastAsia="zh-TW"/>
        </w:rPr>
      </w:pPr>
      <w:r>
        <w:rPr>
          <w:rFonts w:hint="default"/>
          <w:color w:val="0000FF"/>
          <w:highlight w:val="none"/>
          <w:lang w:val="zh-TW" w:eastAsia="zh-TW"/>
        </w:rPr>
        <w:t>表</w:t>
      </w:r>
      <w:r>
        <w:rPr>
          <w:rFonts w:hint="eastAsia"/>
          <w:color w:val="0000FF"/>
          <w:highlight w:val="none"/>
          <w:lang w:val="en-US" w:eastAsia="zh-CN"/>
        </w:rPr>
        <w:t xml:space="preserve">4.2.5-16  </w:t>
      </w:r>
      <w:r>
        <w:rPr>
          <w:rFonts w:hint="default"/>
          <w:color w:val="0000FF"/>
          <w:highlight w:val="none"/>
          <w:lang w:val="zh-TW" w:eastAsia="zh-TW"/>
        </w:rPr>
        <w:t>评价区域各工作点鱼类分科统计表</w:t>
      </w:r>
    </w:p>
    <w:tbl>
      <w:tblPr>
        <w:tblStyle w:val="29"/>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2218"/>
        <w:gridCol w:w="1552"/>
        <w:gridCol w:w="1361"/>
        <w:gridCol w:w="1898"/>
        <w:gridCol w:w="128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1" w:hRule="exact"/>
          <w:jc w:val="center"/>
        </w:trPr>
        <w:tc>
          <w:tcPr>
            <w:tcW w:w="1333"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项目</w:t>
            </w:r>
          </w:p>
        </w:tc>
        <w:tc>
          <w:tcPr>
            <w:tcW w:w="933"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鲤科</w:t>
            </w:r>
          </w:p>
        </w:tc>
        <w:tc>
          <w:tcPr>
            <w:tcW w:w="818"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鳅科</w:t>
            </w:r>
          </w:p>
        </w:tc>
        <w:tc>
          <w:tcPr>
            <w:tcW w:w="1141"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合鳃鱼科</w:t>
            </w:r>
          </w:p>
        </w:tc>
        <w:tc>
          <w:tcPr>
            <w:tcW w:w="772"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合计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36" w:hRule="exact"/>
          <w:jc w:val="center"/>
        </w:trPr>
        <w:tc>
          <w:tcPr>
            <w:tcW w:w="1333"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属数</w:t>
            </w:r>
          </w:p>
        </w:tc>
        <w:tc>
          <w:tcPr>
            <w:tcW w:w="933"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lang w:eastAsia="zh-CN"/>
              </w:rPr>
            </w:pPr>
            <w:r>
              <w:rPr>
                <w:rFonts w:hint="eastAsia"/>
                <w:color w:val="0000FF"/>
                <w:highlight w:val="none"/>
                <w:lang w:val="en-US" w:eastAsia="zh-CN"/>
              </w:rPr>
              <w:t>4</w:t>
            </w:r>
          </w:p>
        </w:tc>
        <w:tc>
          <w:tcPr>
            <w:tcW w:w="818"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1</w:t>
            </w:r>
          </w:p>
        </w:tc>
        <w:tc>
          <w:tcPr>
            <w:tcW w:w="1141"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1</w:t>
            </w:r>
          </w:p>
        </w:tc>
        <w:tc>
          <w:tcPr>
            <w:tcW w:w="772"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rPr>
                <w:rFonts w:hint="default"/>
                <w:color w:val="0000FF"/>
                <w:highlight w:val="none"/>
                <w:lang w:eastAsia="zh-CN"/>
              </w:rPr>
            </w:pPr>
            <w:r>
              <w:rPr>
                <w:rFonts w:hint="eastAsia"/>
                <w:color w:val="0000FF"/>
                <w:highlight w:val="none"/>
                <w:lang w:val="en-US" w:eastAsia="zh-CN"/>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36" w:hRule="exact"/>
          <w:jc w:val="center"/>
        </w:trPr>
        <w:tc>
          <w:tcPr>
            <w:tcW w:w="1333"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种数</w:t>
            </w:r>
          </w:p>
        </w:tc>
        <w:tc>
          <w:tcPr>
            <w:tcW w:w="933"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lang w:eastAsia="zh-CN"/>
              </w:rPr>
            </w:pPr>
            <w:r>
              <w:rPr>
                <w:rFonts w:hint="eastAsia"/>
                <w:color w:val="0000FF"/>
                <w:highlight w:val="none"/>
                <w:lang w:val="en-US" w:eastAsia="zh-CN"/>
              </w:rPr>
              <w:t>4</w:t>
            </w:r>
          </w:p>
        </w:tc>
        <w:tc>
          <w:tcPr>
            <w:tcW w:w="818"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1</w:t>
            </w:r>
          </w:p>
        </w:tc>
        <w:tc>
          <w:tcPr>
            <w:tcW w:w="1141" w:type="pct"/>
            <w:tcBorders>
              <w:top w:val="single" w:color="auto" w:sz="4" w:space="0"/>
              <w:left w:val="single" w:color="auto" w:sz="4" w:space="0"/>
              <w:bottom w:val="nil"/>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1</w:t>
            </w:r>
          </w:p>
        </w:tc>
        <w:tc>
          <w:tcPr>
            <w:tcW w:w="772" w:type="pct"/>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shd w:val="clear"/>
              <w:bidi w:val="0"/>
              <w:rPr>
                <w:rFonts w:hint="default"/>
                <w:color w:val="0000FF"/>
                <w:highlight w:val="none"/>
                <w:lang w:eastAsia="zh-CN"/>
              </w:rPr>
            </w:pPr>
            <w:r>
              <w:rPr>
                <w:rFonts w:hint="eastAsia"/>
                <w:color w:val="0000FF"/>
                <w:highlight w:val="none"/>
                <w:lang w:val="en-US" w:eastAsia="zh-CN"/>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46" w:hRule="exact"/>
          <w:jc w:val="center"/>
        </w:trPr>
        <w:tc>
          <w:tcPr>
            <w:tcW w:w="1333"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占总种数％</w:t>
            </w:r>
          </w:p>
        </w:tc>
        <w:tc>
          <w:tcPr>
            <w:tcW w:w="933"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rPr>
                <w:rFonts w:hint="default"/>
                <w:color w:val="0000FF"/>
                <w:highlight w:val="none"/>
              </w:rPr>
            </w:pPr>
            <w:r>
              <w:rPr>
                <w:rFonts w:hint="eastAsia"/>
                <w:color w:val="0000FF"/>
                <w:highlight w:val="none"/>
                <w:lang w:val="en-US" w:eastAsia="zh-CN"/>
              </w:rPr>
              <w:t>66.67</w:t>
            </w:r>
            <w:r>
              <w:rPr>
                <w:rFonts w:hint="default"/>
                <w:color w:val="0000FF"/>
                <w:highlight w:val="none"/>
                <w:lang w:val="zh-TW" w:eastAsia="zh-TW"/>
              </w:rPr>
              <w:t>%</w:t>
            </w:r>
          </w:p>
        </w:tc>
        <w:tc>
          <w:tcPr>
            <w:tcW w:w="818"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en-US" w:eastAsia="zh-CN"/>
              </w:rPr>
              <w:t>1</w:t>
            </w:r>
            <w:r>
              <w:rPr>
                <w:rFonts w:hint="eastAsia"/>
                <w:color w:val="0000FF"/>
                <w:highlight w:val="none"/>
                <w:lang w:val="en-US" w:eastAsia="zh-CN"/>
              </w:rPr>
              <w:t>6.67</w:t>
            </w:r>
            <w:r>
              <w:rPr>
                <w:rFonts w:hint="default"/>
                <w:color w:val="0000FF"/>
                <w:highlight w:val="none"/>
                <w:lang w:val="zh-TW" w:eastAsia="zh-TW"/>
              </w:rPr>
              <w:t>%</w:t>
            </w:r>
          </w:p>
        </w:tc>
        <w:tc>
          <w:tcPr>
            <w:tcW w:w="1141" w:type="pct"/>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en-US" w:eastAsia="zh-CN"/>
              </w:rPr>
              <w:t>1</w:t>
            </w:r>
            <w:r>
              <w:rPr>
                <w:rFonts w:hint="eastAsia"/>
                <w:color w:val="0000FF"/>
                <w:highlight w:val="none"/>
                <w:lang w:val="en-US" w:eastAsia="zh-CN"/>
              </w:rPr>
              <w:t>6.67</w:t>
            </w:r>
            <w:r>
              <w:rPr>
                <w:rFonts w:hint="default"/>
                <w:color w:val="0000FF"/>
                <w:highlight w:val="none"/>
                <w:lang w:val="zh-TW" w:eastAsia="zh-TW"/>
              </w:rPr>
              <w:t>%</w:t>
            </w:r>
          </w:p>
        </w:tc>
        <w:tc>
          <w:tcPr>
            <w:tcW w:w="772" w:type="pct"/>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pPr>
              <w:pStyle w:val="42"/>
              <w:shd w:val="clear"/>
              <w:bidi w:val="0"/>
              <w:rPr>
                <w:rFonts w:hint="default"/>
                <w:color w:val="0000FF"/>
                <w:highlight w:val="none"/>
              </w:rPr>
            </w:pPr>
            <w:r>
              <w:rPr>
                <w:rFonts w:hint="default"/>
                <w:color w:val="0000FF"/>
                <w:highlight w:val="none"/>
                <w:lang w:val="zh-TW" w:eastAsia="zh-TW"/>
              </w:rPr>
              <w:t>100%</w:t>
            </w:r>
          </w:p>
        </w:tc>
      </w:tr>
    </w:tbl>
    <w:p>
      <w:pPr>
        <w:shd w:val="clear"/>
        <w:bidi w:val="0"/>
        <w:ind w:firstLine="480" w:firstLineChars="200"/>
        <w:rPr>
          <w:rFonts w:hint="default"/>
          <w:color w:val="0000FF"/>
          <w:highlight w:val="none"/>
          <w:lang w:val="zh-TW" w:eastAsia="zh-TW"/>
        </w:rPr>
      </w:pPr>
      <w:r>
        <w:rPr>
          <w:rFonts w:hint="eastAsia"/>
          <w:color w:val="0000FF"/>
          <w:highlight w:val="none"/>
          <w:lang w:val="en-US" w:eastAsia="zh-CN"/>
        </w:rPr>
        <w:t>（2）</w:t>
      </w:r>
      <w:r>
        <w:rPr>
          <w:rFonts w:hint="default"/>
          <w:color w:val="0000FF"/>
          <w:highlight w:val="none"/>
          <w:lang w:val="zh-TW" w:eastAsia="zh-TW"/>
        </w:rPr>
        <w:t>评价区内的主要经济鱼类</w:t>
      </w:r>
    </w:p>
    <w:p>
      <w:pPr>
        <w:shd w:val="clear"/>
        <w:bidi w:val="0"/>
        <w:ind w:firstLine="480" w:firstLineChars="200"/>
        <w:rPr>
          <w:rFonts w:hint="default"/>
          <w:color w:val="0000FF"/>
          <w:highlight w:val="none"/>
          <w:lang w:val="zh-TW" w:eastAsia="zh-TW"/>
        </w:rPr>
      </w:pPr>
      <w:r>
        <w:rPr>
          <w:rFonts w:hint="default"/>
          <w:color w:val="0000FF"/>
          <w:highlight w:val="none"/>
          <w:lang w:val="zh-TW" w:eastAsia="zh-TW"/>
        </w:rPr>
        <w:t>经济鱼类指的是那些在渔获物中占有一定比例，具有一定经济价值的鱼类。评价区鱼类大致分为两个类型，一是个体较大、渔业价值高的种类，如：鲫鱼</w:t>
      </w:r>
      <w:r>
        <w:rPr>
          <w:rFonts w:hint="default"/>
          <w:i/>
          <w:iCs/>
          <w:color w:val="0000FF"/>
          <w:highlight w:val="none"/>
          <w:lang w:val="zh-TW" w:eastAsia="zh-TW"/>
        </w:rPr>
        <w:t>Cyprinus</w:t>
      </w:r>
      <w:r>
        <w:rPr>
          <w:rFonts w:hint="default"/>
          <w:i/>
          <w:iCs/>
          <w:color w:val="0000FF"/>
          <w:highlight w:val="none"/>
          <w:lang w:val="en-US" w:eastAsia="zh-CN"/>
        </w:rPr>
        <w:t xml:space="preserve"> </w:t>
      </w:r>
      <w:r>
        <w:rPr>
          <w:rFonts w:hint="default"/>
          <w:i/>
          <w:iCs/>
          <w:color w:val="0000FF"/>
          <w:highlight w:val="none"/>
          <w:lang w:val="zh-TW" w:eastAsia="zh-TW"/>
        </w:rPr>
        <w:t>auratus</w:t>
      </w:r>
      <w:r>
        <w:rPr>
          <w:rFonts w:hint="default"/>
          <w:color w:val="0000FF"/>
          <w:highlight w:val="none"/>
          <w:lang w:val="zh-TW" w:eastAsia="zh-TW"/>
        </w:rPr>
        <w:t>、鲤鱼</w:t>
      </w:r>
      <w:r>
        <w:rPr>
          <w:rFonts w:hint="default"/>
          <w:i/>
          <w:iCs/>
          <w:color w:val="0000FF"/>
          <w:highlight w:val="none"/>
          <w:lang w:val="zh-TW" w:eastAsia="zh-TW"/>
        </w:rPr>
        <w:t>Cyprinus</w:t>
      </w:r>
      <w:r>
        <w:rPr>
          <w:rFonts w:hint="default"/>
          <w:i/>
          <w:iCs/>
          <w:color w:val="0000FF"/>
          <w:highlight w:val="none"/>
          <w:lang w:val="en-US" w:eastAsia="zh-CN"/>
        </w:rPr>
        <w:t xml:space="preserve"> </w:t>
      </w:r>
      <w:r>
        <w:rPr>
          <w:rFonts w:hint="default"/>
          <w:i/>
          <w:iCs/>
          <w:color w:val="0000FF"/>
          <w:highlight w:val="none"/>
          <w:lang w:val="zh-TW" w:eastAsia="zh-TW"/>
        </w:rPr>
        <w:t>carpio</w:t>
      </w:r>
      <w:r>
        <w:rPr>
          <w:rFonts w:hint="default"/>
          <w:color w:val="0000FF"/>
          <w:highlight w:val="none"/>
          <w:lang w:val="zh-TW" w:eastAsia="zh-TW"/>
        </w:rPr>
        <w:t>等；二是个体虽小，但数量多，能占有市场的一定份额，如麦穗鱼</w:t>
      </w:r>
      <w:r>
        <w:rPr>
          <w:rFonts w:hint="default"/>
          <w:i/>
          <w:iCs/>
          <w:color w:val="0000FF"/>
          <w:highlight w:val="none"/>
          <w:lang w:val="zh-TW" w:eastAsia="zh-TW"/>
        </w:rPr>
        <w:t>Pseudorasbora</w:t>
      </w:r>
      <w:r>
        <w:rPr>
          <w:rFonts w:hint="default"/>
          <w:i/>
          <w:iCs/>
          <w:color w:val="0000FF"/>
          <w:highlight w:val="none"/>
          <w:lang w:val="en-US" w:eastAsia="zh-CN"/>
        </w:rPr>
        <w:t xml:space="preserve"> </w:t>
      </w:r>
      <w:r>
        <w:rPr>
          <w:rFonts w:hint="default"/>
          <w:i/>
          <w:iCs/>
          <w:color w:val="0000FF"/>
          <w:highlight w:val="none"/>
          <w:lang w:val="zh-TW" w:eastAsia="zh-TW"/>
        </w:rPr>
        <w:t>parva</w:t>
      </w:r>
      <w:r>
        <w:rPr>
          <w:rFonts w:hint="default"/>
          <w:color w:val="0000FF"/>
          <w:highlight w:val="none"/>
          <w:lang w:val="zh-TW" w:eastAsia="zh-TW"/>
        </w:rPr>
        <w:t>、棒花鱼</w:t>
      </w:r>
      <w:r>
        <w:rPr>
          <w:rFonts w:hint="default"/>
          <w:i/>
          <w:iCs/>
          <w:color w:val="0000FF"/>
          <w:highlight w:val="none"/>
          <w:lang w:val="zh-TW" w:eastAsia="zh-TW"/>
        </w:rPr>
        <w:t>Abbottina</w:t>
      </w:r>
      <w:r>
        <w:rPr>
          <w:rFonts w:hint="default"/>
          <w:i/>
          <w:iCs/>
          <w:color w:val="0000FF"/>
          <w:highlight w:val="none"/>
          <w:lang w:val="en-US" w:eastAsia="zh-CN"/>
        </w:rPr>
        <w:t xml:space="preserve"> </w:t>
      </w:r>
      <w:r>
        <w:rPr>
          <w:rFonts w:hint="default"/>
          <w:i/>
          <w:iCs/>
          <w:color w:val="0000FF"/>
          <w:highlight w:val="none"/>
          <w:lang w:val="zh-TW" w:eastAsia="zh-TW"/>
        </w:rPr>
        <w:t>rivularis</w:t>
      </w:r>
      <w:r>
        <w:rPr>
          <w:rFonts w:hint="default"/>
          <w:color w:val="0000FF"/>
          <w:highlight w:val="none"/>
          <w:lang w:val="zh-TW" w:eastAsia="zh-TW"/>
        </w:rPr>
        <w:t>、泥鳅</w:t>
      </w:r>
      <w:r>
        <w:rPr>
          <w:rFonts w:hint="default"/>
          <w:i/>
          <w:iCs/>
          <w:color w:val="0000FF"/>
          <w:highlight w:val="none"/>
          <w:lang w:val="zh-TW" w:eastAsia="zh-TW"/>
        </w:rPr>
        <w:t>Misgurnus</w:t>
      </w:r>
      <w:r>
        <w:rPr>
          <w:rFonts w:hint="default"/>
          <w:i/>
          <w:iCs/>
          <w:color w:val="0000FF"/>
          <w:highlight w:val="none"/>
          <w:lang w:val="en-US" w:eastAsia="zh-CN"/>
        </w:rPr>
        <w:t xml:space="preserve"> </w:t>
      </w:r>
      <w:r>
        <w:rPr>
          <w:rFonts w:hint="default"/>
          <w:i/>
          <w:iCs/>
          <w:color w:val="0000FF"/>
          <w:highlight w:val="none"/>
          <w:lang w:val="zh-TW" w:eastAsia="zh-TW"/>
        </w:rPr>
        <w:t>anguillicaudatus</w:t>
      </w:r>
      <w:r>
        <w:rPr>
          <w:rFonts w:hint="default"/>
          <w:color w:val="0000FF"/>
          <w:highlight w:val="none"/>
          <w:lang w:val="zh-TW" w:eastAsia="zh-TW"/>
        </w:rPr>
        <w:t>等。</w:t>
      </w:r>
    </w:p>
    <w:p>
      <w:pPr>
        <w:shd w:val="clear"/>
        <w:bidi w:val="0"/>
        <w:ind w:firstLine="480" w:firstLineChars="200"/>
        <w:rPr>
          <w:rFonts w:hint="default"/>
          <w:color w:val="0000FF"/>
          <w:highlight w:val="none"/>
        </w:rPr>
      </w:pPr>
      <w:r>
        <w:rPr>
          <w:rFonts w:hint="eastAsia"/>
          <w:color w:val="0000FF"/>
          <w:highlight w:val="none"/>
          <w:lang w:val="en-US" w:eastAsia="zh-CN"/>
        </w:rPr>
        <w:t>（3）</w:t>
      </w:r>
      <w:r>
        <w:rPr>
          <w:rFonts w:hint="default"/>
          <w:color w:val="0000FF"/>
          <w:highlight w:val="none"/>
          <w:lang w:val="zh-TW" w:eastAsia="zh-TW"/>
        </w:rPr>
        <w:t>保护动物及珍稀濒危动物</w:t>
      </w:r>
    </w:p>
    <w:p>
      <w:pPr>
        <w:shd w:val="clear"/>
        <w:bidi w:val="0"/>
        <w:ind w:firstLine="480" w:firstLineChars="200"/>
        <w:rPr>
          <w:rFonts w:hint="default"/>
          <w:color w:val="0000FF"/>
          <w:highlight w:val="none"/>
        </w:rPr>
      </w:pPr>
      <w:r>
        <w:rPr>
          <w:rFonts w:hint="default"/>
          <w:color w:val="0000FF"/>
          <w:highlight w:val="none"/>
          <w:lang w:val="zh-TW" w:eastAsia="zh-TW"/>
        </w:rPr>
        <w:t>评价区水域的</w:t>
      </w:r>
      <w:r>
        <w:rPr>
          <w:rFonts w:hint="eastAsia"/>
          <w:color w:val="0000FF"/>
          <w:highlight w:val="none"/>
          <w:lang w:val="en-US" w:eastAsia="zh-CN"/>
        </w:rPr>
        <w:t>6</w:t>
      </w:r>
      <w:r>
        <w:rPr>
          <w:rFonts w:hint="default"/>
          <w:color w:val="0000FF"/>
          <w:highlight w:val="none"/>
          <w:lang w:val="zh-TW" w:eastAsia="zh-TW"/>
        </w:rPr>
        <w:t>种鱼类中，没有国家级和省级重点保护鱼类。</w:t>
      </w:r>
    </w:p>
    <w:p>
      <w:pPr>
        <w:shd w:val="clear"/>
        <w:bidi w:val="0"/>
        <w:ind w:firstLine="480" w:firstLineChars="200"/>
        <w:rPr>
          <w:rFonts w:hint="default"/>
          <w:color w:val="0000FF"/>
          <w:highlight w:val="none"/>
        </w:rPr>
      </w:pPr>
      <w:r>
        <w:rPr>
          <w:rFonts w:hint="eastAsia"/>
          <w:color w:val="0000FF"/>
          <w:highlight w:val="none"/>
          <w:lang w:val="en-US" w:eastAsia="zh-CN"/>
        </w:rPr>
        <w:t>（4）</w:t>
      </w:r>
      <w:r>
        <w:rPr>
          <w:rFonts w:hint="default"/>
          <w:color w:val="0000FF"/>
          <w:highlight w:val="none"/>
          <w:lang w:val="zh-TW" w:eastAsia="zh-TW"/>
        </w:rPr>
        <w:t>长距离洄游鱼类</w:t>
      </w:r>
    </w:p>
    <w:p>
      <w:pPr>
        <w:shd w:val="clear"/>
        <w:bidi w:val="0"/>
        <w:ind w:firstLine="480" w:firstLineChars="200"/>
        <w:rPr>
          <w:rFonts w:hint="default"/>
          <w:color w:val="0000FF"/>
          <w:highlight w:val="none"/>
        </w:rPr>
      </w:pPr>
      <w:r>
        <w:rPr>
          <w:rFonts w:hint="default"/>
          <w:color w:val="0000FF"/>
          <w:highlight w:val="none"/>
          <w:lang w:val="zh-TW" w:eastAsia="zh-TW"/>
        </w:rPr>
        <w:t>评价区水域的</w:t>
      </w:r>
      <w:r>
        <w:rPr>
          <w:rFonts w:hint="eastAsia"/>
          <w:color w:val="0000FF"/>
          <w:highlight w:val="none"/>
          <w:lang w:val="en-US" w:eastAsia="zh-CN"/>
        </w:rPr>
        <w:t>6</w:t>
      </w:r>
      <w:r>
        <w:rPr>
          <w:rFonts w:hint="default"/>
          <w:color w:val="0000FF"/>
          <w:highlight w:val="none"/>
          <w:lang w:val="zh-TW" w:eastAsia="zh-TW"/>
        </w:rPr>
        <w:t>种鱼类中，没有长距离洄游性鱼类。</w:t>
      </w:r>
    </w:p>
    <w:p>
      <w:pPr>
        <w:shd w:val="clear"/>
        <w:bidi w:val="0"/>
        <w:ind w:firstLine="480" w:firstLineChars="200"/>
        <w:rPr>
          <w:rFonts w:hint="default"/>
          <w:color w:val="0000FF"/>
          <w:highlight w:val="none"/>
        </w:rPr>
      </w:pPr>
      <w:r>
        <w:rPr>
          <w:rFonts w:hint="eastAsia"/>
          <w:color w:val="0000FF"/>
          <w:highlight w:val="none"/>
          <w:lang w:val="en-US" w:eastAsia="zh-CN"/>
        </w:rPr>
        <w:t>（5）</w:t>
      </w:r>
      <w:r>
        <w:rPr>
          <w:rFonts w:hint="default"/>
          <w:color w:val="0000FF"/>
          <w:highlight w:val="none"/>
          <w:lang w:val="zh-TW" w:eastAsia="zh-TW"/>
        </w:rPr>
        <w:t>评价区内的特有鱼类</w:t>
      </w:r>
    </w:p>
    <w:p>
      <w:pPr>
        <w:shd w:val="clear"/>
        <w:bidi w:val="0"/>
        <w:ind w:firstLine="480" w:firstLineChars="200"/>
        <w:rPr>
          <w:rFonts w:hint="default"/>
          <w:color w:val="0000FF"/>
          <w:highlight w:val="none"/>
          <w:lang w:val="zh-TW" w:eastAsia="zh-TW"/>
        </w:rPr>
      </w:pPr>
      <w:r>
        <w:rPr>
          <w:rFonts w:hint="default"/>
          <w:color w:val="0000FF"/>
          <w:highlight w:val="none"/>
          <w:lang w:val="zh-TW" w:eastAsia="zh-TW"/>
        </w:rPr>
        <w:t>评价区水域的</w:t>
      </w:r>
      <w:r>
        <w:rPr>
          <w:rFonts w:hint="eastAsia"/>
          <w:color w:val="0000FF"/>
          <w:highlight w:val="none"/>
          <w:lang w:val="en-US" w:eastAsia="zh-CN"/>
        </w:rPr>
        <w:t>6</w:t>
      </w:r>
      <w:r>
        <w:rPr>
          <w:rFonts w:hint="default"/>
          <w:color w:val="0000FF"/>
          <w:highlight w:val="none"/>
          <w:lang w:val="zh-TW" w:eastAsia="zh-TW"/>
        </w:rPr>
        <w:t>种鱼类中，没有特有鱼类。</w:t>
      </w:r>
    </w:p>
    <w:p>
      <w:pPr>
        <w:numPr>
          <w:ilvl w:val="0"/>
          <w:numId w:val="21"/>
        </w:numPr>
        <w:shd w:val="clear"/>
        <w:bidi w:val="0"/>
        <w:ind w:firstLine="480" w:firstLineChars="200"/>
        <w:rPr>
          <w:rFonts w:hint="eastAsia"/>
          <w:color w:val="0000FF"/>
          <w:highlight w:val="none"/>
          <w:lang w:val="en-US" w:eastAsia="zh-CN"/>
        </w:rPr>
      </w:pPr>
      <w:r>
        <w:rPr>
          <w:rFonts w:hint="eastAsia"/>
          <w:color w:val="0000FF"/>
          <w:highlight w:val="none"/>
          <w:lang w:val="en-US" w:eastAsia="zh-CN"/>
        </w:rPr>
        <w:t>鱼类“三场”</w:t>
      </w:r>
    </w:p>
    <w:p>
      <w:pPr>
        <w:pStyle w:val="36"/>
        <w:numPr>
          <w:ilvl w:val="0"/>
          <w:numId w:val="0"/>
        </w:numPr>
        <w:ind w:leftChars="200"/>
        <w:rPr>
          <w:rFonts w:hint="default"/>
          <w:color w:val="0000FF"/>
          <w:lang w:val="en-US" w:eastAsia="zh-CN"/>
        </w:rPr>
      </w:pPr>
      <w:r>
        <w:rPr>
          <w:rFonts w:hint="eastAsia"/>
          <w:color w:val="0000FF"/>
          <w:lang w:val="en-US" w:eastAsia="zh-CN"/>
        </w:rPr>
        <w:t>根据现场调查，评价区范围内未调查到鱼类“三场”分布。</w:t>
      </w:r>
    </w:p>
    <w:p>
      <w:pPr>
        <w:shd w:val="clear"/>
        <w:bidi w:val="0"/>
        <w:ind w:firstLine="480" w:firstLineChars="200"/>
        <w:rPr>
          <w:rFonts w:hint="default"/>
          <w:color w:val="0000FF"/>
          <w:highlight w:val="none"/>
        </w:rPr>
      </w:pPr>
      <w:r>
        <w:rPr>
          <w:rFonts w:hint="eastAsia"/>
          <w:color w:val="0000FF"/>
          <w:highlight w:val="none"/>
          <w:lang w:val="en-US" w:eastAsia="zh-CN"/>
        </w:rPr>
        <w:t>（7）</w:t>
      </w:r>
      <w:r>
        <w:rPr>
          <w:rFonts w:hint="default"/>
          <w:color w:val="0000FF"/>
          <w:highlight w:val="none"/>
          <w:lang w:val="zh-TW" w:eastAsia="zh-TW"/>
        </w:rPr>
        <w:t>鱼类现状总结</w:t>
      </w:r>
    </w:p>
    <w:p>
      <w:pPr>
        <w:shd w:val="clear"/>
        <w:bidi w:val="0"/>
        <w:ind w:firstLine="480" w:firstLineChars="200"/>
        <w:rPr>
          <w:rFonts w:hint="default"/>
          <w:color w:val="0000FF"/>
          <w:highlight w:val="none"/>
          <w:lang w:val="zh-TW" w:eastAsia="zh-TW"/>
        </w:rPr>
      </w:pPr>
      <w:r>
        <w:rPr>
          <w:rFonts w:hint="default"/>
          <w:color w:val="0000FF"/>
          <w:highlight w:val="none"/>
          <w:lang w:val="zh-TW" w:eastAsia="zh-TW"/>
        </w:rPr>
        <w:t>经过捕捞及市场调查，同时查阅文献资料。经过询问村民及市场调查，同时查阅《金沙江流域鱼类》、《长江流域的鱼类资源及其保护对策》等文献资料，得到本评价区涉及流域和池塘内有</w:t>
      </w:r>
      <w:r>
        <w:rPr>
          <w:rFonts w:hint="default"/>
          <w:color w:val="0000FF"/>
          <w:highlight w:val="none"/>
          <w:lang w:val="en-US" w:eastAsia="zh-CN"/>
        </w:rPr>
        <w:t>3</w:t>
      </w:r>
      <w:r>
        <w:rPr>
          <w:rFonts w:hint="default"/>
          <w:color w:val="0000FF"/>
          <w:highlight w:val="none"/>
          <w:lang w:val="zh-TW" w:eastAsia="zh-TW"/>
        </w:rPr>
        <w:t>科</w:t>
      </w:r>
      <w:r>
        <w:rPr>
          <w:rFonts w:hint="eastAsia"/>
          <w:color w:val="0000FF"/>
          <w:highlight w:val="none"/>
          <w:lang w:val="en-US" w:eastAsia="zh-CN"/>
        </w:rPr>
        <w:t>6</w:t>
      </w:r>
      <w:r>
        <w:rPr>
          <w:rFonts w:hint="default"/>
          <w:color w:val="0000FF"/>
          <w:highlight w:val="none"/>
          <w:lang w:val="zh-TW" w:eastAsia="zh-TW"/>
        </w:rPr>
        <w:t>属</w:t>
      </w:r>
      <w:r>
        <w:rPr>
          <w:rFonts w:hint="eastAsia"/>
          <w:color w:val="0000FF"/>
          <w:highlight w:val="none"/>
          <w:lang w:val="en-US" w:eastAsia="zh-CN"/>
        </w:rPr>
        <w:t>6</w:t>
      </w:r>
      <w:r>
        <w:rPr>
          <w:rFonts w:hint="default"/>
          <w:color w:val="0000FF"/>
          <w:highlight w:val="none"/>
          <w:lang w:val="zh-TW" w:eastAsia="zh-TW"/>
        </w:rPr>
        <w:t>种鱼类，其中不涉及国家级和省级重点保护鱼类，没有被列入《中国物种红色名录》的</w:t>
      </w:r>
      <w:r>
        <w:rPr>
          <w:rFonts w:hint="default"/>
          <w:color w:val="0000FF"/>
          <w:highlight w:val="none"/>
          <w:lang w:val="en-US" w:eastAsia="zh-CN"/>
        </w:rPr>
        <w:t>受威胁</w:t>
      </w:r>
      <w:r>
        <w:rPr>
          <w:rFonts w:hint="default"/>
          <w:color w:val="0000FF"/>
          <w:highlight w:val="none"/>
          <w:lang w:val="zh-TW" w:eastAsia="zh-TW"/>
        </w:rPr>
        <w:t>鱼类，没有特有鱼类也没有长距离洄游性鱼类，</w:t>
      </w:r>
      <w:r>
        <w:rPr>
          <w:rFonts w:hint="eastAsia"/>
          <w:color w:val="0000FF"/>
          <w:highlight w:val="none"/>
          <w:lang w:val="en-US" w:eastAsia="zh-CN"/>
        </w:rPr>
        <w:t>无鱼类“三场”，</w:t>
      </w:r>
      <w:r>
        <w:rPr>
          <w:rFonts w:hint="default"/>
          <w:color w:val="0000FF"/>
          <w:highlight w:val="none"/>
          <w:lang w:val="zh-TW" w:eastAsia="zh-TW"/>
        </w:rPr>
        <w:t>因此，项目的建设对鱼类的影响是可以接受的。</w:t>
      </w:r>
    </w:p>
    <w:p>
      <w:pPr>
        <w:keepNext w:val="0"/>
        <w:keepLines w:val="0"/>
        <w:widowControl/>
        <w:suppressLineNumbers w:val="0"/>
        <w:jc w:val="left"/>
        <w:rPr>
          <w:color w:val="0000FF"/>
        </w:rPr>
      </w:pPr>
      <w:r>
        <w:rPr>
          <w:rFonts w:hint="eastAsia"/>
          <w:color w:val="0000FF"/>
          <w:lang w:val="en-US" w:eastAsia="zh-CN"/>
        </w:rPr>
        <w:t>三、</w:t>
      </w:r>
      <w:r>
        <w:rPr>
          <w:rFonts w:hint="eastAsia" w:ascii="宋体" w:hAnsi="宋体" w:eastAsia="宋体" w:cs="宋体"/>
          <w:b/>
          <w:bCs/>
          <w:color w:val="0000FF"/>
          <w:kern w:val="0"/>
          <w:sz w:val="24"/>
          <w:szCs w:val="24"/>
          <w:lang w:val="en-US" w:eastAsia="zh-CN" w:bidi="ar"/>
        </w:rPr>
        <w:t>浮游植物现状</w:t>
      </w:r>
    </w:p>
    <w:p>
      <w:pPr>
        <w:keepNext w:val="0"/>
        <w:keepLines w:val="0"/>
        <w:widowControl/>
        <w:suppressLineNumbers w:val="0"/>
        <w:jc w:val="left"/>
        <w:rPr>
          <w:rFonts w:hint="default" w:eastAsia="宋体"/>
          <w:color w:val="0000FF"/>
          <w:lang w:val="en-US" w:eastAsia="zh-CN"/>
        </w:rPr>
      </w:pPr>
      <w:r>
        <w:rPr>
          <w:rFonts w:hint="eastAsia"/>
          <w:color w:val="0000FF"/>
          <w:lang w:eastAsia="zh-CN"/>
        </w:rPr>
        <w:t>（</w:t>
      </w:r>
      <w:r>
        <w:rPr>
          <w:rFonts w:hint="eastAsia"/>
          <w:color w:val="0000FF"/>
          <w:lang w:val="en-US" w:eastAsia="zh-CN"/>
        </w:rPr>
        <w:t>1</w:t>
      </w:r>
      <w:r>
        <w:rPr>
          <w:rFonts w:hint="eastAsia"/>
          <w:color w:val="0000FF"/>
          <w:lang w:eastAsia="zh-CN"/>
        </w:rPr>
        <w:t>）</w:t>
      </w:r>
      <w:r>
        <w:rPr>
          <w:rFonts w:hint="eastAsia"/>
          <w:color w:val="0000FF"/>
          <w:lang w:val="en-US" w:eastAsia="zh-CN"/>
        </w:rPr>
        <w:t>种类现状</w:t>
      </w:r>
    </w:p>
    <w:p>
      <w:pPr>
        <w:keepNext w:val="0"/>
        <w:keepLines w:val="0"/>
        <w:widowControl/>
        <w:suppressLineNumbers w:val="0"/>
        <w:jc w:val="left"/>
        <w:rPr>
          <w:rFonts w:hint="eastAsia"/>
          <w:color w:val="0000FF"/>
          <w:highlight w:val="none"/>
        </w:rPr>
      </w:pPr>
      <w:r>
        <w:rPr>
          <w:rFonts w:hint="eastAsia"/>
          <w:color w:val="0000FF"/>
          <w:highlight w:val="none"/>
        </w:rPr>
        <w:t>通过对</w:t>
      </w:r>
      <w:r>
        <w:rPr>
          <w:rFonts w:hint="eastAsia"/>
          <w:color w:val="0000FF"/>
          <w:highlight w:val="none"/>
          <w:lang w:val="en-US" w:eastAsia="zh-CN"/>
        </w:rPr>
        <w:t>4</w:t>
      </w:r>
      <w:r>
        <w:rPr>
          <w:rFonts w:hint="eastAsia"/>
          <w:color w:val="0000FF"/>
          <w:highlight w:val="none"/>
        </w:rPr>
        <w:t>个浮游植物定性样品的室内镜检，共检出浮游植物</w:t>
      </w:r>
      <w:r>
        <w:rPr>
          <w:rFonts w:hint="eastAsia"/>
          <w:color w:val="0000FF"/>
          <w:highlight w:val="none"/>
          <w:lang w:val="en-US" w:eastAsia="zh-CN"/>
        </w:rPr>
        <w:t>33</w:t>
      </w:r>
      <w:r>
        <w:rPr>
          <w:rFonts w:hint="eastAsia"/>
          <w:color w:val="0000FF"/>
          <w:highlight w:val="none"/>
        </w:rPr>
        <w:t>种，分别隶属于6门8纲13目1</w:t>
      </w:r>
      <w:r>
        <w:rPr>
          <w:rFonts w:hint="eastAsia"/>
          <w:color w:val="0000FF"/>
          <w:highlight w:val="none"/>
          <w:lang w:val="en-US" w:eastAsia="zh-CN"/>
        </w:rPr>
        <w:t>8</w:t>
      </w:r>
      <w:r>
        <w:rPr>
          <w:rFonts w:hint="eastAsia"/>
          <w:color w:val="0000FF"/>
          <w:highlight w:val="none"/>
        </w:rPr>
        <w:t>科24属。其中蓝藻门4种；金藻门1种；硅藻门1</w:t>
      </w:r>
      <w:r>
        <w:rPr>
          <w:rFonts w:hint="eastAsia"/>
          <w:color w:val="0000FF"/>
          <w:highlight w:val="none"/>
          <w:lang w:val="en-US" w:eastAsia="zh-CN"/>
        </w:rPr>
        <w:t>4</w:t>
      </w:r>
      <w:r>
        <w:rPr>
          <w:rFonts w:hint="eastAsia"/>
          <w:color w:val="0000FF"/>
          <w:highlight w:val="none"/>
        </w:rPr>
        <w:t>种；隐藻门2种；甲藻门1种；绿藻门1</w:t>
      </w:r>
      <w:r>
        <w:rPr>
          <w:rFonts w:hint="eastAsia"/>
          <w:color w:val="0000FF"/>
          <w:highlight w:val="none"/>
          <w:lang w:val="en-US" w:eastAsia="zh-CN"/>
        </w:rPr>
        <w:t>1</w:t>
      </w:r>
      <w:r>
        <w:rPr>
          <w:rFonts w:hint="eastAsia"/>
          <w:color w:val="0000FF"/>
          <w:highlight w:val="none"/>
        </w:rPr>
        <w:t>种。从各门的种类数量和所占比例看，浮游植物以硅藻门和绿藻门的种类最多，蓝藻门、隐藻门、甲藻门和金藻门的种类较少。从每个采样断面上看，各个采样点主要以硅藻和绿藻门种类居多。具体见下表：</w:t>
      </w:r>
    </w:p>
    <w:p>
      <w:pPr>
        <w:keepNext w:val="0"/>
        <w:keepLines w:val="0"/>
        <w:widowControl/>
        <w:suppressLineNumbers w:val="0"/>
        <w:ind w:left="0" w:leftChars="0" w:firstLine="0" w:firstLineChars="0"/>
        <w:jc w:val="center"/>
        <w:rPr>
          <w:color w:val="0000FF"/>
        </w:rPr>
      </w:pPr>
      <w:r>
        <w:rPr>
          <w:rFonts w:hint="eastAsia"/>
          <w:color w:val="0000FF"/>
        </w:rPr>
        <w:t>表 4.</w:t>
      </w:r>
      <w:r>
        <w:rPr>
          <w:rFonts w:hint="eastAsia"/>
          <w:color w:val="0000FF"/>
          <w:lang w:val="en-US" w:eastAsia="zh-CN"/>
        </w:rPr>
        <w:t>2.5</w:t>
      </w:r>
      <w:r>
        <w:rPr>
          <w:rFonts w:hint="eastAsia"/>
          <w:color w:val="0000FF"/>
        </w:rPr>
        <w:t>-1</w:t>
      </w:r>
      <w:r>
        <w:rPr>
          <w:rFonts w:hint="eastAsia"/>
          <w:color w:val="0000FF"/>
          <w:lang w:val="en-US" w:eastAsia="zh-CN"/>
        </w:rPr>
        <w:t>7</w:t>
      </w:r>
      <w:r>
        <w:rPr>
          <w:rFonts w:hint="eastAsia"/>
          <w:color w:val="0000FF"/>
        </w:rPr>
        <w:t xml:space="preserve"> 工程评价区域浮游植物种类组成及分布</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1"/>
        <w:gridCol w:w="1004"/>
        <w:gridCol w:w="960"/>
        <w:gridCol w:w="1276"/>
        <w:gridCol w:w="1172"/>
        <w:gridCol w:w="958"/>
        <w:gridCol w:w="1035"/>
        <w:gridCol w:w="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采样断面</w:t>
            </w:r>
          </w:p>
        </w:tc>
        <w:tc>
          <w:tcPr>
            <w:tcW w:w="589"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0000FF"/>
                <w:sz w:val="21"/>
                <w:szCs w:val="21"/>
                <w:vertAlign w:val="baseline"/>
                <w:lang w:val="en-US" w:eastAsia="zh-CN"/>
              </w:rPr>
            </w:pPr>
            <w:r>
              <w:rPr>
                <w:rFonts w:hint="eastAsia" w:ascii="Times New Roman" w:hAnsi="Times New Roman" w:eastAsia="宋体" w:cs="Times New Roman"/>
                <w:b w:val="0"/>
                <w:bCs w:val="0"/>
                <w:color w:val="0000FF"/>
                <w:sz w:val="21"/>
                <w:szCs w:val="21"/>
                <w:vertAlign w:val="baseline"/>
                <w:lang w:val="en-US" w:eastAsia="zh-CN"/>
              </w:rPr>
              <w:t>蓝藻门</w:t>
            </w:r>
          </w:p>
        </w:tc>
        <w:tc>
          <w:tcPr>
            <w:tcW w:w="563"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0000FF"/>
                <w:sz w:val="21"/>
                <w:szCs w:val="21"/>
                <w:vertAlign w:val="baseline"/>
                <w:lang w:val="en-US" w:eastAsia="zh-CN"/>
              </w:rPr>
            </w:pPr>
            <w:r>
              <w:rPr>
                <w:rFonts w:hint="eastAsia" w:ascii="Times New Roman" w:hAnsi="Times New Roman" w:eastAsia="宋体" w:cs="Times New Roman"/>
                <w:b w:val="0"/>
                <w:bCs w:val="0"/>
                <w:color w:val="0000FF"/>
                <w:sz w:val="21"/>
                <w:szCs w:val="21"/>
                <w:vertAlign w:val="baseline"/>
                <w:lang w:val="en-US" w:eastAsia="zh-CN"/>
              </w:rPr>
              <w:t>金藻门</w:t>
            </w:r>
          </w:p>
        </w:tc>
        <w:tc>
          <w:tcPr>
            <w:tcW w:w="748"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0000FF"/>
                <w:sz w:val="21"/>
                <w:szCs w:val="21"/>
                <w:vertAlign w:val="baseline"/>
                <w:lang w:val="en-US" w:eastAsia="zh-CN"/>
              </w:rPr>
            </w:pPr>
            <w:r>
              <w:rPr>
                <w:rFonts w:hint="eastAsia" w:ascii="Times New Roman" w:hAnsi="Times New Roman" w:eastAsia="宋体" w:cs="Times New Roman"/>
                <w:b w:val="0"/>
                <w:bCs w:val="0"/>
                <w:color w:val="0000FF"/>
                <w:sz w:val="21"/>
                <w:szCs w:val="21"/>
                <w:vertAlign w:val="baseline"/>
                <w:lang w:val="en-US" w:eastAsia="zh-CN"/>
              </w:rPr>
              <w:t>硅藻门</w:t>
            </w:r>
          </w:p>
        </w:tc>
        <w:tc>
          <w:tcPr>
            <w:tcW w:w="68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0000FF"/>
                <w:sz w:val="21"/>
                <w:szCs w:val="21"/>
                <w:vertAlign w:val="baseline"/>
                <w:lang w:val="en-US" w:eastAsia="zh-CN"/>
              </w:rPr>
            </w:pPr>
            <w:r>
              <w:rPr>
                <w:rFonts w:hint="eastAsia" w:ascii="Times New Roman" w:hAnsi="Times New Roman" w:eastAsia="宋体" w:cs="Times New Roman"/>
                <w:b w:val="0"/>
                <w:bCs w:val="0"/>
                <w:color w:val="0000FF"/>
                <w:sz w:val="21"/>
                <w:szCs w:val="21"/>
                <w:vertAlign w:val="baseline"/>
                <w:lang w:val="en-US" w:eastAsia="zh-CN"/>
              </w:rPr>
              <w:t>隐藻门</w:t>
            </w:r>
          </w:p>
        </w:tc>
        <w:tc>
          <w:tcPr>
            <w:tcW w:w="562"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0000FF"/>
                <w:sz w:val="21"/>
                <w:szCs w:val="21"/>
                <w:vertAlign w:val="baseline"/>
                <w:lang w:val="en-US" w:eastAsia="zh-CN"/>
              </w:rPr>
            </w:pPr>
            <w:r>
              <w:rPr>
                <w:rFonts w:hint="eastAsia" w:ascii="Times New Roman" w:hAnsi="Times New Roman" w:eastAsia="宋体" w:cs="Times New Roman"/>
                <w:b w:val="0"/>
                <w:bCs w:val="0"/>
                <w:color w:val="0000FF"/>
                <w:sz w:val="21"/>
                <w:szCs w:val="21"/>
                <w:vertAlign w:val="baseline"/>
                <w:lang w:val="en-US" w:eastAsia="zh-CN"/>
              </w:rPr>
              <w:t>甲藻门</w:t>
            </w:r>
          </w:p>
        </w:tc>
        <w:tc>
          <w:tcPr>
            <w:tcW w:w="60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b w:val="0"/>
                <w:bCs w:val="0"/>
                <w:color w:val="0000FF"/>
                <w:sz w:val="21"/>
                <w:szCs w:val="21"/>
                <w:vertAlign w:val="baseline"/>
                <w:lang w:val="en-US" w:eastAsia="zh-CN"/>
              </w:rPr>
            </w:pPr>
            <w:r>
              <w:rPr>
                <w:rFonts w:hint="eastAsia" w:ascii="Times New Roman" w:hAnsi="Times New Roman" w:eastAsia="宋体" w:cs="Times New Roman"/>
                <w:b w:val="0"/>
                <w:bCs w:val="0"/>
                <w:color w:val="0000FF"/>
                <w:sz w:val="21"/>
                <w:szCs w:val="21"/>
                <w:vertAlign w:val="baseline"/>
                <w:lang w:val="en-US" w:eastAsia="zh-CN"/>
              </w:rPr>
              <w:t>绿藻门</w:t>
            </w:r>
          </w:p>
        </w:tc>
        <w:tc>
          <w:tcPr>
            <w:tcW w:w="484"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0000FF"/>
                <w:sz w:val="21"/>
                <w:szCs w:val="21"/>
                <w:vertAlign w:val="baseline"/>
                <w:lang w:val="en-US" w:eastAsia="zh-CN"/>
              </w:rPr>
            </w:pPr>
            <w:r>
              <w:rPr>
                <w:rFonts w:hint="eastAsia" w:ascii="Times New Roman" w:hAnsi="Times New Roman" w:eastAsia="宋体" w:cs="Times New Roman"/>
                <w:b w:val="0"/>
                <w:bCs w:val="0"/>
                <w:color w:val="0000FF"/>
                <w:sz w:val="21"/>
                <w:szCs w:val="21"/>
                <w:vertAlign w:val="baseline"/>
                <w:lang w:val="en-US" w:eastAsia="zh-CN"/>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W1</w:t>
            </w:r>
          </w:p>
        </w:tc>
        <w:tc>
          <w:tcPr>
            <w:tcW w:w="589" w:type="pct"/>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2</w:t>
            </w:r>
          </w:p>
        </w:tc>
        <w:tc>
          <w:tcPr>
            <w:tcW w:w="563"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0</w:t>
            </w:r>
          </w:p>
        </w:tc>
        <w:tc>
          <w:tcPr>
            <w:tcW w:w="748"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10</w:t>
            </w:r>
          </w:p>
        </w:tc>
        <w:tc>
          <w:tcPr>
            <w:tcW w:w="68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w:t>
            </w:r>
          </w:p>
        </w:tc>
        <w:tc>
          <w:tcPr>
            <w:tcW w:w="562"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w:t>
            </w:r>
          </w:p>
        </w:tc>
        <w:tc>
          <w:tcPr>
            <w:tcW w:w="60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4</w:t>
            </w:r>
          </w:p>
        </w:tc>
        <w:tc>
          <w:tcPr>
            <w:tcW w:w="484"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W2</w:t>
            </w:r>
          </w:p>
        </w:tc>
        <w:tc>
          <w:tcPr>
            <w:tcW w:w="589" w:type="pct"/>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4</w:t>
            </w:r>
          </w:p>
        </w:tc>
        <w:tc>
          <w:tcPr>
            <w:tcW w:w="563"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w:t>
            </w:r>
          </w:p>
        </w:tc>
        <w:tc>
          <w:tcPr>
            <w:tcW w:w="748"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9</w:t>
            </w:r>
          </w:p>
        </w:tc>
        <w:tc>
          <w:tcPr>
            <w:tcW w:w="68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w:t>
            </w:r>
          </w:p>
        </w:tc>
        <w:tc>
          <w:tcPr>
            <w:tcW w:w="562"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w:t>
            </w:r>
          </w:p>
        </w:tc>
        <w:tc>
          <w:tcPr>
            <w:tcW w:w="60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3</w:t>
            </w:r>
          </w:p>
        </w:tc>
        <w:tc>
          <w:tcPr>
            <w:tcW w:w="484"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W3</w:t>
            </w:r>
          </w:p>
        </w:tc>
        <w:tc>
          <w:tcPr>
            <w:tcW w:w="589" w:type="pct"/>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2</w:t>
            </w:r>
          </w:p>
        </w:tc>
        <w:tc>
          <w:tcPr>
            <w:tcW w:w="563"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w:t>
            </w:r>
          </w:p>
        </w:tc>
        <w:tc>
          <w:tcPr>
            <w:tcW w:w="748"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6</w:t>
            </w:r>
          </w:p>
        </w:tc>
        <w:tc>
          <w:tcPr>
            <w:tcW w:w="68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w:t>
            </w:r>
          </w:p>
        </w:tc>
        <w:tc>
          <w:tcPr>
            <w:tcW w:w="562"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0</w:t>
            </w:r>
          </w:p>
        </w:tc>
        <w:tc>
          <w:tcPr>
            <w:tcW w:w="60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6</w:t>
            </w:r>
          </w:p>
        </w:tc>
        <w:tc>
          <w:tcPr>
            <w:tcW w:w="484"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W4</w:t>
            </w:r>
          </w:p>
        </w:tc>
        <w:tc>
          <w:tcPr>
            <w:tcW w:w="589" w:type="pct"/>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4</w:t>
            </w:r>
          </w:p>
        </w:tc>
        <w:tc>
          <w:tcPr>
            <w:tcW w:w="563"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w:t>
            </w:r>
          </w:p>
        </w:tc>
        <w:tc>
          <w:tcPr>
            <w:tcW w:w="748"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14</w:t>
            </w:r>
          </w:p>
        </w:tc>
        <w:tc>
          <w:tcPr>
            <w:tcW w:w="68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2</w:t>
            </w:r>
          </w:p>
        </w:tc>
        <w:tc>
          <w:tcPr>
            <w:tcW w:w="562"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w:t>
            </w:r>
          </w:p>
        </w:tc>
        <w:tc>
          <w:tcPr>
            <w:tcW w:w="60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11</w:t>
            </w:r>
          </w:p>
        </w:tc>
        <w:tc>
          <w:tcPr>
            <w:tcW w:w="484"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W5</w:t>
            </w:r>
          </w:p>
        </w:tc>
        <w:tc>
          <w:tcPr>
            <w:tcW w:w="589" w:type="pct"/>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3</w:t>
            </w:r>
          </w:p>
        </w:tc>
        <w:tc>
          <w:tcPr>
            <w:tcW w:w="563"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1</w:t>
            </w:r>
          </w:p>
        </w:tc>
        <w:tc>
          <w:tcPr>
            <w:tcW w:w="748"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6</w:t>
            </w:r>
          </w:p>
        </w:tc>
        <w:tc>
          <w:tcPr>
            <w:tcW w:w="68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1</w:t>
            </w:r>
          </w:p>
        </w:tc>
        <w:tc>
          <w:tcPr>
            <w:tcW w:w="562"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0</w:t>
            </w:r>
          </w:p>
        </w:tc>
        <w:tc>
          <w:tcPr>
            <w:tcW w:w="60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5</w:t>
            </w:r>
          </w:p>
        </w:tc>
        <w:tc>
          <w:tcPr>
            <w:tcW w:w="484"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b w:val="0"/>
                <w:bCs w:val="0"/>
                <w:color w:val="0000FF"/>
                <w:sz w:val="21"/>
                <w:szCs w:val="21"/>
                <w:vertAlign w:val="baseline"/>
                <w:lang w:val="en-US" w:eastAsia="zh-CN"/>
              </w:rPr>
            </w:pPr>
            <w:r>
              <w:rPr>
                <w:rFonts w:hint="eastAsia"/>
                <w:b w:val="0"/>
                <w:bCs w:val="0"/>
                <w:color w:val="0000FF"/>
                <w:sz w:val="21"/>
                <w:szCs w:val="21"/>
                <w:vertAlign w:val="baseline"/>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总计</w:t>
            </w:r>
          </w:p>
        </w:tc>
        <w:tc>
          <w:tcPr>
            <w:tcW w:w="589" w:type="pct"/>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4</w:t>
            </w:r>
          </w:p>
        </w:tc>
        <w:tc>
          <w:tcPr>
            <w:tcW w:w="563"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w:t>
            </w:r>
          </w:p>
        </w:tc>
        <w:tc>
          <w:tcPr>
            <w:tcW w:w="748"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14</w:t>
            </w:r>
          </w:p>
        </w:tc>
        <w:tc>
          <w:tcPr>
            <w:tcW w:w="68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2</w:t>
            </w:r>
          </w:p>
        </w:tc>
        <w:tc>
          <w:tcPr>
            <w:tcW w:w="562"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w:t>
            </w:r>
          </w:p>
        </w:tc>
        <w:tc>
          <w:tcPr>
            <w:tcW w:w="607"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11</w:t>
            </w:r>
          </w:p>
        </w:tc>
        <w:tc>
          <w:tcPr>
            <w:tcW w:w="484" w:type="pc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33</w:t>
            </w:r>
          </w:p>
        </w:tc>
      </w:tr>
    </w:tbl>
    <w:p>
      <w:pPr>
        <w:keepNext w:val="0"/>
        <w:keepLines w:val="0"/>
        <w:widowControl/>
        <w:suppressLineNumbers w:val="0"/>
        <w:jc w:val="left"/>
        <w:rPr>
          <w:rFonts w:hint="eastAsia"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从上表中可以看出，本次所采集检测到的浮游植物种类组成在5个采样点有一定的区别：断面W1有6个门共计31种；断面W2有6个门共计32种；断面W3有4个门共计23种；断面W4有3个门共计24种；断面W5有6个门共计27种。从上述样点的浮游植物种类组成上可以看出，评价区水体浮游植物组成主要以硅藻门和绿藻门种类居多。</w:t>
      </w:r>
    </w:p>
    <w:p>
      <w:pPr>
        <w:keepNext w:val="0"/>
        <w:keepLines w:val="0"/>
        <w:widowControl/>
        <w:suppressLineNumbers w:val="0"/>
        <w:jc w:val="left"/>
        <w:rPr>
          <w:rFonts w:hint="default" w:ascii="宋体" w:hAnsi="宋体" w:eastAsia="宋体" w:cs="宋体"/>
          <w:b/>
          <w:bCs/>
          <w:color w:val="0000FF"/>
          <w:kern w:val="0"/>
          <w:sz w:val="24"/>
          <w:szCs w:val="24"/>
          <w:lang w:val="en-US" w:eastAsia="zh-CN" w:bidi="ar"/>
        </w:rPr>
      </w:pPr>
      <w:r>
        <w:rPr>
          <w:rFonts w:hint="eastAsia" w:ascii="宋体" w:hAnsi="宋体" w:eastAsia="宋体" w:cs="宋体"/>
          <w:b/>
          <w:bCs/>
          <w:color w:val="0000FF"/>
          <w:kern w:val="0"/>
          <w:sz w:val="24"/>
          <w:szCs w:val="24"/>
          <w:lang w:val="en-US" w:eastAsia="zh-CN" w:bidi="ar"/>
        </w:rPr>
        <w:t>（2）现存量</w:t>
      </w:r>
    </w:p>
    <w:p>
      <w:pPr>
        <w:keepNext w:val="0"/>
        <w:keepLines w:val="0"/>
        <w:widowControl/>
        <w:suppressLineNumbers w:val="0"/>
        <w:jc w:val="left"/>
        <w:rPr>
          <w:color w:val="0000FF"/>
        </w:rPr>
      </w:pPr>
      <w:r>
        <w:rPr>
          <w:rFonts w:hint="eastAsia" w:ascii="宋体" w:hAnsi="宋体" w:eastAsia="宋体" w:cs="宋体"/>
          <w:color w:val="0000FF"/>
          <w:kern w:val="0"/>
          <w:sz w:val="24"/>
          <w:szCs w:val="24"/>
          <w:lang w:val="en-US" w:eastAsia="zh-CN" w:bidi="ar"/>
        </w:rPr>
        <w:t>根据对浮游植物</w:t>
      </w:r>
      <w:r>
        <w:rPr>
          <w:rFonts w:hint="eastAsia" w:cs="Times New Roman"/>
          <w:color w:val="0000FF"/>
          <w:kern w:val="0"/>
          <w:sz w:val="24"/>
          <w:szCs w:val="24"/>
          <w:lang w:val="en-US" w:eastAsia="zh-CN" w:bidi="ar"/>
        </w:rPr>
        <w:t>4</w:t>
      </w:r>
      <w:r>
        <w:rPr>
          <w:rFonts w:hint="eastAsia" w:ascii="宋体" w:hAnsi="宋体" w:eastAsia="宋体" w:cs="宋体"/>
          <w:color w:val="0000FF"/>
          <w:kern w:val="0"/>
          <w:sz w:val="24"/>
          <w:szCs w:val="24"/>
          <w:lang w:val="en-US" w:eastAsia="zh-CN" w:bidi="ar"/>
        </w:rPr>
        <w:t>个定量样品的统计结果，评价区内浮游植物的数量为</w:t>
      </w:r>
      <w:r>
        <w:rPr>
          <w:rFonts w:hint="eastAsia" w:ascii="Times New Roman" w:hAnsi="Times New Roman" w:eastAsia="宋体" w:cs="Times New Roman"/>
          <w:color w:val="0000FF"/>
          <w:kern w:val="0"/>
          <w:sz w:val="24"/>
          <w:szCs w:val="24"/>
          <w:lang w:val="en-US" w:eastAsia="zh-CN" w:bidi="ar"/>
        </w:rPr>
        <w:t>2.53</w:t>
      </w:r>
      <w:r>
        <w:rPr>
          <w:rFonts w:hint="default" w:ascii="Times New Roman" w:hAnsi="Times New Roman" w:eastAsia="宋体" w:cs="Times New Roman"/>
          <w:color w:val="0000FF"/>
          <w:kern w:val="0"/>
          <w:sz w:val="24"/>
          <w:szCs w:val="24"/>
          <w:lang w:val="en-US" w:eastAsia="zh-CN" w:bidi="ar"/>
        </w:rPr>
        <w:t>×10</w:t>
      </w:r>
      <w:r>
        <w:rPr>
          <w:rFonts w:hint="default" w:ascii="Times New Roman" w:hAnsi="Times New Roman" w:eastAsia="宋体" w:cs="Times New Roman"/>
          <w:color w:val="0000FF"/>
          <w:kern w:val="0"/>
          <w:sz w:val="24"/>
          <w:szCs w:val="24"/>
          <w:vertAlign w:val="superscript"/>
          <w:lang w:val="en-US" w:eastAsia="zh-CN" w:bidi="ar"/>
        </w:rPr>
        <w:t>6</w:t>
      </w:r>
      <w:r>
        <w:rPr>
          <w:rFonts w:hint="default" w:ascii="Times New Roman" w:hAnsi="Times New Roman" w:eastAsia="宋体" w:cs="Times New Roman"/>
          <w:color w:val="0000FF"/>
          <w:kern w:val="0"/>
          <w:sz w:val="24"/>
          <w:szCs w:val="24"/>
          <w:lang w:val="en-US" w:eastAsia="zh-CN" w:bidi="ar"/>
        </w:rPr>
        <w:t>cell</w:t>
      </w:r>
      <w:r>
        <w:rPr>
          <w:rFonts w:hint="eastAsia" w:ascii="Times New Roman" w:hAnsi="Times New Roman" w:eastAsia="宋体" w:cs="Times New Roman"/>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L</w:t>
      </w:r>
      <w:r>
        <w:rPr>
          <w:rFonts w:hint="eastAsia" w:ascii="宋体" w:hAnsi="宋体" w:eastAsia="宋体" w:cs="宋体"/>
          <w:color w:val="0000FF"/>
          <w:kern w:val="0"/>
          <w:sz w:val="24"/>
          <w:szCs w:val="24"/>
          <w:lang w:val="en-US" w:eastAsia="zh-CN" w:bidi="ar"/>
        </w:rPr>
        <w:t>，绿藻</w:t>
      </w:r>
      <w:r>
        <w:rPr>
          <w:rFonts w:hint="eastAsia" w:ascii="Times New Roman" w:hAnsi="Times New Roman" w:eastAsia="宋体" w:cs="Times New Roman"/>
          <w:color w:val="0000FF"/>
          <w:kern w:val="0"/>
          <w:sz w:val="24"/>
          <w:szCs w:val="24"/>
          <w:lang w:val="en-US" w:eastAsia="zh-CN" w:bidi="ar"/>
        </w:rPr>
        <w:t>2.09</w:t>
      </w:r>
      <w:r>
        <w:rPr>
          <w:rFonts w:hint="default" w:ascii="Times New Roman" w:hAnsi="Times New Roman" w:eastAsia="宋体" w:cs="Times New Roman"/>
          <w:color w:val="0000FF"/>
          <w:kern w:val="0"/>
          <w:sz w:val="24"/>
          <w:szCs w:val="24"/>
          <w:lang w:val="en-US" w:eastAsia="zh-CN" w:bidi="ar"/>
        </w:rPr>
        <w:t>×10</w:t>
      </w:r>
      <w:r>
        <w:rPr>
          <w:rFonts w:hint="default" w:ascii="Times New Roman" w:hAnsi="Times New Roman" w:eastAsia="宋体" w:cs="Times New Roman"/>
          <w:color w:val="0000FF"/>
          <w:kern w:val="0"/>
          <w:sz w:val="24"/>
          <w:szCs w:val="24"/>
          <w:vertAlign w:val="superscript"/>
          <w:lang w:val="en-US" w:eastAsia="zh-CN" w:bidi="ar"/>
        </w:rPr>
        <w:t>6</w:t>
      </w:r>
      <w:r>
        <w:rPr>
          <w:rFonts w:hint="default" w:ascii="Times New Roman" w:hAnsi="Times New Roman" w:eastAsia="宋体" w:cs="Times New Roman"/>
          <w:color w:val="0000FF"/>
          <w:kern w:val="0"/>
          <w:sz w:val="24"/>
          <w:szCs w:val="24"/>
          <w:lang w:val="en-US" w:eastAsia="zh-CN" w:bidi="ar"/>
        </w:rPr>
        <w:t>cell</w:t>
      </w:r>
      <w:r>
        <w:rPr>
          <w:rFonts w:hint="eastAsia" w:ascii="Times New Roman" w:hAnsi="Times New Roman" w:eastAsia="宋体" w:cs="Times New Roman"/>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L</w:t>
      </w:r>
      <w:r>
        <w:rPr>
          <w:rFonts w:hint="eastAsia" w:ascii="宋体" w:hAnsi="宋体" w:eastAsia="宋体" w:cs="宋体"/>
          <w:color w:val="0000FF"/>
          <w:kern w:val="0"/>
          <w:sz w:val="24"/>
          <w:szCs w:val="24"/>
          <w:lang w:val="en-US" w:eastAsia="zh-CN" w:bidi="ar"/>
        </w:rPr>
        <w:t>，硅藻</w:t>
      </w:r>
      <w:r>
        <w:rPr>
          <w:rFonts w:hint="eastAsia" w:ascii="Times New Roman" w:hAnsi="Times New Roman" w:eastAsia="宋体" w:cs="Times New Roman"/>
          <w:color w:val="0000FF"/>
          <w:kern w:val="0"/>
          <w:sz w:val="24"/>
          <w:szCs w:val="24"/>
          <w:lang w:val="en-US" w:eastAsia="zh-CN" w:bidi="ar"/>
        </w:rPr>
        <w:t>3.4</w:t>
      </w:r>
      <w:r>
        <w:rPr>
          <w:rFonts w:hint="default" w:ascii="Times New Roman" w:hAnsi="Times New Roman" w:eastAsia="宋体" w:cs="Times New Roman"/>
          <w:color w:val="0000FF"/>
          <w:kern w:val="0"/>
          <w:sz w:val="24"/>
          <w:szCs w:val="24"/>
          <w:lang w:val="en-US" w:eastAsia="zh-CN" w:bidi="ar"/>
        </w:rPr>
        <w:t>×10</w:t>
      </w:r>
      <w:r>
        <w:rPr>
          <w:rFonts w:hint="default" w:ascii="Times New Roman" w:hAnsi="Times New Roman" w:eastAsia="宋体" w:cs="Times New Roman"/>
          <w:color w:val="0000FF"/>
          <w:kern w:val="0"/>
          <w:sz w:val="24"/>
          <w:szCs w:val="24"/>
          <w:vertAlign w:val="superscript"/>
          <w:lang w:val="en-US" w:eastAsia="zh-CN" w:bidi="ar"/>
        </w:rPr>
        <w:t>6</w:t>
      </w:r>
      <w:r>
        <w:rPr>
          <w:rFonts w:hint="default" w:ascii="Times New Roman" w:hAnsi="Times New Roman" w:eastAsia="宋体" w:cs="Times New Roman"/>
          <w:color w:val="0000FF"/>
          <w:kern w:val="0"/>
          <w:sz w:val="24"/>
          <w:szCs w:val="24"/>
          <w:lang w:val="en-US" w:eastAsia="zh-CN" w:bidi="ar"/>
        </w:rPr>
        <w:t>cell</w:t>
      </w:r>
      <w:r>
        <w:rPr>
          <w:rFonts w:hint="eastAsia" w:ascii="Times New Roman" w:hAnsi="Times New Roman" w:eastAsia="宋体" w:cs="Times New Roman"/>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L</w:t>
      </w:r>
      <w:r>
        <w:rPr>
          <w:rFonts w:hint="eastAsia" w:ascii="宋体" w:hAnsi="宋体" w:eastAsia="宋体" w:cs="宋体"/>
          <w:color w:val="0000FF"/>
          <w:kern w:val="0"/>
          <w:sz w:val="24"/>
          <w:szCs w:val="24"/>
          <w:lang w:val="en-US" w:eastAsia="zh-CN" w:bidi="ar"/>
        </w:rPr>
        <w:t>，隐藻</w:t>
      </w:r>
      <w:r>
        <w:rPr>
          <w:rFonts w:hint="default" w:ascii="Times New Roman" w:hAnsi="Times New Roman" w:eastAsia="宋体" w:cs="Times New Roman"/>
          <w:color w:val="0000FF"/>
          <w:kern w:val="0"/>
          <w:sz w:val="24"/>
          <w:szCs w:val="24"/>
          <w:lang w:val="en-US" w:eastAsia="zh-CN" w:bidi="ar"/>
        </w:rPr>
        <w:t>0.</w:t>
      </w:r>
      <w:r>
        <w:rPr>
          <w:rFonts w:hint="eastAsia" w:ascii="Times New Roman" w:hAnsi="Times New Roman" w:eastAsia="宋体" w:cs="Times New Roman"/>
          <w:color w:val="0000FF"/>
          <w:kern w:val="0"/>
          <w:sz w:val="24"/>
          <w:szCs w:val="24"/>
          <w:lang w:val="en-US" w:eastAsia="zh-CN" w:bidi="ar"/>
        </w:rPr>
        <w:t>54</w:t>
      </w:r>
      <w:r>
        <w:rPr>
          <w:rFonts w:hint="default" w:ascii="Times New Roman" w:hAnsi="Times New Roman" w:eastAsia="宋体" w:cs="Times New Roman"/>
          <w:color w:val="0000FF"/>
          <w:kern w:val="0"/>
          <w:sz w:val="24"/>
          <w:szCs w:val="24"/>
          <w:lang w:val="en-US" w:eastAsia="zh-CN" w:bidi="ar"/>
        </w:rPr>
        <w:t>×10</w:t>
      </w:r>
      <w:r>
        <w:rPr>
          <w:rFonts w:hint="default" w:ascii="Times New Roman" w:hAnsi="Times New Roman" w:eastAsia="宋体" w:cs="Times New Roman"/>
          <w:color w:val="0000FF"/>
          <w:kern w:val="0"/>
          <w:sz w:val="24"/>
          <w:szCs w:val="24"/>
          <w:vertAlign w:val="superscript"/>
          <w:lang w:val="en-US" w:eastAsia="zh-CN" w:bidi="ar"/>
        </w:rPr>
        <w:t>6</w:t>
      </w:r>
      <w:r>
        <w:rPr>
          <w:rFonts w:hint="default" w:ascii="Times New Roman" w:hAnsi="Times New Roman" w:eastAsia="宋体" w:cs="Times New Roman"/>
          <w:color w:val="0000FF"/>
          <w:kern w:val="0"/>
          <w:sz w:val="24"/>
          <w:szCs w:val="24"/>
          <w:lang w:val="en-US" w:eastAsia="zh-CN" w:bidi="ar"/>
        </w:rPr>
        <w:t>cell</w:t>
      </w:r>
      <w:r>
        <w:rPr>
          <w:rFonts w:hint="eastAsia" w:ascii="Times New Roman" w:hAnsi="Times New Roman" w:eastAsia="宋体" w:cs="Times New Roman"/>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L</w:t>
      </w:r>
      <w:r>
        <w:rPr>
          <w:rFonts w:hint="eastAsia" w:ascii="宋体" w:hAnsi="宋体" w:eastAsia="宋体" w:cs="宋体"/>
          <w:color w:val="0000FF"/>
          <w:kern w:val="0"/>
          <w:sz w:val="24"/>
          <w:szCs w:val="24"/>
          <w:lang w:val="en-US" w:eastAsia="zh-CN" w:bidi="ar"/>
        </w:rPr>
        <w:t>，甲藻</w:t>
      </w:r>
      <w:r>
        <w:rPr>
          <w:rFonts w:hint="default" w:ascii="Times New Roman" w:hAnsi="Times New Roman" w:eastAsia="宋体" w:cs="Times New Roman"/>
          <w:color w:val="0000FF"/>
          <w:kern w:val="0"/>
          <w:sz w:val="24"/>
          <w:szCs w:val="24"/>
          <w:lang w:val="en-US" w:eastAsia="zh-CN" w:bidi="ar"/>
        </w:rPr>
        <w:t>0.</w:t>
      </w:r>
      <w:r>
        <w:rPr>
          <w:rFonts w:hint="eastAsia" w:ascii="Times New Roman" w:hAnsi="Times New Roman" w:eastAsia="宋体" w:cs="Times New Roman"/>
          <w:color w:val="0000FF"/>
          <w:kern w:val="0"/>
          <w:sz w:val="24"/>
          <w:szCs w:val="24"/>
          <w:lang w:val="en-US" w:eastAsia="zh-CN" w:bidi="ar"/>
        </w:rPr>
        <w:t>29</w:t>
      </w:r>
      <w:r>
        <w:rPr>
          <w:rFonts w:hint="default" w:ascii="Times New Roman" w:hAnsi="Times New Roman" w:eastAsia="宋体" w:cs="Times New Roman"/>
          <w:color w:val="0000FF"/>
          <w:kern w:val="0"/>
          <w:sz w:val="24"/>
          <w:szCs w:val="24"/>
          <w:lang w:val="en-US" w:eastAsia="zh-CN" w:bidi="ar"/>
        </w:rPr>
        <w:t>×10</w:t>
      </w:r>
      <w:r>
        <w:rPr>
          <w:rFonts w:hint="default" w:ascii="Times New Roman" w:hAnsi="Times New Roman" w:eastAsia="宋体" w:cs="Times New Roman"/>
          <w:color w:val="0000FF"/>
          <w:kern w:val="0"/>
          <w:sz w:val="24"/>
          <w:szCs w:val="24"/>
          <w:vertAlign w:val="superscript"/>
          <w:lang w:val="en-US" w:eastAsia="zh-CN" w:bidi="ar"/>
        </w:rPr>
        <w:t>6</w:t>
      </w:r>
      <w:r>
        <w:rPr>
          <w:rFonts w:hint="default" w:ascii="Times New Roman" w:hAnsi="Times New Roman" w:eastAsia="宋体" w:cs="Times New Roman"/>
          <w:color w:val="0000FF"/>
          <w:kern w:val="0"/>
          <w:sz w:val="24"/>
          <w:szCs w:val="24"/>
          <w:lang w:val="en-US" w:eastAsia="zh-CN" w:bidi="ar"/>
        </w:rPr>
        <w:t>cell</w:t>
      </w:r>
      <w:r>
        <w:rPr>
          <w:rFonts w:hint="eastAsia" w:ascii="Times New Roman" w:hAnsi="Times New Roman" w:eastAsia="宋体" w:cs="Times New Roman"/>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L</w:t>
      </w:r>
      <w:r>
        <w:rPr>
          <w:rFonts w:hint="eastAsia" w:ascii="宋体" w:hAnsi="宋体" w:eastAsia="宋体" w:cs="宋体"/>
          <w:color w:val="0000FF"/>
          <w:kern w:val="0"/>
          <w:sz w:val="24"/>
          <w:szCs w:val="24"/>
          <w:lang w:val="en-US" w:eastAsia="zh-CN" w:bidi="ar"/>
        </w:rPr>
        <w:t>，金藻</w:t>
      </w:r>
      <w:r>
        <w:rPr>
          <w:rFonts w:hint="default" w:ascii="Times New Roman" w:hAnsi="Times New Roman" w:eastAsia="宋体" w:cs="Times New Roman"/>
          <w:color w:val="0000FF"/>
          <w:kern w:val="0"/>
          <w:sz w:val="24"/>
          <w:szCs w:val="24"/>
          <w:lang w:val="en-US" w:eastAsia="zh-CN" w:bidi="ar"/>
        </w:rPr>
        <w:t>0.</w:t>
      </w:r>
      <w:r>
        <w:rPr>
          <w:rFonts w:hint="eastAsia" w:ascii="Times New Roman" w:hAnsi="Times New Roman" w:eastAsia="宋体" w:cs="Times New Roman"/>
          <w:color w:val="0000FF"/>
          <w:kern w:val="0"/>
          <w:sz w:val="24"/>
          <w:szCs w:val="24"/>
          <w:lang w:val="en-US" w:eastAsia="zh-CN" w:bidi="ar"/>
        </w:rPr>
        <w:t>25</w:t>
      </w:r>
      <w:r>
        <w:rPr>
          <w:rFonts w:hint="default" w:ascii="Times New Roman" w:hAnsi="Times New Roman" w:eastAsia="宋体" w:cs="Times New Roman"/>
          <w:color w:val="0000FF"/>
          <w:kern w:val="0"/>
          <w:sz w:val="24"/>
          <w:szCs w:val="24"/>
          <w:lang w:val="en-US" w:eastAsia="zh-CN" w:bidi="ar"/>
        </w:rPr>
        <w:t>×10</w:t>
      </w:r>
      <w:r>
        <w:rPr>
          <w:rFonts w:hint="default" w:ascii="Times New Roman" w:hAnsi="Times New Roman" w:eastAsia="宋体" w:cs="Times New Roman"/>
          <w:color w:val="0000FF"/>
          <w:kern w:val="0"/>
          <w:sz w:val="24"/>
          <w:szCs w:val="24"/>
          <w:vertAlign w:val="superscript"/>
          <w:lang w:val="en-US" w:eastAsia="zh-CN" w:bidi="ar"/>
        </w:rPr>
        <w:t>6</w:t>
      </w:r>
      <w:r>
        <w:rPr>
          <w:rFonts w:hint="default" w:ascii="Times New Roman" w:hAnsi="Times New Roman" w:eastAsia="宋体" w:cs="Times New Roman"/>
          <w:color w:val="0000FF"/>
          <w:kern w:val="0"/>
          <w:sz w:val="24"/>
          <w:szCs w:val="24"/>
          <w:lang w:val="en-US" w:eastAsia="zh-CN" w:bidi="ar"/>
        </w:rPr>
        <w:t>cell</w:t>
      </w:r>
      <w:r>
        <w:rPr>
          <w:rFonts w:hint="eastAsia" w:ascii="Times New Roman" w:hAnsi="Times New Roman" w:eastAsia="宋体" w:cs="Times New Roman"/>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L</w:t>
      </w:r>
      <w:r>
        <w:rPr>
          <w:rFonts w:hint="eastAsia" w:ascii="宋体" w:hAnsi="宋体" w:eastAsia="宋体" w:cs="宋体"/>
          <w:color w:val="0000FF"/>
          <w:kern w:val="0"/>
          <w:sz w:val="24"/>
          <w:szCs w:val="24"/>
          <w:lang w:val="en-US" w:eastAsia="zh-CN" w:bidi="ar"/>
        </w:rPr>
        <w:t>；总生物量为</w:t>
      </w:r>
      <w:r>
        <w:rPr>
          <w:rFonts w:hint="eastAsia" w:ascii="Times New Roman" w:hAnsi="Times New Roman" w:eastAsia="宋体" w:cs="Times New Roman"/>
          <w:color w:val="0000FF"/>
          <w:kern w:val="0"/>
          <w:sz w:val="24"/>
          <w:szCs w:val="24"/>
          <w:lang w:val="en-US" w:eastAsia="zh-CN" w:bidi="ar"/>
        </w:rPr>
        <w:t>4.86</w:t>
      </w:r>
      <w:r>
        <w:rPr>
          <w:rFonts w:hint="default" w:ascii="Times New Roman" w:hAnsi="Times New Roman" w:eastAsia="宋体" w:cs="Times New Roman"/>
          <w:color w:val="0000FF"/>
          <w:kern w:val="0"/>
          <w:sz w:val="24"/>
          <w:szCs w:val="24"/>
          <w:lang w:val="en-US" w:eastAsia="zh-CN" w:bidi="ar"/>
        </w:rPr>
        <w:t>mg</w:t>
      </w:r>
      <w:r>
        <w:rPr>
          <w:rFonts w:hint="eastAsia" w:ascii="Times New Roman" w:hAnsi="Times New Roman" w:eastAsia="宋体" w:cs="Times New Roman"/>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L</w:t>
      </w:r>
      <w:r>
        <w:rPr>
          <w:rFonts w:hint="eastAsia" w:ascii="宋体" w:hAnsi="宋体" w:eastAsia="宋体" w:cs="宋体"/>
          <w:color w:val="0000FF"/>
          <w:kern w:val="0"/>
          <w:sz w:val="24"/>
          <w:szCs w:val="24"/>
          <w:lang w:val="en-US" w:eastAsia="zh-CN" w:bidi="ar"/>
        </w:rPr>
        <w:t>（湿重），其中绿藻</w:t>
      </w:r>
      <w:r>
        <w:rPr>
          <w:rFonts w:hint="default" w:ascii="Times New Roman" w:hAnsi="Times New Roman" w:eastAsia="宋体" w:cs="Times New Roman"/>
          <w:color w:val="0000FF"/>
          <w:kern w:val="0"/>
          <w:sz w:val="24"/>
          <w:szCs w:val="24"/>
          <w:lang w:val="en-US" w:eastAsia="zh-CN" w:bidi="ar"/>
        </w:rPr>
        <w:t>0.58mg</w:t>
      </w:r>
      <w:r>
        <w:rPr>
          <w:rFonts w:hint="eastAsia" w:ascii="Times New Roman" w:hAnsi="Times New Roman" w:eastAsia="宋体" w:cs="Times New Roman"/>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L</w:t>
      </w:r>
      <w:r>
        <w:rPr>
          <w:rFonts w:hint="eastAsia" w:ascii="宋体" w:hAnsi="宋体" w:eastAsia="宋体" w:cs="宋体"/>
          <w:color w:val="0000FF"/>
          <w:kern w:val="0"/>
          <w:sz w:val="24"/>
          <w:szCs w:val="24"/>
          <w:lang w:val="en-US" w:eastAsia="zh-CN" w:bidi="ar"/>
        </w:rPr>
        <w:t>，硅藻</w:t>
      </w:r>
      <w:r>
        <w:rPr>
          <w:rFonts w:hint="default" w:ascii="Times New Roman" w:hAnsi="Times New Roman" w:eastAsia="宋体" w:cs="Times New Roman"/>
          <w:color w:val="0000FF"/>
          <w:kern w:val="0"/>
          <w:sz w:val="24"/>
          <w:szCs w:val="24"/>
          <w:lang w:val="en-US" w:eastAsia="zh-CN" w:bidi="ar"/>
        </w:rPr>
        <w:t>1.49mg</w:t>
      </w:r>
      <w:r>
        <w:rPr>
          <w:rFonts w:hint="eastAsia" w:ascii="Times New Roman" w:hAnsi="Times New Roman" w:eastAsia="宋体" w:cs="Times New Roman"/>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L</w:t>
      </w:r>
      <w:r>
        <w:rPr>
          <w:rFonts w:hint="eastAsia" w:ascii="宋体" w:hAnsi="宋体" w:eastAsia="宋体" w:cs="宋体"/>
          <w:color w:val="0000FF"/>
          <w:kern w:val="0"/>
          <w:sz w:val="24"/>
          <w:szCs w:val="24"/>
          <w:lang w:val="en-US" w:eastAsia="zh-CN" w:bidi="ar"/>
        </w:rPr>
        <w:t>，隐藻</w:t>
      </w:r>
      <w:r>
        <w:rPr>
          <w:rFonts w:hint="default" w:ascii="Times New Roman" w:hAnsi="Times New Roman" w:eastAsia="宋体" w:cs="Times New Roman"/>
          <w:color w:val="0000FF"/>
          <w:kern w:val="0"/>
          <w:sz w:val="24"/>
          <w:szCs w:val="24"/>
          <w:lang w:val="en-US" w:eastAsia="zh-CN" w:bidi="ar"/>
        </w:rPr>
        <w:t>0.07mg</w:t>
      </w:r>
      <w:r>
        <w:rPr>
          <w:rFonts w:hint="eastAsia" w:ascii="Times New Roman" w:hAnsi="Times New Roman" w:eastAsia="宋体" w:cs="Times New Roman"/>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L</w:t>
      </w:r>
      <w:r>
        <w:rPr>
          <w:rFonts w:hint="eastAsia" w:ascii="宋体" w:hAnsi="宋体" w:eastAsia="宋体" w:cs="宋体"/>
          <w:color w:val="0000FF"/>
          <w:kern w:val="0"/>
          <w:sz w:val="24"/>
          <w:szCs w:val="24"/>
          <w:lang w:val="en-US" w:eastAsia="zh-CN" w:bidi="ar"/>
        </w:rPr>
        <w:t>，甲藻</w:t>
      </w:r>
      <w:r>
        <w:rPr>
          <w:rFonts w:hint="default" w:ascii="Times New Roman" w:hAnsi="Times New Roman" w:eastAsia="宋体" w:cs="Times New Roman"/>
          <w:color w:val="0000FF"/>
          <w:kern w:val="0"/>
          <w:sz w:val="24"/>
          <w:szCs w:val="24"/>
          <w:lang w:val="en-US" w:eastAsia="zh-CN" w:bidi="ar"/>
        </w:rPr>
        <w:t>1.54mg</w:t>
      </w:r>
      <w:r>
        <w:rPr>
          <w:rFonts w:hint="eastAsia" w:ascii="Times New Roman" w:hAnsi="Times New Roman" w:eastAsia="宋体" w:cs="Times New Roman"/>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L</w:t>
      </w:r>
      <w:r>
        <w:rPr>
          <w:rFonts w:hint="eastAsia" w:ascii="宋体" w:hAnsi="宋体" w:eastAsia="宋体" w:cs="宋体"/>
          <w:color w:val="0000FF"/>
          <w:kern w:val="0"/>
          <w:sz w:val="24"/>
          <w:szCs w:val="24"/>
          <w:lang w:val="en-US" w:eastAsia="zh-CN" w:bidi="ar"/>
        </w:rPr>
        <w:t>，金藻</w:t>
      </w:r>
      <w:r>
        <w:rPr>
          <w:rFonts w:hint="default" w:ascii="Times New Roman" w:hAnsi="Times New Roman" w:eastAsia="宋体" w:cs="Times New Roman"/>
          <w:color w:val="0000FF"/>
          <w:kern w:val="0"/>
          <w:sz w:val="24"/>
          <w:szCs w:val="24"/>
          <w:lang w:val="en-US" w:eastAsia="zh-CN" w:bidi="ar"/>
        </w:rPr>
        <w:t>0.003mg</w:t>
      </w:r>
      <w:r>
        <w:rPr>
          <w:rFonts w:hint="eastAsia" w:ascii="Times New Roman" w:hAnsi="Times New Roman" w:eastAsia="宋体" w:cs="Times New Roman"/>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L</w:t>
      </w:r>
      <w:r>
        <w:rPr>
          <w:rFonts w:hint="eastAsia" w:ascii="宋体" w:hAnsi="宋体" w:eastAsia="宋体" w:cs="宋体"/>
          <w:color w:val="0000FF"/>
          <w:kern w:val="0"/>
          <w:sz w:val="24"/>
          <w:szCs w:val="24"/>
          <w:lang w:val="en-US" w:eastAsia="zh-CN" w:bidi="ar"/>
        </w:rPr>
        <w:t>。</w:t>
      </w:r>
    </w:p>
    <w:p>
      <w:pPr>
        <w:keepNext w:val="0"/>
        <w:keepLines w:val="0"/>
        <w:widowControl/>
        <w:suppressLineNumbers w:val="0"/>
        <w:jc w:val="left"/>
        <w:rPr>
          <w:color w:val="0000FF"/>
        </w:rPr>
      </w:pPr>
      <w:r>
        <w:rPr>
          <w:rFonts w:hint="eastAsia" w:ascii="宋体" w:hAnsi="宋体" w:eastAsia="宋体" w:cs="宋体"/>
          <w:color w:val="0000FF"/>
          <w:kern w:val="0"/>
          <w:sz w:val="24"/>
          <w:szCs w:val="24"/>
          <w:lang w:val="en-US" w:eastAsia="zh-CN" w:bidi="ar"/>
        </w:rPr>
        <w:t>从数量上排序为硅藻门</w:t>
      </w:r>
      <w:r>
        <w:rPr>
          <w:rFonts w:hint="default" w:ascii="Times New Roman" w:hAnsi="Times New Roman" w:eastAsia="宋体" w:cs="Times New Roman"/>
          <w:color w:val="0000FF"/>
          <w:kern w:val="0"/>
          <w:sz w:val="24"/>
          <w:szCs w:val="24"/>
          <w:lang w:val="en-US" w:eastAsia="zh-CN" w:bidi="ar"/>
        </w:rPr>
        <w:t>&gt;</w:t>
      </w:r>
      <w:r>
        <w:rPr>
          <w:rFonts w:hint="eastAsia" w:ascii="宋体" w:hAnsi="宋体" w:eastAsia="宋体" w:cs="宋体"/>
          <w:color w:val="0000FF"/>
          <w:kern w:val="0"/>
          <w:sz w:val="24"/>
          <w:szCs w:val="24"/>
          <w:lang w:val="en-US" w:eastAsia="zh-CN" w:bidi="ar"/>
        </w:rPr>
        <w:t>绿藻门</w:t>
      </w:r>
      <w:r>
        <w:rPr>
          <w:rFonts w:hint="default" w:ascii="Times New Roman" w:hAnsi="Times New Roman" w:eastAsia="宋体" w:cs="Times New Roman"/>
          <w:color w:val="0000FF"/>
          <w:kern w:val="0"/>
          <w:sz w:val="24"/>
          <w:szCs w:val="24"/>
          <w:lang w:val="en-US" w:eastAsia="zh-CN" w:bidi="ar"/>
        </w:rPr>
        <w:t>&gt;</w:t>
      </w:r>
      <w:r>
        <w:rPr>
          <w:rFonts w:hint="eastAsia" w:ascii="宋体" w:hAnsi="宋体" w:eastAsia="宋体" w:cs="宋体"/>
          <w:color w:val="0000FF"/>
          <w:kern w:val="0"/>
          <w:sz w:val="24"/>
          <w:szCs w:val="24"/>
          <w:lang w:val="en-US" w:eastAsia="zh-CN" w:bidi="ar"/>
        </w:rPr>
        <w:t>隐藻门</w:t>
      </w:r>
      <w:r>
        <w:rPr>
          <w:rFonts w:hint="default" w:ascii="Times New Roman" w:hAnsi="Times New Roman" w:eastAsia="宋体" w:cs="Times New Roman"/>
          <w:color w:val="0000FF"/>
          <w:kern w:val="0"/>
          <w:sz w:val="24"/>
          <w:szCs w:val="24"/>
          <w:lang w:val="en-US" w:eastAsia="zh-CN" w:bidi="ar"/>
        </w:rPr>
        <w:t>&gt;</w:t>
      </w:r>
      <w:r>
        <w:rPr>
          <w:rFonts w:hint="eastAsia" w:ascii="宋体" w:hAnsi="宋体" w:eastAsia="宋体" w:cs="宋体"/>
          <w:color w:val="0000FF"/>
          <w:kern w:val="0"/>
          <w:sz w:val="24"/>
          <w:szCs w:val="24"/>
          <w:lang w:val="en-US" w:eastAsia="zh-CN" w:bidi="ar"/>
        </w:rPr>
        <w:t>甲藻门</w:t>
      </w:r>
      <w:r>
        <w:rPr>
          <w:rFonts w:hint="default" w:ascii="Times New Roman" w:hAnsi="Times New Roman" w:eastAsia="宋体" w:cs="Times New Roman"/>
          <w:color w:val="0000FF"/>
          <w:kern w:val="0"/>
          <w:sz w:val="24"/>
          <w:szCs w:val="24"/>
          <w:lang w:val="en-US" w:eastAsia="zh-CN" w:bidi="ar"/>
        </w:rPr>
        <w:t>&gt;</w:t>
      </w:r>
      <w:r>
        <w:rPr>
          <w:rFonts w:hint="eastAsia" w:ascii="宋体" w:hAnsi="宋体" w:eastAsia="宋体" w:cs="宋体"/>
          <w:color w:val="0000FF"/>
          <w:kern w:val="0"/>
          <w:sz w:val="24"/>
          <w:szCs w:val="24"/>
          <w:lang w:val="en-US" w:eastAsia="zh-CN" w:bidi="ar"/>
        </w:rPr>
        <w:t>金藻门；从生物量上排序为甲藻门</w:t>
      </w:r>
      <w:r>
        <w:rPr>
          <w:rFonts w:hint="default" w:ascii="Times New Roman" w:hAnsi="Times New Roman" w:eastAsia="宋体" w:cs="Times New Roman"/>
          <w:color w:val="0000FF"/>
          <w:kern w:val="0"/>
          <w:sz w:val="24"/>
          <w:szCs w:val="24"/>
          <w:lang w:val="en-US" w:eastAsia="zh-CN" w:bidi="ar"/>
        </w:rPr>
        <w:t>&gt;</w:t>
      </w:r>
      <w:r>
        <w:rPr>
          <w:rFonts w:hint="eastAsia" w:ascii="宋体" w:hAnsi="宋体" w:eastAsia="宋体" w:cs="宋体"/>
          <w:color w:val="0000FF"/>
          <w:kern w:val="0"/>
          <w:sz w:val="24"/>
          <w:szCs w:val="24"/>
          <w:lang w:val="en-US" w:eastAsia="zh-CN" w:bidi="ar"/>
        </w:rPr>
        <w:t>硅藻门</w:t>
      </w:r>
      <w:r>
        <w:rPr>
          <w:rFonts w:hint="default" w:ascii="Times New Roman" w:hAnsi="Times New Roman" w:eastAsia="宋体" w:cs="Times New Roman"/>
          <w:color w:val="0000FF"/>
          <w:kern w:val="0"/>
          <w:sz w:val="24"/>
          <w:szCs w:val="24"/>
          <w:lang w:val="en-US" w:eastAsia="zh-CN" w:bidi="ar"/>
        </w:rPr>
        <w:t>&gt;</w:t>
      </w:r>
      <w:r>
        <w:rPr>
          <w:rFonts w:hint="eastAsia" w:ascii="宋体" w:hAnsi="宋体" w:eastAsia="宋体" w:cs="宋体"/>
          <w:color w:val="0000FF"/>
          <w:kern w:val="0"/>
          <w:sz w:val="24"/>
          <w:szCs w:val="24"/>
          <w:lang w:val="en-US" w:eastAsia="zh-CN" w:bidi="ar"/>
        </w:rPr>
        <w:t>绿藻门</w:t>
      </w:r>
      <w:r>
        <w:rPr>
          <w:rFonts w:hint="default" w:ascii="Times New Roman" w:hAnsi="Times New Roman" w:eastAsia="宋体" w:cs="Times New Roman"/>
          <w:color w:val="0000FF"/>
          <w:kern w:val="0"/>
          <w:sz w:val="24"/>
          <w:szCs w:val="24"/>
          <w:lang w:val="en-US" w:eastAsia="zh-CN" w:bidi="ar"/>
        </w:rPr>
        <w:t>&gt;</w:t>
      </w:r>
      <w:r>
        <w:rPr>
          <w:rFonts w:hint="eastAsia" w:ascii="宋体" w:hAnsi="宋体" w:eastAsia="宋体" w:cs="宋体"/>
          <w:color w:val="0000FF"/>
          <w:kern w:val="0"/>
          <w:sz w:val="24"/>
          <w:szCs w:val="24"/>
          <w:lang w:val="en-US" w:eastAsia="zh-CN" w:bidi="ar"/>
        </w:rPr>
        <w:t>隐藻门</w:t>
      </w:r>
      <w:r>
        <w:rPr>
          <w:rFonts w:hint="default" w:ascii="Times New Roman" w:hAnsi="Times New Roman" w:eastAsia="宋体" w:cs="Times New Roman"/>
          <w:color w:val="0000FF"/>
          <w:kern w:val="0"/>
          <w:sz w:val="24"/>
          <w:szCs w:val="24"/>
          <w:lang w:val="en-US" w:eastAsia="zh-CN" w:bidi="ar"/>
        </w:rPr>
        <w:t>&gt;</w:t>
      </w:r>
      <w:r>
        <w:rPr>
          <w:rFonts w:hint="eastAsia" w:ascii="宋体" w:hAnsi="宋体" w:eastAsia="宋体" w:cs="宋体"/>
          <w:color w:val="0000FF"/>
          <w:kern w:val="0"/>
          <w:sz w:val="24"/>
          <w:szCs w:val="24"/>
          <w:lang w:val="en-US" w:eastAsia="zh-CN" w:bidi="ar"/>
        </w:rPr>
        <w:t>金藻门。</w:t>
      </w:r>
    </w:p>
    <w:p>
      <w:pPr>
        <w:keepNext w:val="0"/>
        <w:keepLines w:val="0"/>
        <w:widowControl/>
        <w:suppressLineNumbers w:val="0"/>
        <w:jc w:val="left"/>
        <w:rPr>
          <w:color w:val="0000FF"/>
        </w:rPr>
      </w:pPr>
      <w:r>
        <w:rPr>
          <w:rFonts w:hint="eastAsia" w:ascii="宋体" w:hAnsi="宋体" w:eastAsia="宋体" w:cs="宋体"/>
          <w:b/>
          <w:bCs/>
          <w:color w:val="0000FF"/>
          <w:kern w:val="0"/>
          <w:sz w:val="24"/>
          <w:szCs w:val="24"/>
          <w:lang w:val="en-US" w:eastAsia="zh-CN" w:bidi="ar"/>
        </w:rPr>
        <w:t>（3）</w:t>
      </w:r>
      <w:r>
        <w:rPr>
          <w:rFonts w:hint="eastAsia" w:ascii="宋体" w:hAnsi="宋体" w:eastAsia="宋体" w:cs="宋体"/>
          <w:color w:val="0000FF"/>
          <w:kern w:val="0"/>
          <w:sz w:val="24"/>
          <w:szCs w:val="24"/>
          <w:lang w:val="en-US" w:eastAsia="zh-CN" w:bidi="ar"/>
        </w:rPr>
        <w:t>浮游植物的现状评价</w:t>
      </w:r>
    </w:p>
    <w:p>
      <w:pPr>
        <w:keepNext w:val="0"/>
        <w:keepLines w:val="0"/>
        <w:widowControl/>
        <w:suppressLineNumbers w:val="0"/>
        <w:jc w:val="left"/>
        <w:rPr>
          <w:color w:val="0000FF"/>
        </w:rPr>
      </w:pPr>
      <w:r>
        <w:rPr>
          <w:rFonts w:hint="eastAsia" w:ascii="宋体" w:hAnsi="宋体" w:eastAsia="宋体" w:cs="宋体"/>
          <w:color w:val="0000FF"/>
          <w:kern w:val="0"/>
          <w:sz w:val="24"/>
          <w:szCs w:val="24"/>
          <w:lang w:val="en-US" w:eastAsia="zh-CN" w:bidi="ar"/>
        </w:rPr>
        <w:t>根据采样、鉴定和分析，评价区域河段内的浮游植物种类组成复杂，浮游植物以硅藻门和绿藻门的种类最多，蓝藻门、隐藻门、甲藻门和金藻门的种类较少。从每个采样断面上看，各个采样点主要以硅藻门和绿藻门种类居多。</w:t>
      </w:r>
    </w:p>
    <w:p>
      <w:pPr>
        <w:keepNext w:val="0"/>
        <w:keepLines w:val="0"/>
        <w:widowControl/>
        <w:suppressLineNumbers w:val="0"/>
        <w:jc w:val="left"/>
        <w:rPr>
          <w:color w:val="0000FF"/>
        </w:rPr>
      </w:pPr>
      <w:r>
        <w:rPr>
          <w:rFonts w:hint="eastAsia" w:ascii="宋体" w:hAnsi="宋体" w:eastAsia="宋体" w:cs="宋体"/>
          <w:color w:val="0000FF"/>
          <w:kern w:val="0"/>
          <w:sz w:val="24"/>
          <w:szCs w:val="24"/>
          <w:lang w:val="en-US" w:eastAsia="zh-CN" w:bidi="ar"/>
        </w:rPr>
        <w:t>水体中的浮游植物作为初级生产者，在水生生态系统中起着重要作用，可以为浮游动物及鱼类提供饵料来源，会直接影响食物链下端的物种数量和种类；本次采集样品中仅发现藻类植物</w:t>
      </w:r>
      <w:r>
        <w:rPr>
          <w:rFonts w:hint="eastAsia" w:ascii="Times New Roman" w:hAnsi="Times New Roman" w:eastAsia="宋体" w:cs="Times New Roman"/>
          <w:color w:val="0000FF"/>
          <w:kern w:val="0"/>
          <w:sz w:val="24"/>
          <w:szCs w:val="24"/>
          <w:lang w:val="en-US" w:eastAsia="zh-CN" w:bidi="ar"/>
        </w:rPr>
        <w:t>35</w:t>
      </w:r>
      <w:r>
        <w:rPr>
          <w:rFonts w:hint="eastAsia" w:ascii="宋体" w:hAnsi="宋体" w:eastAsia="宋体" w:cs="宋体"/>
          <w:color w:val="0000FF"/>
          <w:kern w:val="0"/>
          <w:sz w:val="24"/>
          <w:szCs w:val="24"/>
          <w:lang w:val="en-US" w:eastAsia="zh-CN" w:bidi="ar"/>
        </w:rPr>
        <w:t>种，表明本评价河段内藻类植物种类少。结合种类组成、数量和生物量看，本评价区域五个采样断面的浮游植物在种类数量上硅藻和绿藻为主，蓝藻数量较少。</w:t>
      </w:r>
    </w:p>
    <w:p>
      <w:pPr>
        <w:keepNext w:val="0"/>
        <w:keepLines w:val="0"/>
        <w:widowControl/>
        <w:suppressLineNumbers w:val="0"/>
        <w:jc w:val="left"/>
        <w:rPr>
          <w:rFonts w:hint="eastAsia" w:ascii="宋体" w:hAnsi="宋体" w:eastAsia="宋体" w:cs="宋体"/>
          <w:b/>
          <w:bCs/>
          <w:color w:val="0000FF"/>
          <w:kern w:val="0"/>
          <w:sz w:val="24"/>
          <w:szCs w:val="24"/>
          <w:lang w:val="en-US" w:eastAsia="zh-CN" w:bidi="ar"/>
        </w:rPr>
      </w:pPr>
      <w:r>
        <w:rPr>
          <w:rFonts w:hint="eastAsia" w:ascii="宋体" w:hAnsi="宋体" w:eastAsia="宋体" w:cs="宋体"/>
          <w:b/>
          <w:bCs/>
          <w:color w:val="0000FF"/>
          <w:kern w:val="0"/>
          <w:sz w:val="24"/>
          <w:szCs w:val="24"/>
          <w:lang w:val="en-US" w:eastAsia="zh-CN" w:bidi="ar"/>
        </w:rPr>
        <w:t>四、浮游动物现状</w:t>
      </w:r>
    </w:p>
    <w:p>
      <w:pPr>
        <w:keepNext w:val="0"/>
        <w:keepLines w:val="0"/>
        <w:widowControl/>
        <w:suppressLineNumbers w:val="0"/>
        <w:jc w:val="left"/>
        <w:rPr>
          <w:rFonts w:hint="eastAsia" w:eastAsia="宋体"/>
          <w:color w:val="0000FF"/>
          <w:lang w:eastAsia="zh-CN"/>
        </w:rPr>
      </w:pPr>
      <w:r>
        <w:rPr>
          <w:rFonts w:hint="eastAsia" w:ascii="宋体" w:hAnsi="宋体" w:eastAsia="宋体" w:cs="宋体"/>
          <w:color w:val="0000FF"/>
          <w:kern w:val="0"/>
          <w:sz w:val="24"/>
          <w:szCs w:val="24"/>
          <w:lang w:val="en-US" w:eastAsia="zh-CN" w:bidi="ar"/>
        </w:rPr>
        <w:t>通过对四个采样断面浮游动物定性、定量样品的室内鉴定，其现状如下：此次调查检测出四个采样断面有浮游动物共</w:t>
      </w:r>
      <w:r>
        <w:rPr>
          <w:rFonts w:hint="default" w:ascii="Times New Roman" w:hAnsi="Times New Roman" w:eastAsia="宋体" w:cs="Times New Roman"/>
          <w:color w:val="0000FF"/>
          <w:kern w:val="0"/>
          <w:sz w:val="24"/>
          <w:szCs w:val="24"/>
          <w:lang w:val="en-US" w:eastAsia="zh-CN" w:bidi="ar"/>
        </w:rPr>
        <w:t>28</w:t>
      </w:r>
      <w:r>
        <w:rPr>
          <w:rFonts w:hint="eastAsia" w:ascii="宋体" w:hAnsi="宋体" w:eastAsia="宋体" w:cs="宋体"/>
          <w:color w:val="0000FF"/>
          <w:kern w:val="0"/>
          <w:sz w:val="24"/>
          <w:szCs w:val="24"/>
          <w:lang w:val="en-US" w:eastAsia="zh-CN" w:bidi="ar"/>
        </w:rPr>
        <w:t>种。其中原生动物门</w:t>
      </w:r>
      <w:r>
        <w:rPr>
          <w:rFonts w:hint="default" w:ascii="Times New Roman" w:hAnsi="Times New Roman" w:eastAsia="宋体" w:cs="Times New Roman"/>
          <w:color w:val="0000FF"/>
          <w:kern w:val="0"/>
          <w:sz w:val="24"/>
          <w:szCs w:val="24"/>
          <w:lang w:val="en-US" w:eastAsia="zh-CN" w:bidi="ar"/>
        </w:rPr>
        <w:t>7</w:t>
      </w:r>
      <w:r>
        <w:rPr>
          <w:rFonts w:hint="eastAsia" w:ascii="宋体" w:hAnsi="宋体" w:eastAsia="宋体" w:cs="宋体"/>
          <w:color w:val="0000FF"/>
          <w:kern w:val="0"/>
          <w:sz w:val="24"/>
          <w:szCs w:val="24"/>
          <w:lang w:val="en-US" w:eastAsia="zh-CN" w:bidi="ar"/>
        </w:rPr>
        <w:t>种，轮虫类</w:t>
      </w:r>
      <w:r>
        <w:rPr>
          <w:rFonts w:hint="default" w:ascii="Times New Roman" w:hAnsi="Times New Roman" w:eastAsia="宋体" w:cs="Times New Roman"/>
          <w:color w:val="0000FF"/>
          <w:kern w:val="0"/>
          <w:sz w:val="24"/>
          <w:szCs w:val="24"/>
          <w:lang w:val="en-US" w:eastAsia="zh-CN" w:bidi="ar"/>
        </w:rPr>
        <w:t>15</w:t>
      </w:r>
      <w:r>
        <w:rPr>
          <w:rFonts w:hint="eastAsia" w:ascii="宋体" w:hAnsi="宋体" w:eastAsia="宋体" w:cs="宋体"/>
          <w:color w:val="0000FF"/>
          <w:kern w:val="0"/>
          <w:sz w:val="24"/>
          <w:szCs w:val="24"/>
          <w:lang w:val="en-US" w:eastAsia="zh-CN" w:bidi="ar"/>
        </w:rPr>
        <w:t>种，枝角类</w:t>
      </w:r>
      <w:r>
        <w:rPr>
          <w:rFonts w:hint="default" w:ascii="Times New Roman" w:hAnsi="Times New Roman" w:eastAsia="宋体" w:cs="Times New Roman"/>
          <w:color w:val="0000FF"/>
          <w:kern w:val="0"/>
          <w:sz w:val="24"/>
          <w:szCs w:val="24"/>
          <w:lang w:val="en-US" w:eastAsia="zh-CN" w:bidi="ar"/>
        </w:rPr>
        <w:t>3</w:t>
      </w:r>
      <w:r>
        <w:rPr>
          <w:rFonts w:hint="eastAsia" w:ascii="宋体" w:hAnsi="宋体" w:eastAsia="宋体" w:cs="宋体"/>
          <w:color w:val="0000FF"/>
          <w:kern w:val="0"/>
          <w:sz w:val="24"/>
          <w:szCs w:val="24"/>
          <w:lang w:val="en-US" w:eastAsia="zh-CN" w:bidi="ar"/>
        </w:rPr>
        <w:t>种，桡足类</w:t>
      </w:r>
      <w:r>
        <w:rPr>
          <w:rFonts w:hint="default" w:ascii="Times New Roman" w:hAnsi="Times New Roman" w:eastAsia="宋体" w:cs="Times New Roman"/>
          <w:color w:val="0000FF"/>
          <w:kern w:val="0"/>
          <w:sz w:val="24"/>
          <w:szCs w:val="24"/>
          <w:lang w:val="en-US" w:eastAsia="zh-CN" w:bidi="ar"/>
        </w:rPr>
        <w:t>3</w:t>
      </w:r>
      <w:r>
        <w:rPr>
          <w:rFonts w:hint="eastAsia" w:ascii="宋体" w:hAnsi="宋体" w:eastAsia="宋体" w:cs="宋体"/>
          <w:color w:val="0000FF"/>
          <w:kern w:val="0"/>
          <w:sz w:val="24"/>
          <w:szCs w:val="24"/>
          <w:lang w:val="en-US" w:eastAsia="zh-CN" w:bidi="ar"/>
        </w:rPr>
        <w:t>种，表明本评价区域河段内浮游动物种类比较丰富</w:t>
      </w:r>
      <w:r>
        <w:rPr>
          <w:rFonts w:hint="eastAsia" w:eastAsia="宋体"/>
          <w:color w:val="0000FF"/>
          <w:lang w:eastAsia="zh-CN"/>
        </w:rPr>
        <w:t>。</w:t>
      </w:r>
    </w:p>
    <w:p>
      <w:pPr>
        <w:keepNext w:val="0"/>
        <w:keepLines w:val="0"/>
        <w:widowControl/>
        <w:suppressLineNumbers w:val="0"/>
        <w:jc w:val="left"/>
        <w:rPr>
          <w:rFonts w:hint="eastAsia"/>
          <w:color w:val="0000FF"/>
          <w:lang w:val="en-US" w:eastAsia="zh-CN"/>
        </w:rPr>
      </w:pPr>
      <w:r>
        <w:rPr>
          <w:rFonts w:hint="eastAsia" w:ascii="宋体" w:hAnsi="宋体" w:eastAsia="宋体" w:cs="宋体"/>
          <w:color w:val="0000FF"/>
          <w:kern w:val="0"/>
          <w:sz w:val="24"/>
          <w:szCs w:val="24"/>
          <w:lang w:val="en-US" w:eastAsia="zh-CN" w:bidi="ar"/>
        </w:rPr>
        <w:t>浮游动物以浮游藻类为食，但同时其也有是部分鱼类的饵料来源；因此其种类的相对丰富，直接影响食物链下端的物种，即鱼类的数量和种类，这使得本评价区域水库内的鱼类种类和数量均相对较多。</w:t>
      </w:r>
    </w:p>
    <w:p>
      <w:pPr>
        <w:rPr>
          <w:rFonts w:hint="default"/>
          <w:color w:val="0000FF"/>
          <w:lang w:val="en-US" w:eastAsia="zh-CN"/>
        </w:rPr>
      </w:pPr>
      <w:r>
        <w:rPr>
          <w:rFonts w:hint="eastAsia" w:ascii="宋体" w:hAnsi="宋体" w:eastAsia="宋体" w:cs="宋体"/>
          <w:b/>
          <w:bCs/>
          <w:color w:val="0000FF"/>
          <w:kern w:val="0"/>
          <w:sz w:val="24"/>
          <w:szCs w:val="24"/>
          <w:lang w:val="en-US" w:eastAsia="zh-CN" w:bidi="ar"/>
        </w:rPr>
        <w:t>五、底栖动物现状</w:t>
      </w:r>
    </w:p>
    <w:p>
      <w:pPr>
        <w:keepNext w:val="0"/>
        <w:keepLines w:val="0"/>
        <w:widowControl/>
        <w:suppressLineNumbers w:val="0"/>
        <w:jc w:val="left"/>
        <w:rPr>
          <w:color w:val="0000FF"/>
        </w:rPr>
      </w:pPr>
      <w:r>
        <w:rPr>
          <w:rFonts w:hint="eastAsia" w:ascii="宋体" w:hAnsi="宋体" w:eastAsia="宋体" w:cs="宋体"/>
          <w:color w:val="0000FF"/>
          <w:kern w:val="0"/>
          <w:sz w:val="24"/>
          <w:szCs w:val="24"/>
          <w:lang w:val="en-US" w:eastAsia="zh-CN" w:bidi="ar"/>
        </w:rPr>
        <w:t>通过对四个采样断面底栖动物定性、定量样品的室内鉴定，其现状如下：</w:t>
      </w:r>
    </w:p>
    <w:p>
      <w:pPr>
        <w:keepNext w:val="0"/>
        <w:keepLines w:val="0"/>
        <w:widowControl/>
        <w:suppressLineNumbers w:val="0"/>
        <w:jc w:val="left"/>
        <w:rPr>
          <w:rFonts w:hint="default"/>
          <w:color w:val="0000FF"/>
          <w:lang w:val="zh-TW" w:eastAsia="zh-TW"/>
        </w:rPr>
      </w:pPr>
      <w:r>
        <w:rPr>
          <w:rFonts w:hint="eastAsia" w:ascii="宋体" w:hAnsi="宋体" w:eastAsia="宋体" w:cs="宋体"/>
          <w:color w:val="0000FF"/>
          <w:kern w:val="0"/>
          <w:sz w:val="24"/>
          <w:szCs w:val="24"/>
          <w:lang w:val="en-US" w:eastAsia="zh-CN" w:bidi="ar"/>
        </w:rPr>
        <w:t>此次调查的四个采样断面共检出底栖动物</w:t>
      </w:r>
      <w:r>
        <w:rPr>
          <w:rFonts w:hint="default" w:ascii="Times New Roman" w:hAnsi="Times New Roman" w:eastAsia="宋体" w:cs="Times New Roman"/>
          <w:color w:val="0000FF"/>
          <w:kern w:val="0"/>
          <w:sz w:val="24"/>
          <w:szCs w:val="24"/>
          <w:lang w:val="en-US" w:eastAsia="zh-CN" w:bidi="ar"/>
        </w:rPr>
        <w:t>4</w:t>
      </w:r>
      <w:r>
        <w:rPr>
          <w:rFonts w:hint="eastAsia" w:ascii="宋体" w:hAnsi="宋体" w:eastAsia="宋体" w:cs="宋体"/>
          <w:color w:val="0000FF"/>
          <w:kern w:val="0"/>
          <w:sz w:val="24"/>
          <w:szCs w:val="24"/>
          <w:lang w:val="en-US" w:eastAsia="zh-CN" w:bidi="ar"/>
        </w:rPr>
        <w:t>类</w:t>
      </w:r>
      <w:r>
        <w:rPr>
          <w:rFonts w:hint="default" w:ascii="Times New Roman" w:hAnsi="Times New Roman" w:eastAsia="宋体" w:cs="Times New Roman"/>
          <w:color w:val="0000FF"/>
          <w:kern w:val="0"/>
          <w:sz w:val="24"/>
          <w:szCs w:val="24"/>
          <w:lang w:val="en-US" w:eastAsia="zh-CN" w:bidi="ar"/>
        </w:rPr>
        <w:t>8</w:t>
      </w:r>
      <w:r>
        <w:rPr>
          <w:rFonts w:hint="eastAsia" w:ascii="宋体" w:hAnsi="宋体" w:eastAsia="宋体" w:cs="宋体"/>
          <w:color w:val="0000FF"/>
          <w:kern w:val="0"/>
          <w:sz w:val="24"/>
          <w:szCs w:val="24"/>
          <w:lang w:val="en-US" w:eastAsia="zh-CN" w:bidi="ar"/>
        </w:rPr>
        <w:t>种，其中软体动物</w:t>
      </w:r>
      <w:r>
        <w:rPr>
          <w:rFonts w:hint="default" w:ascii="Times New Roman" w:hAnsi="Times New Roman" w:eastAsia="宋体" w:cs="Times New Roman"/>
          <w:color w:val="0000FF"/>
          <w:kern w:val="0"/>
          <w:sz w:val="24"/>
          <w:szCs w:val="24"/>
          <w:lang w:val="en-US" w:eastAsia="zh-CN" w:bidi="ar"/>
        </w:rPr>
        <w:t>2</w:t>
      </w:r>
      <w:r>
        <w:rPr>
          <w:rFonts w:hint="eastAsia" w:ascii="宋体" w:hAnsi="宋体" w:eastAsia="宋体" w:cs="宋体"/>
          <w:color w:val="0000FF"/>
          <w:kern w:val="0"/>
          <w:sz w:val="24"/>
          <w:szCs w:val="24"/>
          <w:lang w:val="en-US" w:eastAsia="zh-CN" w:bidi="ar"/>
        </w:rPr>
        <w:t>种，占该断面总数的</w:t>
      </w:r>
      <w:r>
        <w:rPr>
          <w:rFonts w:hint="default" w:ascii="Times New Roman" w:hAnsi="Times New Roman" w:eastAsia="宋体" w:cs="Times New Roman"/>
          <w:color w:val="0000FF"/>
          <w:kern w:val="0"/>
          <w:sz w:val="24"/>
          <w:szCs w:val="24"/>
          <w:lang w:val="en-US" w:eastAsia="zh-CN" w:bidi="ar"/>
        </w:rPr>
        <w:t>25.00%</w:t>
      </w:r>
      <w:r>
        <w:rPr>
          <w:rFonts w:hint="eastAsia" w:ascii="宋体" w:hAnsi="宋体" w:eastAsia="宋体" w:cs="宋体"/>
          <w:color w:val="0000FF"/>
          <w:kern w:val="0"/>
          <w:sz w:val="24"/>
          <w:szCs w:val="24"/>
          <w:lang w:val="en-US" w:eastAsia="zh-CN" w:bidi="ar"/>
        </w:rPr>
        <w:t>；水生昆虫</w:t>
      </w:r>
      <w:r>
        <w:rPr>
          <w:rFonts w:hint="default" w:ascii="Times New Roman" w:hAnsi="Times New Roman" w:eastAsia="宋体" w:cs="Times New Roman"/>
          <w:color w:val="0000FF"/>
          <w:kern w:val="0"/>
          <w:sz w:val="24"/>
          <w:szCs w:val="24"/>
          <w:lang w:val="en-US" w:eastAsia="zh-CN" w:bidi="ar"/>
        </w:rPr>
        <w:t>2</w:t>
      </w:r>
      <w:r>
        <w:rPr>
          <w:rFonts w:hint="eastAsia" w:ascii="宋体" w:hAnsi="宋体" w:eastAsia="宋体" w:cs="宋体"/>
          <w:color w:val="0000FF"/>
          <w:kern w:val="0"/>
          <w:sz w:val="24"/>
          <w:szCs w:val="24"/>
          <w:lang w:val="en-US" w:eastAsia="zh-CN" w:bidi="ar"/>
        </w:rPr>
        <w:t>种，占该断面总数的</w:t>
      </w:r>
      <w:r>
        <w:rPr>
          <w:rFonts w:hint="default" w:ascii="Times New Roman" w:hAnsi="Times New Roman" w:eastAsia="宋体" w:cs="Times New Roman"/>
          <w:color w:val="0000FF"/>
          <w:kern w:val="0"/>
          <w:sz w:val="24"/>
          <w:szCs w:val="24"/>
          <w:lang w:val="en-US" w:eastAsia="zh-CN" w:bidi="ar"/>
        </w:rPr>
        <w:t>25.00%</w:t>
      </w:r>
      <w:r>
        <w:rPr>
          <w:rFonts w:hint="eastAsia" w:ascii="宋体" w:hAnsi="宋体" w:eastAsia="宋体" w:cs="宋体"/>
          <w:color w:val="0000FF"/>
          <w:kern w:val="0"/>
          <w:sz w:val="24"/>
          <w:szCs w:val="24"/>
          <w:lang w:val="en-US" w:eastAsia="zh-CN" w:bidi="ar"/>
        </w:rPr>
        <w:t>；甲壳类</w:t>
      </w:r>
      <w:r>
        <w:rPr>
          <w:rFonts w:hint="default" w:ascii="Times New Roman" w:hAnsi="Times New Roman" w:eastAsia="宋体" w:cs="Times New Roman"/>
          <w:color w:val="0000FF"/>
          <w:kern w:val="0"/>
          <w:sz w:val="24"/>
          <w:szCs w:val="24"/>
          <w:lang w:val="en-US" w:eastAsia="zh-CN" w:bidi="ar"/>
        </w:rPr>
        <w:t>2</w:t>
      </w:r>
      <w:r>
        <w:rPr>
          <w:rFonts w:hint="eastAsia" w:ascii="宋体" w:hAnsi="宋体" w:eastAsia="宋体" w:cs="宋体"/>
          <w:color w:val="0000FF"/>
          <w:kern w:val="0"/>
          <w:sz w:val="24"/>
          <w:szCs w:val="24"/>
          <w:lang w:val="en-US" w:eastAsia="zh-CN" w:bidi="ar"/>
        </w:rPr>
        <w:t>种，占该断面总数的</w:t>
      </w:r>
      <w:r>
        <w:rPr>
          <w:rFonts w:hint="default" w:ascii="Times New Roman" w:hAnsi="Times New Roman" w:eastAsia="宋体" w:cs="Times New Roman"/>
          <w:color w:val="0000FF"/>
          <w:kern w:val="0"/>
          <w:sz w:val="24"/>
          <w:szCs w:val="24"/>
          <w:lang w:val="en-US" w:eastAsia="zh-CN" w:bidi="ar"/>
        </w:rPr>
        <w:t>25.00%</w:t>
      </w:r>
      <w:r>
        <w:rPr>
          <w:rFonts w:hint="eastAsia" w:ascii="宋体" w:hAnsi="宋体" w:eastAsia="宋体" w:cs="宋体"/>
          <w:color w:val="0000FF"/>
          <w:kern w:val="0"/>
          <w:sz w:val="24"/>
          <w:szCs w:val="24"/>
          <w:lang w:val="en-US" w:eastAsia="zh-CN" w:bidi="ar"/>
        </w:rPr>
        <w:t>；寡毛类</w:t>
      </w:r>
      <w:r>
        <w:rPr>
          <w:rFonts w:hint="default" w:ascii="Times New Roman" w:hAnsi="Times New Roman" w:eastAsia="宋体" w:cs="Times New Roman"/>
          <w:color w:val="0000FF"/>
          <w:kern w:val="0"/>
          <w:sz w:val="24"/>
          <w:szCs w:val="24"/>
          <w:lang w:val="en-US" w:eastAsia="zh-CN" w:bidi="ar"/>
        </w:rPr>
        <w:t>2</w:t>
      </w:r>
      <w:r>
        <w:rPr>
          <w:rFonts w:hint="eastAsia" w:ascii="宋体" w:hAnsi="宋体" w:eastAsia="宋体" w:cs="宋体"/>
          <w:color w:val="0000FF"/>
          <w:kern w:val="0"/>
          <w:sz w:val="24"/>
          <w:szCs w:val="24"/>
          <w:lang w:val="en-US" w:eastAsia="zh-CN" w:bidi="ar"/>
        </w:rPr>
        <w:t>种，占该断面总数的</w:t>
      </w:r>
      <w:r>
        <w:rPr>
          <w:rFonts w:hint="default" w:ascii="Times New Roman" w:hAnsi="Times New Roman" w:eastAsia="宋体" w:cs="Times New Roman"/>
          <w:color w:val="0000FF"/>
          <w:kern w:val="0"/>
          <w:sz w:val="24"/>
          <w:szCs w:val="24"/>
          <w:lang w:val="en-US" w:eastAsia="zh-CN" w:bidi="ar"/>
        </w:rPr>
        <w:t>25.00%</w:t>
      </w:r>
      <w:r>
        <w:rPr>
          <w:rFonts w:hint="eastAsia" w:ascii="宋体" w:hAnsi="宋体" w:eastAsia="宋体" w:cs="宋体"/>
          <w:color w:val="0000FF"/>
          <w:kern w:val="0"/>
          <w:sz w:val="24"/>
          <w:szCs w:val="24"/>
          <w:lang w:val="en-US" w:eastAsia="zh-CN" w:bidi="ar"/>
        </w:rPr>
        <w:t>；底栖动物种类的稀少。</w:t>
      </w:r>
    </w:p>
    <w:p>
      <w:pPr>
        <w:pStyle w:val="5"/>
        <w:numPr>
          <w:ilvl w:val="3"/>
          <w:numId w:val="2"/>
        </w:numPr>
        <w:shd w:val="clear"/>
        <w:bidi w:val="0"/>
        <w:ind w:left="480" w:leftChars="0" w:firstLineChars="0"/>
        <w:rPr>
          <w:rFonts w:hint="default"/>
          <w:color w:val="auto"/>
          <w:highlight w:val="none"/>
          <w:lang w:val="en-US" w:eastAsia="zh-CN"/>
        </w:rPr>
      </w:pPr>
      <w:bookmarkStart w:id="550" w:name="_Toc28700"/>
      <w:bookmarkStart w:id="551" w:name="_Toc29457"/>
      <w:bookmarkStart w:id="552" w:name="_Toc30793"/>
      <w:bookmarkStart w:id="553" w:name="_Toc19671"/>
      <w:bookmarkStart w:id="554" w:name="_Toc22005"/>
      <w:r>
        <w:rPr>
          <w:rFonts w:hint="default"/>
          <w:color w:val="auto"/>
          <w:highlight w:val="none"/>
          <w:lang w:val="en-US" w:eastAsia="zh-CN"/>
        </w:rPr>
        <w:t>生态系统现状评价</w:t>
      </w:r>
    </w:p>
    <w:p>
      <w:pPr>
        <w:pStyle w:val="76"/>
        <w:keepNext w:val="0"/>
        <w:keepLines w:val="0"/>
        <w:pageBreakBefore w:val="0"/>
        <w:widowControl w:val="0"/>
        <w:shd w:val="clear" w:color="auto"/>
        <w:kinsoku/>
        <w:wordWrap/>
        <w:overflowPunct/>
        <w:topLinePunct w:val="0"/>
        <w:autoSpaceDE/>
        <w:autoSpaceDN/>
        <w:bidi w:val="0"/>
        <w:adjustRightInd/>
        <w:snapToGrid/>
        <w:spacing w:before="0" w:beforeLines="0" w:afterLines="0" w:line="360" w:lineRule="auto"/>
        <w:ind w:left="0" w:leftChars="0" w:firstLine="482" w:firstLineChars="200"/>
        <w:jc w:val="left"/>
        <w:textAlignment w:val="auto"/>
        <w:rPr>
          <w:rStyle w:val="78"/>
          <w:rFonts w:hint="default" w:ascii="Times New Roman" w:hAnsi="Times New Roman" w:eastAsia="宋体" w:cs="Times New Roman"/>
          <w:b/>
          <w:bCs/>
          <w:color w:val="auto"/>
          <w:sz w:val="24"/>
          <w:szCs w:val="24"/>
          <w:highlight w:val="none"/>
          <w:lang w:val="en-US" w:eastAsia="zh-CN"/>
        </w:rPr>
      </w:pPr>
      <w:r>
        <w:rPr>
          <w:rStyle w:val="78"/>
          <w:rFonts w:hint="eastAsia" w:ascii="Times New Roman" w:hAnsi="Times New Roman" w:eastAsia="宋体" w:cs="Times New Roman"/>
          <w:b/>
          <w:bCs/>
          <w:color w:val="auto"/>
          <w:sz w:val="24"/>
          <w:szCs w:val="24"/>
          <w:highlight w:val="none"/>
          <w:lang w:val="en-US" w:eastAsia="zh-CN"/>
        </w:rPr>
        <w:t>一、</w:t>
      </w:r>
      <w:r>
        <w:rPr>
          <w:rStyle w:val="78"/>
          <w:rFonts w:hint="default" w:ascii="Times New Roman" w:hAnsi="Times New Roman" w:eastAsia="宋体" w:cs="Times New Roman"/>
          <w:b/>
          <w:bCs/>
          <w:color w:val="auto"/>
          <w:sz w:val="24"/>
          <w:szCs w:val="24"/>
          <w:highlight w:val="none"/>
          <w:lang w:val="en-US" w:eastAsia="zh-CN"/>
        </w:rPr>
        <w:t>生态系统结构及其特征</w:t>
      </w:r>
    </w:p>
    <w:p>
      <w:pPr>
        <w:pStyle w:val="76"/>
        <w:keepNext w:val="0"/>
        <w:keepLines w:val="0"/>
        <w:pageBreakBefore w:val="0"/>
        <w:widowControl w:val="0"/>
        <w:shd w:val="clear" w:color="auto"/>
        <w:kinsoku/>
        <w:wordWrap/>
        <w:overflowPunct/>
        <w:topLinePunct w:val="0"/>
        <w:autoSpaceDE/>
        <w:autoSpaceDN/>
        <w:bidi w:val="0"/>
        <w:adjustRightInd/>
        <w:snapToGrid/>
        <w:spacing w:before="0" w:beforeLines="0" w:afterLines="0" w:line="360" w:lineRule="auto"/>
        <w:ind w:left="0" w:leftChars="0" w:firstLine="480" w:firstLineChars="200"/>
        <w:jc w:val="left"/>
        <w:textAlignment w:val="auto"/>
        <w:rPr>
          <w:rStyle w:val="78"/>
          <w:rFonts w:hint="default" w:ascii="Times New Roman" w:hAnsi="Times New Roman" w:eastAsia="宋体" w:cs="Times New Roman"/>
          <w:b w:val="0"/>
          <w:color w:val="auto"/>
          <w:sz w:val="24"/>
          <w:szCs w:val="24"/>
          <w:highlight w:val="none"/>
          <w:lang w:val="zh-TW" w:eastAsia="zh-TW"/>
        </w:rPr>
      </w:pPr>
      <w:r>
        <w:rPr>
          <w:rStyle w:val="78"/>
          <w:rFonts w:hint="default" w:ascii="Times New Roman" w:hAnsi="Times New Roman" w:eastAsia="宋体" w:cs="Times New Roman"/>
          <w:b w:val="0"/>
          <w:color w:val="auto"/>
          <w:sz w:val="24"/>
          <w:szCs w:val="24"/>
          <w:highlight w:val="none"/>
          <w:lang w:val="zh-TW" w:eastAsia="zh-CN"/>
        </w:rPr>
        <w:t>在自然生态系统中，植被是生物因子与非生物因子长期作用的结果和表征，不同的植被类型代表了流域中各生物与其环境条件的有组合，具有不同的结构，在区域生态系统中发挥着不同的生态功能。</w:t>
      </w:r>
      <w:r>
        <w:rPr>
          <w:rStyle w:val="78"/>
          <w:rFonts w:hint="default" w:ascii="Times New Roman" w:hAnsi="Times New Roman" w:eastAsia="宋体" w:cs="Times New Roman"/>
          <w:b w:val="0"/>
          <w:color w:val="auto"/>
          <w:sz w:val="24"/>
          <w:szCs w:val="24"/>
          <w:highlight w:val="none"/>
          <w:lang w:val="zh-TW" w:eastAsia="zh-TW"/>
        </w:rPr>
        <w:t>根据</w:t>
      </w:r>
      <w:r>
        <w:rPr>
          <w:rStyle w:val="78"/>
          <w:rFonts w:hint="default" w:ascii="Times New Roman" w:hAnsi="Times New Roman" w:eastAsia="宋体" w:cs="Times New Roman"/>
          <w:b w:val="0"/>
          <w:color w:val="auto"/>
          <w:sz w:val="24"/>
          <w:szCs w:val="24"/>
          <w:highlight w:val="none"/>
          <w:lang w:val="zh-TW" w:eastAsia="zh-CN"/>
        </w:rPr>
        <w:t>《全国生态状况调查评估技术规范-生态系统遥感解译与野外核查》（HJ 1166-2021），</w:t>
      </w:r>
      <w:r>
        <w:rPr>
          <w:rStyle w:val="78"/>
          <w:rFonts w:hint="default" w:ascii="Times New Roman" w:hAnsi="Times New Roman" w:eastAsia="宋体" w:cs="Times New Roman"/>
          <w:b w:val="0"/>
          <w:color w:val="auto"/>
          <w:sz w:val="24"/>
          <w:szCs w:val="24"/>
          <w:highlight w:val="none"/>
          <w:lang w:val="en-US" w:eastAsia="zh-CN"/>
        </w:rPr>
        <w:t>结合</w:t>
      </w:r>
      <w:r>
        <w:rPr>
          <w:rStyle w:val="78"/>
          <w:rFonts w:hint="default" w:ascii="Times New Roman" w:hAnsi="Times New Roman" w:eastAsia="宋体" w:cs="Times New Roman"/>
          <w:b w:val="0"/>
          <w:color w:val="auto"/>
          <w:sz w:val="24"/>
          <w:szCs w:val="24"/>
          <w:highlight w:val="none"/>
          <w:lang w:val="zh-TW" w:eastAsia="zh-TW"/>
        </w:rPr>
        <w:t>遥感影像解析和实地调查，采用图形叠置法，得出评价区主要有</w:t>
      </w:r>
      <w:r>
        <w:rPr>
          <w:rStyle w:val="78"/>
          <w:rFonts w:hint="default" w:ascii="Times New Roman" w:hAnsi="Times New Roman" w:eastAsia="宋体" w:cs="Times New Roman"/>
          <w:b w:val="0"/>
          <w:color w:val="auto"/>
          <w:sz w:val="24"/>
          <w:szCs w:val="24"/>
          <w:highlight w:val="none"/>
          <w:lang w:val="en-US" w:eastAsia="zh-CN"/>
        </w:rPr>
        <w:t>6</w:t>
      </w:r>
      <w:r>
        <w:rPr>
          <w:rStyle w:val="78"/>
          <w:rFonts w:hint="default" w:ascii="Times New Roman" w:hAnsi="Times New Roman" w:eastAsia="宋体" w:cs="Times New Roman"/>
          <w:b w:val="0"/>
          <w:color w:val="auto"/>
          <w:sz w:val="24"/>
          <w:szCs w:val="24"/>
          <w:highlight w:val="none"/>
          <w:lang w:val="zh-TW" w:eastAsia="zh-TW"/>
        </w:rPr>
        <w:t>种生态系统类型，其类型及特征见下表：</w:t>
      </w:r>
    </w:p>
    <w:p>
      <w:pPr>
        <w:pStyle w:val="40"/>
        <w:shd w:val="clear"/>
        <w:bidi w:val="0"/>
        <w:rPr>
          <w:rStyle w:val="78"/>
          <w:rFonts w:hint="default" w:ascii="Times New Roman" w:hAnsi="Times New Roman" w:eastAsia="宋体" w:cs="Times New Roman"/>
          <w:b/>
          <w:bCs/>
          <w:color w:val="auto"/>
          <w:szCs w:val="24"/>
          <w:highlight w:val="none"/>
          <w:lang w:val="zh-TW" w:eastAsia="zh-TW"/>
        </w:rPr>
      </w:pPr>
      <w:r>
        <w:rPr>
          <w:rFonts w:hint="default"/>
          <w:color w:val="auto"/>
          <w:highlight w:val="none"/>
          <w:lang w:val="zh-TW" w:eastAsia="zh-TW"/>
        </w:rPr>
        <w:t>表</w:t>
      </w:r>
      <w:r>
        <w:rPr>
          <w:rFonts w:hint="eastAsia"/>
          <w:color w:val="auto"/>
          <w:highlight w:val="none"/>
          <w:lang w:val="en-US" w:eastAsia="zh-CN"/>
        </w:rPr>
        <w:t xml:space="preserve">4.2.5-17  </w:t>
      </w:r>
      <w:r>
        <w:rPr>
          <w:rFonts w:hint="default"/>
          <w:color w:val="auto"/>
          <w:highlight w:val="none"/>
          <w:lang w:val="zh-TW" w:eastAsia="zh-TW"/>
        </w:rPr>
        <w:t>评价区生态系统类型/面积统计</w:t>
      </w:r>
    </w:p>
    <w:tbl>
      <w:tblPr>
        <w:tblStyle w:val="29"/>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628"/>
        <w:gridCol w:w="2979"/>
        <w:gridCol w:w="1628"/>
        <w:gridCol w:w="228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一级分类</w:t>
            </w:r>
          </w:p>
        </w:tc>
        <w:tc>
          <w:tcPr>
            <w:tcW w:w="1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二级分类</w:t>
            </w:r>
          </w:p>
        </w:tc>
        <w:tc>
          <w:tcPr>
            <w:tcW w:w="9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面积（hm²）</w:t>
            </w:r>
          </w:p>
        </w:tc>
        <w:tc>
          <w:tcPr>
            <w:tcW w:w="13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比例</w:t>
            </w:r>
            <w:r>
              <w:rPr>
                <w:rFonts w:hint="default" w:ascii="Times New Roman" w:hAnsi="Times New Roman" w:cs="Times New Roman"/>
                <w:color w:val="auto"/>
                <w:highlight w:val="none"/>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5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森林</w:t>
            </w:r>
          </w:p>
        </w:tc>
        <w:tc>
          <w:tcPr>
            <w:tcW w:w="1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阔叶林生态系统</w:t>
            </w:r>
          </w:p>
        </w:tc>
        <w:tc>
          <w:tcPr>
            <w:tcW w:w="9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556.32</w:t>
            </w:r>
          </w:p>
        </w:tc>
        <w:tc>
          <w:tcPr>
            <w:tcW w:w="13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12.91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5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p>
        </w:tc>
        <w:tc>
          <w:tcPr>
            <w:tcW w:w="1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针叶林生态系统</w:t>
            </w:r>
          </w:p>
        </w:tc>
        <w:tc>
          <w:tcPr>
            <w:tcW w:w="9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138.22</w:t>
            </w:r>
          </w:p>
        </w:tc>
        <w:tc>
          <w:tcPr>
            <w:tcW w:w="13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3.21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灌丛</w:t>
            </w:r>
          </w:p>
        </w:tc>
        <w:tc>
          <w:tcPr>
            <w:tcW w:w="1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阔叶灌丛生态系统</w:t>
            </w:r>
          </w:p>
        </w:tc>
        <w:tc>
          <w:tcPr>
            <w:tcW w:w="9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1190.43</w:t>
            </w:r>
          </w:p>
        </w:tc>
        <w:tc>
          <w:tcPr>
            <w:tcW w:w="13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27.62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草地</w:t>
            </w:r>
          </w:p>
        </w:tc>
        <w:tc>
          <w:tcPr>
            <w:tcW w:w="1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稀疏草地生态系统</w:t>
            </w:r>
          </w:p>
        </w:tc>
        <w:tc>
          <w:tcPr>
            <w:tcW w:w="9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809.82</w:t>
            </w:r>
          </w:p>
        </w:tc>
        <w:tc>
          <w:tcPr>
            <w:tcW w:w="13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18.79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湿地</w:t>
            </w:r>
          </w:p>
        </w:tc>
        <w:tc>
          <w:tcPr>
            <w:tcW w:w="1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湿地生态系统</w:t>
            </w:r>
          </w:p>
        </w:tc>
        <w:tc>
          <w:tcPr>
            <w:tcW w:w="9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53.51</w:t>
            </w:r>
          </w:p>
        </w:tc>
        <w:tc>
          <w:tcPr>
            <w:tcW w:w="13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5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农田</w:t>
            </w:r>
          </w:p>
        </w:tc>
        <w:tc>
          <w:tcPr>
            <w:tcW w:w="1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耕地生态系统</w:t>
            </w:r>
          </w:p>
        </w:tc>
        <w:tc>
          <w:tcPr>
            <w:tcW w:w="9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1135.8</w:t>
            </w:r>
          </w:p>
        </w:tc>
        <w:tc>
          <w:tcPr>
            <w:tcW w:w="13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26.36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5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p>
        </w:tc>
        <w:tc>
          <w:tcPr>
            <w:tcW w:w="1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园地生态系统</w:t>
            </w:r>
          </w:p>
        </w:tc>
        <w:tc>
          <w:tcPr>
            <w:tcW w:w="9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293.76</w:t>
            </w:r>
          </w:p>
        </w:tc>
        <w:tc>
          <w:tcPr>
            <w:tcW w:w="13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6.82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5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城镇</w:t>
            </w:r>
          </w:p>
        </w:tc>
        <w:tc>
          <w:tcPr>
            <w:tcW w:w="1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居住地生态系统</w:t>
            </w:r>
          </w:p>
        </w:tc>
        <w:tc>
          <w:tcPr>
            <w:tcW w:w="9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67.99</w:t>
            </w:r>
          </w:p>
        </w:tc>
        <w:tc>
          <w:tcPr>
            <w:tcW w:w="13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5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p>
        </w:tc>
        <w:tc>
          <w:tcPr>
            <w:tcW w:w="17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工矿交通生态系统</w:t>
            </w:r>
          </w:p>
        </w:tc>
        <w:tc>
          <w:tcPr>
            <w:tcW w:w="9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63.67</w:t>
            </w:r>
          </w:p>
        </w:tc>
        <w:tc>
          <w:tcPr>
            <w:tcW w:w="13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270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总计</w:t>
            </w:r>
          </w:p>
        </w:tc>
        <w:tc>
          <w:tcPr>
            <w:tcW w:w="9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4309.52</w:t>
            </w:r>
          </w:p>
        </w:tc>
        <w:tc>
          <w:tcPr>
            <w:tcW w:w="13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shd w:val="clear"/>
              <w:bidi w:val="0"/>
              <w:rPr>
                <w:rFonts w:hint="default"/>
                <w:color w:val="auto"/>
                <w:highlight w:val="none"/>
              </w:rPr>
            </w:pPr>
            <w:r>
              <w:rPr>
                <w:rFonts w:hint="default"/>
                <w:color w:val="auto"/>
                <w:highlight w:val="none"/>
                <w:lang w:val="en-US" w:eastAsia="zh-CN"/>
              </w:rPr>
              <w:t>100</w:t>
            </w:r>
          </w:p>
        </w:tc>
      </w:tr>
    </w:tbl>
    <w:p>
      <w:pPr>
        <w:shd w:val="clear"/>
        <w:bidi w:val="0"/>
        <w:ind w:firstLine="480" w:firstLineChars="200"/>
        <w:rPr>
          <w:rFonts w:hint="default"/>
          <w:color w:val="auto"/>
          <w:highlight w:val="none"/>
          <w:lang w:val="zh-TW" w:eastAsia="zh-CN"/>
        </w:rPr>
      </w:pPr>
      <w:r>
        <w:rPr>
          <w:rFonts w:hint="eastAsia"/>
          <w:color w:val="auto"/>
          <w:highlight w:val="none"/>
          <w:lang w:val="zh-TW" w:eastAsia="zh-CN"/>
        </w:rPr>
        <w:t>（</w:t>
      </w:r>
      <w:r>
        <w:rPr>
          <w:rFonts w:hint="eastAsia"/>
          <w:color w:val="auto"/>
          <w:highlight w:val="none"/>
          <w:lang w:val="en-US" w:eastAsia="zh-CN"/>
        </w:rPr>
        <w:t>1</w:t>
      </w:r>
      <w:r>
        <w:rPr>
          <w:rFonts w:hint="eastAsia"/>
          <w:color w:val="auto"/>
          <w:highlight w:val="none"/>
          <w:lang w:val="zh-TW" w:eastAsia="zh-CN"/>
        </w:rPr>
        <w:t>）</w:t>
      </w:r>
      <w:r>
        <w:rPr>
          <w:rFonts w:hint="default"/>
          <w:color w:val="auto"/>
          <w:highlight w:val="none"/>
          <w:lang w:val="zh-TW" w:eastAsia="zh-TW"/>
        </w:rPr>
        <w:t>森林生态系统</w:t>
      </w:r>
    </w:p>
    <w:p>
      <w:pPr>
        <w:shd w:val="clear"/>
        <w:bidi w:val="0"/>
        <w:ind w:firstLine="480" w:firstLineChars="200"/>
        <w:rPr>
          <w:rFonts w:hint="default"/>
          <w:color w:val="auto"/>
          <w:highlight w:val="none"/>
          <w:lang w:val="en-US" w:eastAsia="zh-CN"/>
        </w:rPr>
      </w:pPr>
      <w:r>
        <w:rPr>
          <w:rFonts w:hint="default"/>
          <w:color w:val="auto"/>
          <w:highlight w:val="none"/>
          <w:lang w:val="zh-TW" w:eastAsia="zh-TW"/>
        </w:rPr>
        <w:t>森林生态系统是评价区内主要的生态系统类型，该生态系统一般具有立木层（乔木层）、下木层（灌木层）和草本地被物层，郁闭度较高，由于受到人为因素干扰，现有森林生态系统多以人工林为主，纯度较高。森林生态系统同时也是野生动物主要栖息场所，一旦生态系统破坏，部分野生动物难以生存，因此森林生态系统是该地区维持生物多样性的重要环节。</w:t>
      </w:r>
      <w:r>
        <w:rPr>
          <w:rFonts w:hint="default"/>
          <w:color w:val="auto"/>
          <w:highlight w:val="none"/>
          <w:lang w:val="en-US" w:eastAsia="zh-CN"/>
        </w:rPr>
        <w:t>评价区该类生态系统，总面积694.54hm²，占评价区总面积的16.12%。其中阔叶林生态系统面积556.324hm²，占评价区总面积的12.91%；针叶林生态系统面积138.22hm²，占评价区总面积的3.21%。</w:t>
      </w:r>
    </w:p>
    <w:p>
      <w:pPr>
        <w:shd w:val="clear"/>
        <w:bidi w:val="0"/>
        <w:ind w:firstLine="480" w:firstLineChars="200"/>
        <w:rPr>
          <w:rFonts w:hint="default"/>
          <w:color w:val="auto"/>
          <w:highlight w:val="none"/>
          <w:lang w:val="zh-TW" w:eastAsia="zh-CN"/>
        </w:rPr>
      </w:pPr>
      <w:r>
        <w:rPr>
          <w:rFonts w:hint="eastAsia"/>
          <w:color w:val="auto"/>
          <w:highlight w:val="none"/>
          <w:lang w:val="en-US" w:eastAsia="zh-CN"/>
        </w:rPr>
        <w:t>（2）</w:t>
      </w:r>
      <w:r>
        <w:rPr>
          <w:rFonts w:hint="default"/>
          <w:color w:val="auto"/>
          <w:highlight w:val="none"/>
          <w:lang w:val="zh-TW" w:eastAsia="zh-TW"/>
        </w:rPr>
        <w:t>灌丛生态系统</w:t>
      </w:r>
    </w:p>
    <w:p>
      <w:pPr>
        <w:shd w:val="clear"/>
        <w:bidi w:val="0"/>
        <w:ind w:firstLine="480" w:firstLineChars="200"/>
        <w:rPr>
          <w:rFonts w:hint="default"/>
          <w:color w:val="auto"/>
          <w:highlight w:val="none"/>
          <w:lang w:val="en-US" w:eastAsia="zh-CN"/>
        </w:rPr>
      </w:pPr>
      <w:r>
        <w:rPr>
          <w:rFonts w:hint="default"/>
          <w:color w:val="auto"/>
          <w:highlight w:val="none"/>
          <w:lang w:val="zh-TW" w:eastAsia="zh-TW"/>
        </w:rPr>
        <w:t>灌丛生态系统属于草地生态系统和沙地之间的过渡类型，对保持水土起着重要的作用。灌丛为区域内生态耗水最大的系统类型。</w:t>
      </w:r>
      <w:r>
        <w:rPr>
          <w:rFonts w:hint="default"/>
          <w:color w:val="auto"/>
          <w:highlight w:val="none"/>
          <w:lang w:val="en-US" w:eastAsia="zh-CN"/>
        </w:rPr>
        <w:t>该类型只有阔叶灌丛生态系统1个二级分类，总面积1190.43hm²，占评价区总面积的27.62%。</w:t>
      </w:r>
    </w:p>
    <w:p>
      <w:pPr>
        <w:shd w:val="clear"/>
        <w:bidi w:val="0"/>
        <w:ind w:firstLine="480" w:firstLineChars="200"/>
        <w:rPr>
          <w:rFonts w:hint="default"/>
          <w:color w:val="auto"/>
          <w:highlight w:val="none"/>
          <w:lang w:val="zh-TW" w:eastAsia="zh-CN"/>
        </w:rPr>
      </w:pPr>
      <w:r>
        <w:rPr>
          <w:rFonts w:hint="eastAsia"/>
          <w:color w:val="auto"/>
          <w:highlight w:val="none"/>
          <w:lang w:val="zh-TW" w:eastAsia="zh-CN"/>
        </w:rPr>
        <w:t>（</w:t>
      </w:r>
      <w:r>
        <w:rPr>
          <w:rFonts w:hint="eastAsia"/>
          <w:color w:val="auto"/>
          <w:highlight w:val="none"/>
          <w:lang w:val="en-US" w:eastAsia="zh-CN"/>
        </w:rPr>
        <w:t>3</w:t>
      </w:r>
      <w:r>
        <w:rPr>
          <w:rFonts w:hint="eastAsia"/>
          <w:color w:val="auto"/>
          <w:highlight w:val="none"/>
          <w:lang w:val="zh-TW" w:eastAsia="zh-CN"/>
        </w:rPr>
        <w:t>）</w:t>
      </w:r>
      <w:r>
        <w:rPr>
          <w:rFonts w:hint="default"/>
          <w:color w:val="auto"/>
          <w:highlight w:val="none"/>
          <w:lang w:val="zh-TW" w:eastAsia="zh-TW"/>
        </w:rPr>
        <w:t>草地生态系统</w:t>
      </w:r>
    </w:p>
    <w:p>
      <w:pPr>
        <w:shd w:val="clear"/>
        <w:bidi w:val="0"/>
        <w:ind w:firstLine="480" w:firstLineChars="200"/>
        <w:rPr>
          <w:rFonts w:hint="default"/>
          <w:color w:val="auto"/>
          <w:highlight w:val="none"/>
          <w:lang w:val="zh-TW" w:eastAsia="zh-CN"/>
        </w:rPr>
      </w:pPr>
      <w:r>
        <w:rPr>
          <w:rFonts w:hint="default"/>
          <w:color w:val="auto"/>
          <w:highlight w:val="none"/>
          <w:lang w:val="zh-TW" w:eastAsia="zh-TW"/>
        </w:rPr>
        <w:t>草地生态系统由以黄茅、刺芒野古草和白茅为建群种，多分布在海拔较低的河谷区，由于地区比较干热，降水稀少，难以成林，从而形成草地的景观。</w:t>
      </w:r>
      <w:r>
        <w:rPr>
          <w:rFonts w:hint="default"/>
          <w:color w:val="auto"/>
          <w:highlight w:val="none"/>
          <w:lang w:val="en-US" w:eastAsia="zh-CN"/>
        </w:rPr>
        <w:t>该类型只有稀疏草地生态系统1个二级分类，总面积809.82hm²，占评价区总面积的18.79%。</w:t>
      </w:r>
    </w:p>
    <w:p>
      <w:pPr>
        <w:shd w:val="clear"/>
        <w:bidi w:val="0"/>
        <w:ind w:firstLine="480" w:firstLineChars="200"/>
        <w:rPr>
          <w:rFonts w:hint="default"/>
          <w:color w:val="auto"/>
          <w:highlight w:val="none"/>
          <w:lang w:val="zh-TW" w:eastAsia="zh-CN"/>
        </w:rPr>
      </w:pPr>
      <w:r>
        <w:rPr>
          <w:rFonts w:hint="eastAsia"/>
          <w:color w:val="auto"/>
          <w:highlight w:val="none"/>
          <w:lang w:val="en-US" w:eastAsia="zh-CN"/>
        </w:rPr>
        <w:t>（4）</w:t>
      </w:r>
      <w:r>
        <w:rPr>
          <w:rFonts w:hint="default"/>
          <w:color w:val="auto"/>
          <w:highlight w:val="none"/>
          <w:lang w:val="en-US" w:eastAsia="zh-CN"/>
        </w:rPr>
        <w:t>湿地</w:t>
      </w:r>
      <w:r>
        <w:rPr>
          <w:rFonts w:hint="default"/>
          <w:color w:val="auto"/>
          <w:highlight w:val="none"/>
          <w:lang w:val="zh-TW" w:eastAsia="zh-TW"/>
        </w:rPr>
        <w:t>生态系统</w:t>
      </w:r>
    </w:p>
    <w:p>
      <w:pPr>
        <w:shd w:val="clear"/>
        <w:bidi w:val="0"/>
        <w:ind w:firstLine="480" w:firstLineChars="200"/>
        <w:rPr>
          <w:rFonts w:hint="default"/>
          <w:color w:val="auto"/>
          <w:highlight w:val="none"/>
          <w:lang w:val="zh-TW" w:eastAsia="zh-CN"/>
        </w:rPr>
      </w:pPr>
      <w:r>
        <w:rPr>
          <w:rFonts w:hint="default"/>
          <w:color w:val="auto"/>
          <w:highlight w:val="none"/>
          <w:lang w:val="zh-TW" w:eastAsia="zh-TW"/>
        </w:rPr>
        <w:t>相对于其他生态系统，评价区内的河流生态系统是最脆弱的生态系统类型，面临多重威胁。该生态系统由地表水系与河道及周围滩涂构成，具备完整的从浮游植物到高等动物的食物链条，生物多样性丰富。湿地是水生植物唯一生存区，一旦失去极难恢复，而水生植物又是鱼虾青蛙类水生动物赖以生存的环境，是水鸟栖息，觅食的场所，因此湿地生态环境是生物多样性最为重要的环节。</w:t>
      </w:r>
      <w:r>
        <w:rPr>
          <w:rFonts w:hint="default"/>
          <w:color w:val="auto"/>
          <w:highlight w:val="none"/>
          <w:lang w:val="en-US" w:eastAsia="zh-CN"/>
        </w:rPr>
        <w:t>该类型生态系统总面积53.51hm²，占评价区总面积的1.24%。</w:t>
      </w:r>
    </w:p>
    <w:p>
      <w:pPr>
        <w:shd w:val="clear"/>
        <w:bidi w:val="0"/>
        <w:ind w:firstLine="480" w:firstLineChars="200"/>
        <w:rPr>
          <w:rFonts w:hint="default"/>
          <w:color w:val="auto"/>
          <w:highlight w:val="none"/>
          <w:lang w:val="zh-TW" w:eastAsia="zh-CN"/>
        </w:rPr>
      </w:pPr>
      <w:r>
        <w:rPr>
          <w:rFonts w:hint="eastAsia"/>
          <w:color w:val="auto"/>
          <w:highlight w:val="none"/>
          <w:lang w:val="zh-TW" w:eastAsia="zh-CN"/>
        </w:rPr>
        <w:t>（</w:t>
      </w:r>
      <w:r>
        <w:rPr>
          <w:rFonts w:hint="eastAsia"/>
          <w:color w:val="auto"/>
          <w:highlight w:val="none"/>
          <w:lang w:val="en-US" w:eastAsia="zh-CN"/>
        </w:rPr>
        <w:t>5</w:t>
      </w:r>
      <w:r>
        <w:rPr>
          <w:rFonts w:hint="eastAsia"/>
          <w:color w:val="auto"/>
          <w:highlight w:val="none"/>
          <w:lang w:val="zh-TW" w:eastAsia="zh-CN"/>
        </w:rPr>
        <w:t>）</w:t>
      </w:r>
      <w:r>
        <w:rPr>
          <w:rFonts w:hint="default"/>
          <w:color w:val="auto"/>
          <w:highlight w:val="none"/>
          <w:lang w:val="zh-TW" w:eastAsia="zh-TW"/>
        </w:rPr>
        <w:t>农田生态系统</w:t>
      </w:r>
    </w:p>
    <w:p>
      <w:pPr>
        <w:shd w:val="clear"/>
        <w:bidi w:val="0"/>
        <w:ind w:firstLine="480" w:firstLineChars="200"/>
        <w:rPr>
          <w:rFonts w:hint="default"/>
          <w:color w:val="auto"/>
          <w:highlight w:val="none"/>
          <w:lang w:val="en-US" w:eastAsia="zh-CN"/>
        </w:rPr>
      </w:pPr>
      <w:r>
        <w:rPr>
          <w:rFonts w:hint="default"/>
          <w:color w:val="auto"/>
          <w:highlight w:val="none"/>
          <w:lang w:val="zh-TW" w:eastAsia="zh-TW"/>
        </w:rPr>
        <w:t>农田生态系统是区域社会经济稳定的基础。由于地区降水较多，气候适宜，地区生产力水平较高。</w:t>
      </w:r>
      <w:r>
        <w:rPr>
          <w:rFonts w:hint="default"/>
          <w:color w:val="auto"/>
          <w:highlight w:val="none"/>
          <w:lang w:val="en-US" w:eastAsia="zh-CN"/>
        </w:rPr>
        <w:t>该类型生态系统面积1429.56hm²，占评价区总面积的33.17%。包括耕地生态系统1135.8hm²，占评价区总面积的26.36%；园地生态系统293.76hm²，占评价区总面积的6.82%。</w:t>
      </w:r>
    </w:p>
    <w:p>
      <w:pPr>
        <w:shd w:val="clear"/>
        <w:bidi w:val="0"/>
        <w:ind w:firstLine="480" w:firstLineChars="200"/>
        <w:rPr>
          <w:rFonts w:hint="default"/>
          <w:color w:val="auto"/>
          <w:highlight w:val="none"/>
          <w:lang w:val="zh-TW" w:eastAsia="zh-CN"/>
        </w:rPr>
      </w:pPr>
      <w:r>
        <w:rPr>
          <w:rFonts w:hint="eastAsia"/>
          <w:color w:val="auto"/>
          <w:highlight w:val="none"/>
          <w:lang w:val="en-US" w:eastAsia="zh-CN"/>
        </w:rPr>
        <w:t>（6）</w:t>
      </w:r>
      <w:r>
        <w:rPr>
          <w:rFonts w:hint="default"/>
          <w:color w:val="auto"/>
          <w:highlight w:val="none"/>
          <w:lang w:val="en-US" w:eastAsia="zh-CN"/>
        </w:rPr>
        <w:t>城镇</w:t>
      </w:r>
      <w:r>
        <w:rPr>
          <w:rFonts w:hint="default"/>
          <w:color w:val="auto"/>
          <w:highlight w:val="none"/>
          <w:lang w:val="zh-TW" w:eastAsia="zh-TW"/>
        </w:rPr>
        <w:t>生态系统</w:t>
      </w:r>
    </w:p>
    <w:p>
      <w:pPr>
        <w:shd w:val="clear"/>
        <w:bidi w:val="0"/>
        <w:ind w:firstLine="480" w:firstLineChars="200"/>
        <w:rPr>
          <w:rFonts w:hint="default"/>
          <w:color w:val="auto"/>
          <w:highlight w:val="none"/>
          <w:lang w:val="en-US" w:eastAsia="zh-CN"/>
        </w:rPr>
      </w:pPr>
      <w:r>
        <w:rPr>
          <w:rFonts w:hint="default"/>
          <w:color w:val="auto"/>
          <w:highlight w:val="none"/>
          <w:lang w:val="zh-TW" w:eastAsia="zh-TW"/>
        </w:rPr>
        <w:t>农田生态系统是区域社会经济稳定的基础。由于地区</w:t>
      </w:r>
      <w:r>
        <w:rPr>
          <w:rFonts w:hint="eastAsia"/>
          <w:color w:val="auto"/>
          <w:highlight w:val="none"/>
          <w:lang w:val="zh-TW" w:eastAsia="zh-CN"/>
        </w:rPr>
        <w:t>降水</w:t>
      </w:r>
      <w:r>
        <w:rPr>
          <w:rFonts w:hint="default"/>
          <w:color w:val="auto"/>
          <w:highlight w:val="none"/>
          <w:lang w:val="zh-TW" w:eastAsia="zh-TW"/>
        </w:rPr>
        <w:t>较多，气候适宜，地区生产力水平较高。</w:t>
      </w:r>
      <w:r>
        <w:rPr>
          <w:rFonts w:hint="default"/>
          <w:color w:val="auto"/>
          <w:highlight w:val="none"/>
          <w:lang w:val="en-US" w:eastAsia="zh-CN"/>
        </w:rPr>
        <w:t>该类型总面积136.11hm²，占评价区总面积的3.06%。</w:t>
      </w:r>
    </w:p>
    <w:p>
      <w:pPr>
        <w:pStyle w:val="76"/>
        <w:keepNext w:val="0"/>
        <w:keepLines w:val="0"/>
        <w:pageBreakBefore w:val="0"/>
        <w:widowControl w:val="0"/>
        <w:shd w:val="clear" w:color="auto"/>
        <w:kinsoku/>
        <w:wordWrap/>
        <w:overflowPunct/>
        <w:topLinePunct w:val="0"/>
        <w:autoSpaceDE/>
        <w:autoSpaceDN/>
        <w:bidi w:val="0"/>
        <w:adjustRightInd/>
        <w:snapToGrid/>
        <w:spacing w:before="0" w:beforeLines="0" w:afterLines="0" w:line="360" w:lineRule="auto"/>
        <w:ind w:left="0" w:leftChars="0" w:firstLine="482" w:firstLineChars="200"/>
        <w:jc w:val="left"/>
        <w:textAlignment w:val="auto"/>
        <w:rPr>
          <w:rStyle w:val="78"/>
          <w:rFonts w:hint="default" w:ascii="Times New Roman" w:hAnsi="Times New Roman" w:eastAsia="宋体" w:cs="Times New Roman"/>
          <w:b/>
          <w:bCs/>
          <w:color w:val="auto"/>
          <w:sz w:val="24"/>
          <w:szCs w:val="24"/>
          <w:highlight w:val="none"/>
          <w:lang w:val="en-US" w:eastAsia="zh-CN"/>
        </w:rPr>
      </w:pPr>
      <w:r>
        <w:rPr>
          <w:rStyle w:val="78"/>
          <w:rFonts w:hint="eastAsia" w:ascii="Times New Roman" w:hAnsi="Times New Roman" w:eastAsia="宋体" w:cs="Times New Roman"/>
          <w:b/>
          <w:bCs/>
          <w:color w:val="auto"/>
          <w:sz w:val="24"/>
          <w:szCs w:val="24"/>
          <w:highlight w:val="none"/>
          <w:lang w:val="en-US" w:eastAsia="zh-CN"/>
        </w:rPr>
        <w:t>二、</w:t>
      </w:r>
      <w:r>
        <w:rPr>
          <w:rStyle w:val="78"/>
          <w:rFonts w:hint="default" w:ascii="Times New Roman" w:hAnsi="Times New Roman" w:eastAsia="宋体" w:cs="Times New Roman"/>
          <w:b/>
          <w:bCs/>
          <w:color w:val="auto"/>
          <w:sz w:val="24"/>
          <w:szCs w:val="24"/>
          <w:highlight w:val="none"/>
          <w:lang w:val="en-US" w:eastAsia="zh-CN"/>
        </w:rPr>
        <w:t>生态系统优势度</w:t>
      </w:r>
    </w:p>
    <w:p>
      <w:pPr>
        <w:shd w:val="clear"/>
        <w:ind w:firstLine="480"/>
        <w:rPr>
          <w:color w:val="auto"/>
          <w:highlight w:val="none"/>
        </w:rPr>
      </w:pPr>
      <w:r>
        <w:rPr>
          <w:color w:val="auto"/>
          <w:highlight w:val="none"/>
        </w:rPr>
        <w:t>生态系统类型的优势度由3个参数计算而来，即密度（Rd）、频率（Rf）和生态系统比例（Lp）。</w:t>
      </w:r>
    </w:p>
    <w:p>
      <w:pPr>
        <w:shd w:val="clear"/>
        <w:ind w:firstLine="480"/>
        <w:rPr>
          <w:color w:val="auto"/>
          <w:highlight w:val="none"/>
        </w:rPr>
      </w:pPr>
      <w:r>
        <w:rPr>
          <w:color w:val="auto"/>
          <w:highlight w:val="none"/>
        </w:rPr>
        <w:t>生态系统优势度计算的数学表达式如下：</w:t>
      </w:r>
    </w:p>
    <w:p>
      <w:pPr>
        <w:shd w:val="clear"/>
        <w:spacing w:before="189"/>
        <w:ind w:firstLine="480"/>
        <w:jc w:val="center"/>
        <w:rPr>
          <w:snapToGrid w:val="0"/>
          <w:color w:val="auto"/>
          <w:kern w:val="0"/>
          <w:highlight w:val="none"/>
          <w:lang w:bidi="ar"/>
        </w:rPr>
      </w:pPr>
      <w:r>
        <w:rPr>
          <w:snapToGrid w:val="0"/>
          <w:color w:val="auto"/>
          <w:kern w:val="0"/>
          <w:highlight w:val="none"/>
          <w:lang w:bidi="ar"/>
        </w:rPr>
        <w:drawing>
          <wp:inline distT="0" distB="0" distL="114300" distR="114300">
            <wp:extent cx="4132580" cy="1952625"/>
            <wp:effectExtent l="0" t="0" r="1270" b="9525"/>
            <wp:docPr id="48" name="图片 4" descr="169842815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descr="1698428151282"/>
                    <pic:cNvPicPr>
                      <a:picLocks noChangeAspect="1"/>
                    </pic:cNvPicPr>
                  </pic:nvPicPr>
                  <pic:blipFill>
                    <a:blip r:embed="rId79"/>
                    <a:stretch>
                      <a:fillRect/>
                    </a:stretch>
                  </pic:blipFill>
                  <pic:spPr>
                    <a:xfrm>
                      <a:off x="0" y="0"/>
                      <a:ext cx="4132580" cy="1952625"/>
                    </a:xfrm>
                    <a:prstGeom prst="rect">
                      <a:avLst/>
                    </a:prstGeom>
                    <a:noFill/>
                    <a:ln>
                      <a:noFill/>
                    </a:ln>
                  </pic:spPr>
                </pic:pic>
              </a:graphicData>
            </a:graphic>
          </wp:inline>
        </w:drawing>
      </w:r>
    </w:p>
    <w:p>
      <w:pPr>
        <w:shd w:val="clear"/>
        <w:ind w:firstLine="480"/>
        <w:rPr>
          <w:color w:val="auto"/>
          <w:highlight w:val="none"/>
        </w:rPr>
      </w:pPr>
      <w:r>
        <w:rPr>
          <w:color w:val="auto"/>
          <w:highlight w:val="none"/>
        </w:rPr>
        <w:t>分析结果表明，评价区阔叶</w:t>
      </w:r>
      <w:r>
        <w:rPr>
          <w:rFonts w:hint="eastAsia"/>
          <w:color w:val="auto"/>
          <w:highlight w:val="none"/>
          <w:lang w:val="en-US" w:eastAsia="zh-CN"/>
        </w:rPr>
        <w:t>灌丛</w:t>
      </w:r>
      <w:r>
        <w:rPr>
          <w:color w:val="auto"/>
          <w:highlight w:val="none"/>
        </w:rPr>
        <w:t>生态系统的优势度最高，为2</w:t>
      </w:r>
      <w:r>
        <w:rPr>
          <w:rFonts w:hint="eastAsia"/>
          <w:color w:val="auto"/>
          <w:highlight w:val="none"/>
          <w:lang w:val="en-US" w:eastAsia="zh-CN"/>
        </w:rPr>
        <w:t>6.61</w:t>
      </w:r>
      <w:r>
        <w:rPr>
          <w:color w:val="auto"/>
          <w:highlight w:val="none"/>
        </w:rPr>
        <w:t>；其次是稀疏草地生态系统为</w:t>
      </w:r>
      <w:r>
        <w:rPr>
          <w:rFonts w:hint="eastAsia"/>
          <w:color w:val="auto"/>
          <w:highlight w:val="none"/>
          <w:lang w:val="en-US" w:eastAsia="zh-CN"/>
        </w:rPr>
        <w:t>20.6</w:t>
      </w:r>
      <w:r>
        <w:rPr>
          <w:rFonts w:hint="eastAsia"/>
          <w:color w:val="auto"/>
          <w:highlight w:val="none"/>
          <w:lang w:eastAsia="zh-CN"/>
        </w:rPr>
        <w:t>；</w:t>
      </w:r>
      <w:r>
        <w:rPr>
          <w:color w:val="auto"/>
          <w:highlight w:val="none"/>
        </w:rPr>
        <w:t>针叶林生态系统，为</w:t>
      </w:r>
      <w:r>
        <w:rPr>
          <w:rFonts w:hint="eastAsia"/>
          <w:color w:val="auto"/>
          <w:highlight w:val="none"/>
          <w:lang w:val="en-US" w:eastAsia="zh-CN"/>
        </w:rPr>
        <w:t>8.93</w:t>
      </w:r>
      <w:r>
        <w:rPr>
          <w:color w:val="auto"/>
          <w:highlight w:val="none"/>
        </w:rPr>
        <w:t>；阔叶</w:t>
      </w:r>
      <w:r>
        <w:rPr>
          <w:rFonts w:hint="eastAsia"/>
          <w:color w:val="auto"/>
          <w:highlight w:val="none"/>
          <w:lang w:val="en-US" w:eastAsia="zh-CN"/>
        </w:rPr>
        <w:t>林</w:t>
      </w:r>
      <w:r>
        <w:rPr>
          <w:color w:val="auto"/>
          <w:highlight w:val="none"/>
        </w:rPr>
        <w:t>生态系统</w:t>
      </w:r>
      <w:r>
        <w:rPr>
          <w:rFonts w:hint="eastAsia"/>
          <w:color w:val="auto"/>
          <w:highlight w:val="none"/>
        </w:rPr>
        <w:t>，</w:t>
      </w:r>
      <w:r>
        <w:rPr>
          <w:color w:val="auto"/>
          <w:highlight w:val="none"/>
        </w:rPr>
        <w:t>为</w:t>
      </w:r>
      <w:r>
        <w:rPr>
          <w:rFonts w:hint="eastAsia"/>
          <w:color w:val="auto"/>
          <w:highlight w:val="none"/>
          <w:lang w:val="en-US" w:eastAsia="zh-CN"/>
        </w:rPr>
        <w:t>14.07</w:t>
      </w:r>
      <w:r>
        <w:rPr>
          <w:color w:val="auto"/>
          <w:highlight w:val="none"/>
        </w:rPr>
        <w:t>；河流为</w:t>
      </w:r>
      <w:r>
        <w:rPr>
          <w:rFonts w:hint="eastAsia"/>
          <w:color w:val="auto"/>
          <w:highlight w:val="none"/>
          <w:lang w:val="en-US" w:eastAsia="zh-CN"/>
        </w:rPr>
        <w:t>2.04</w:t>
      </w:r>
      <w:r>
        <w:rPr>
          <w:color w:val="auto"/>
          <w:highlight w:val="none"/>
        </w:rPr>
        <w:t>，园地为7.</w:t>
      </w:r>
      <w:r>
        <w:rPr>
          <w:rFonts w:hint="eastAsia"/>
          <w:color w:val="auto"/>
          <w:highlight w:val="none"/>
          <w:lang w:val="en-US" w:eastAsia="zh-CN"/>
        </w:rPr>
        <w:t>31</w:t>
      </w:r>
      <w:r>
        <w:rPr>
          <w:color w:val="auto"/>
          <w:highlight w:val="none"/>
        </w:rPr>
        <w:t>，耕地为1</w:t>
      </w:r>
      <w:r>
        <w:rPr>
          <w:rFonts w:hint="eastAsia"/>
          <w:color w:val="auto"/>
          <w:highlight w:val="none"/>
          <w:lang w:val="en-US" w:eastAsia="zh-CN"/>
        </w:rPr>
        <w:t>5.64</w:t>
      </w:r>
      <w:r>
        <w:rPr>
          <w:color w:val="auto"/>
          <w:highlight w:val="none"/>
        </w:rPr>
        <w:t>，居住地为2.0</w:t>
      </w:r>
      <w:r>
        <w:rPr>
          <w:rFonts w:hint="eastAsia"/>
          <w:color w:val="auto"/>
          <w:highlight w:val="none"/>
          <w:lang w:val="en-US" w:eastAsia="zh-CN"/>
        </w:rPr>
        <w:t>6</w:t>
      </w:r>
      <w:r>
        <w:rPr>
          <w:color w:val="auto"/>
          <w:highlight w:val="none"/>
        </w:rPr>
        <w:t>，工矿交通为1.</w:t>
      </w:r>
      <w:r>
        <w:rPr>
          <w:rFonts w:hint="eastAsia"/>
          <w:color w:val="auto"/>
          <w:highlight w:val="none"/>
          <w:lang w:val="en-US" w:eastAsia="zh-CN"/>
        </w:rPr>
        <w:t>84</w:t>
      </w:r>
      <w:r>
        <w:rPr>
          <w:color w:val="auto"/>
          <w:highlight w:val="none"/>
        </w:rPr>
        <w:t>。反映了</w:t>
      </w:r>
      <w:r>
        <w:rPr>
          <w:rFonts w:hint="eastAsia"/>
          <w:color w:val="auto"/>
          <w:highlight w:val="none"/>
          <w:lang w:val="en-US" w:eastAsia="zh-CN"/>
        </w:rPr>
        <w:t>草地</w:t>
      </w:r>
      <w:r>
        <w:rPr>
          <w:color w:val="auto"/>
          <w:highlight w:val="none"/>
        </w:rPr>
        <w:t>生态系统和灌丛生态系统对评价区具有较好的控制能力；评价区生态体系结构和功能的发挥由主要由森林生态系统和灌丛生态系统控制。评价结果见表</w:t>
      </w:r>
      <w:r>
        <w:rPr>
          <w:rFonts w:hint="eastAsia"/>
          <w:color w:val="auto"/>
          <w:highlight w:val="none"/>
          <w:lang w:val="en-US" w:eastAsia="zh-CN"/>
        </w:rPr>
        <w:t>4.2.5-18</w:t>
      </w:r>
      <w:r>
        <w:rPr>
          <w:color w:val="auto"/>
          <w:highlight w:val="none"/>
        </w:rPr>
        <w:t>。</w:t>
      </w:r>
    </w:p>
    <w:p>
      <w:pPr>
        <w:pStyle w:val="112"/>
        <w:shd w:val="clear"/>
        <w:rPr>
          <w:color w:val="auto"/>
          <w:highlight w:val="none"/>
        </w:rPr>
      </w:pPr>
      <w:r>
        <w:rPr>
          <w:rFonts w:hint="default"/>
          <w:color w:val="auto"/>
          <w:highlight w:val="none"/>
          <w:lang w:val="zh-TW" w:eastAsia="zh-TW"/>
        </w:rPr>
        <w:t>表</w:t>
      </w:r>
      <w:r>
        <w:rPr>
          <w:rFonts w:hint="eastAsia"/>
          <w:color w:val="auto"/>
          <w:highlight w:val="none"/>
          <w:lang w:val="en-US" w:eastAsia="zh-CN"/>
        </w:rPr>
        <w:t>4.2.5-18</w:t>
      </w:r>
      <w:r>
        <w:rPr>
          <w:color w:val="auto"/>
          <w:highlight w:val="none"/>
        </w:rPr>
        <w:t>评价区生态系统类型优势度</w:t>
      </w:r>
    </w:p>
    <w:tbl>
      <w:tblPr>
        <w:tblStyle w:val="29"/>
        <w:tblW w:w="4998" w:type="pct"/>
        <w:tblInd w:w="0" w:type="dxa"/>
        <w:tblLayout w:type="autofit"/>
        <w:tblCellMar>
          <w:top w:w="0" w:type="dxa"/>
          <w:left w:w="108" w:type="dxa"/>
          <w:bottom w:w="0" w:type="dxa"/>
          <w:right w:w="108" w:type="dxa"/>
        </w:tblCellMar>
      </w:tblPr>
      <w:tblGrid>
        <w:gridCol w:w="2091"/>
        <w:gridCol w:w="1279"/>
        <w:gridCol w:w="1183"/>
        <w:gridCol w:w="1792"/>
        <w:gridCol w:w="1267"/>
        <w:gridCol w:w="907"/>
      </w:tblGrid>
      <w:tr>
        <w:tblPrEx>
          <w:tblCellMar>
            <w:top w:w="0" w:type="dxa"/>
            <w:left w:w="108" w:type="dxa"/>
            <w:bottom w:w="0" w:type="dxa"/>
            <w:right w:w="108" w:type="dxa"/>
          </w:tblCellMar>
        </w:tblPrEx>
        <w:trPr>
          <w:trHeight w:val="340" w:hRule="atLeast"/>
        </w:trPr>
        <w:tc>
          <w:tcPr>
            <w:tcW w:w="1227" w:type="pct"/>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color w:val="auto"/>
                <w:highlight w:val="none"/>
              </w:rPr>
              <w:t>生态系统类型</w:t>
            </w:r>
          </w:p>
        </w:tc>
        <w:tc>
          <w:tcPr>
            <w:tcW w:w="750" w:type="pct"/>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color w:val="auto"/>
                <w:highlight w:val="none"/>
              </w:rPr>
              <w:t>密度Rd</w:t>
            </w:r>
          </w:p>
        </w:tc>
        <w:tc>
          <w:tcPr>
            <w:tcW w:w="694" w:type="pct"/>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color w:val="auto"/>
                <w:highlight w:val="none"/>
              </w:rPr>
              <w:t>频率Rf</w:t>
            </w:r>
          </w:p>
        </w:tc>
        <w:tc>
          <w:tcPr>
            <w:tcW w:w="1051" w:type="pct"/>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color w:val="auto"/>
                <w:highlight w:val="none"/>
              </w:rPr>
              <w:t>生态系统比例Lp</w:t>
            </w:r>
          </w:p>
        </w:tc>
        <w:tc>
          <w:tcPr>
            <w:tcW w:w="743" w:type="pct"/>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color w:val="auto"/>
                <w:highlight w:val="none"/>
              </w:rPr>
              <w:t>优势度Do</w:t>
            </w:r>
          </w:p>
        </w:tc>
        <w:tc>
          <w:tcPr>
            <w:tcW w:w="532" w:type="pct"/>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color w:val="auto"/>
                <w:highlight w:val="none"/>
              </w:rPr>
              <w:t>排名</w:t>
            </w:r>
          </w:p>
        </w:tc>
      </w:tr>
      <w:tr>
        <w:tblPrEx>
          <w:tblCellMar>
            <w:top w:w="0" w:type="dxa"/>
            <w:left w:w="108" w:type="dxa"/>
            <w:bottom w:w="0" w:type="dxa"/>
            <w:right w:w="108" w:type="dxa"/>
          </w:tblCellMar>
        </w:tblPrEx>
        <w:trPr>
          <w:trHeight w:val="340" w:hRule="atLeast"/>
        </w:trPr>
        <w:tc>
          <w:tcPr>
            <w:tcW w:w="20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eastAsia"/>
                <w:color w:val="auto"/>
                <w:highlight w:val="none"/>
                <w:lang w:val="en-US" w:eastAsia="zh-CN"/>
              </w:rPr>
              <w:t>阔叶林生态系统</w:t>
            </w:r>
          </w:p>
        </w:tc>
        <w:tc>
          <w:tcPr>
            <w:tcW w:w="1278"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16.08</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14.37</w:t>
            </w:r>
          </w:p>
        </w:tc>
        <w:tc>
          <w:tcPr>
            <w:tcW w:w="17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12.91 </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14.07 </w:t>
            </w:r>
          </w:p>
        </w:tc>
        <w:tc>
          <w:tcPr>
            <w:tcW w:w="907"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4</w:t>
            </w:r>
          </w:p>
        </w:tc>
      </w:tr>
      <w:tr>
        <w:tblPrEx>
          <w:tblCellMar>
            <w:top w:w="0" w:type="dxa"/>
            <w:left w:w="108" w:type="dxa"/>
            <w:bottom w:w="0" w:type="dxa"/>
            <w:right w:w="108" w:type="dxa"/>
          </w:tblCellMar>
        </w:tblPrEx>
        <w:trPr>
          <w:trHeight w:val="340" w:hRule="atLeast"/>
        </w:trPr>
        <w:tc>
          <w:tcPr>
            <w:tcW w:w="20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eastAsia"/>
                <w:color w:val="auto"/>
                <w:highlight w:val="none"/>
                <w:lang w:val="en-US" w:eastAsia="zh-CN"/>
              </w:rPr>
              <w:t>针叶林生态系统</w:t>
            </w:r>
          </w:p>
        </w:tc>
        <w:tc>
          <w:tcPr>
            <w:tcW w:w="1278"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18.6</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10.72</w:t>
            </w:r>
          </w:p>
        </w:tc>
        <w:tc>
          <w:tcPr>
            <w:tcW w:w="17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3.21 </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8.93 </w:t>
            </w:r>
          </w:p>
        </w:tc>
        <w:tc>
          <w:tcPr>
            <w:tcW w:w="907"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5</w:t>
            </w:r>
          </w:p>
        </w:tc>
      </w:tr>
      <w:tr>
        <w:tblPrEx>
          <w:tblCellMar>
            <w:top w:w="0" w:type="dxa"/>
            <w:left w:w="108" w:type="dxa"/>
            <w:bottom w:w="0" w:type="dxa"/>
            <w:right w:w="108" w:type="dxa"/>
          </w:tblCellMar>
        </w:tblPrEx>
        <w:trPr>
          <w:trHeight w:val="340" w:hRule="atLeast"/>
        </w:trPr>
        <w:tc>
          <w:tcPr>
            <w:tcW w:w="20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eastAsia"/>
                <w:color w:val="auto"/>
                <w:highlight w:val="none"/>
                <w:lang w:val="en-US" w:eastAsia="zh-CN"/>
              </w:rPr>
              <w:t>阔叶灌丛生态系统</w:t>
            </w:r>
          </w:p>
        </w:tc>
        <w:tc>
          <w:tcPr>
            <w:tcW w:w="1278"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22.71</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28.47</w:t>
            </w:r>
          </w:p>
        </w:tc>
        <w:tc>
          <w:tcPr>
            <w:tcW w:w="17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27.62 </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26.61 </w:t>
            </w:r>
          </w:p>
        </w:tc>
        <w:tc>
          <w:tcPr>
            <w:tcW w:w="907"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1</w:t>
            </w:r>
          </w:p>
        </w:tc>
      </w:tr>
      <w:tr>
        <w:tblPrEx>
          <w:tblCellMar>
            <w:top w:w="0" w:type="dxa"/>
            <w:left w:w="108" w:type="dxa"/>
            <w:bottom w:w="0" w:type="dxa"/>
            <w:right w:w="108" w:type="dxa"/>
          </w:tblCellMar>
        </w:tblPrEx>
        <w:trPr>
          <w:trHeight w:val="340" w:hRule="atLeast"/>
        </w:trPr>
        <w:tc>
          <w:tcPr>
            <w:tcW w:w="20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eastAsia"/>
                <w:color w:val="auto"/>
                <w:highlight w:val="none"/>
                <w:lang w:val="en-US" w:eastAsia="zh-CN"/>
              </w:rPr>
              <w:t>稀疏草地生态系统</w:t>
            </w:r>
          </w:p>
        </w:tc>
        <w:tc>
          <w:tcPr>
            <w:tcW w:w="1278"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20.31</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24.5</w:t>
            </w:r>
          </w:p>
        </w:tc>
        <w:tc>
          <w:tcPr>
            <w:tcW w:w="17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18.79 </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20.60 </w:t>
            </w:r>
          </w:p>
        </w:tc>
        <w:tc>
          <w:tcPr>
            <w:tcW w:w="907"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2</w:t>
            </w:r>
          </w:p>
        </w:tc>
      </w:tr>
      <w:tr>
        <w:tblPrEx>
          <w:tblCellMar>
            <w:top w:w="0" w:type="dxa"/>
            <w:left w:w="108" w:type="dxa"/>
            <w:bottom w:w="0" w:type="dxa"/>
            <w:right w:w="108" w:type="dxa"/>
          </w:tblCellMar>
        </w:tblPrEx>
        <w:trPr>
          <w:trHeight w:val="340" w:hRule="atLeast"/>
        </w:trPr>
        <w:tc>
          <w:tcPr>
            <w:tcW w:w="20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eastAsia"/>
                <w:color w:val="auto"/>
                <w:highlight w:val="none"/>
                <w:lang w:val="en-US" w:eastAsia="zh-CN"/>
              </w:rPr>
              <w:t>河流生态系统</w:t>
            </w:r>
          </w:p>
        </w:tc>
        <w:tc>
          <w:tcPr>
            <w:tcW w:w="1278"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8.59</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0.67</w:t>
            </w:r>
          </w:p>
        </w:tc>
        <w:tc>
          <w:tcPr>
            <w:tcW w:w="17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1.24 </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2.94 </w:t>
            </w:r>
          </w:p>
        </w:tc>
        <w:tc>
          <w:tcPr>
            <w:tcW w:w="907"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7</w:t>
            </w:r>
          </w:p>
        </w:tc>
      </w:tr>
      <w:tr>
        <w:tblPrEx>
          <w:tblCellMar>
            <w:top w:w="0" w:type="dxa"/>
            <w:left w:w="108" w:type="dxa"/>
            <w:bottom w:w="0" w:type="dxa"/>
            <w:right w:w="108" w:type="dxa"/>
          </w:tblCellMar>
        </w:tblPrEx>
        <w:trPr>
          <w:trHeight w:val="340" w:hRule="atLeast"/>
        </w:trPr>
        <w:tc>
          <w:tcPr>
            <w:tcW w:w="20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eastAsia"/>
                <w:color w:val="auto"/>
                <w:highlight w:val="none"/>
                <w:lang w:val="en-US" w:eastAsia="zh-CN"/>
              </w:rPr>
              <w:t>耕地生态系统</w:t>
            </w:r>
          </w:p>
        </w:tc>
        <w:tc>
          <w:tcPr>
            <w:tcW w:w="1278"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3.13</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6.72</w:t>
            </w:r>
          </w:p>
        </w:tc>
        <w:tc>
          <w:tcPr>
            <w:tcW w:w="17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26.36 </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15.64 </w:t>
            </w:r>
          </w:p>
        </w:tc>
        <w:tc>
          <w:tcPr>
            <w:tcW w:w="907"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3</w:t>
            </w:r>
          </w:p>
        </w:tc>
      </w:tr>
      <w:tr>
        <w:tblPrEx>
          <w:tblCellMar>
            <w:top w:w="0" w:type="dxa"/>
            <w:left w:w="108" w:type="dxa"/>
            <w:bottom w:w="0" w:type="dxa"/>
            <w:right w:w="108" w:type="dxa"/>
          </w:tblCellMar>
        </w:tblPrEx>
        <w:trPr>
          <w:trHeight w:val="340" w:hRule="atLeast"/>
        </w:trPr>
        <w:tc>
          <w:tcPr>
            <w:tcW w:w="20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eastAsia"/>
                <w:color w:val="auto"/>
                <w:highlight w:val="none"/>
                <w:lang w:val="en-US" w:eastAsia="zh-CN"/>
              </w:rPr>
              <w:t>园地生态系统</w:t>
            </w:r>
          </w:p>
        </w:tc>
        <w:tc>
          <w:tcPr>
            <w:tcW w:w="1278"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5.32</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10.3</w:t>
            </w:r>
          </w:p>
        </w:tc>
        <w:tc>
          <w:tcPr>
            <w:tcW w:w="17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6.82 </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7.31 </w:t>
            </w:r>
          </w:p>
        </w:tc>
        <w:tc>
          <w:tcPr>
            <w:tcW w:w="907"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6</w:t>
            </w:r>
          </w:p>
        </w:tc>
      </w:tr>
      <w:tr>
        <w:tblPrEx>
          <w:tblCellMar>
            <w:top w:w="0" w:type="dxa"/>
            <w:left w:w="108" w:type="dxa"/>
            <w:bottom w:w="0" w:type="dxa"/>
            <w:right w:w="108" w:type="dxa"/>
          </w:tblCellMar>
        </w:tblPrEx>
        <w:trPr>
          <w:trHeight w:val="340" w:hRule="atLeast"/>
        </w:trPr>
        <w:tc>
          <w:tcPr>
            <w:tcW w:w="20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eastAsia"/>
                <w:color w:val="auto"/>
                <w:highlight w:val="none"/>
                <w:lang w:val="en-US" w:eastAsia="zh-CN"/>
              </w:rPr>
              <w:t>居住地生态系统</w:t>
            </w:r>
          </w:p>
        </w:tc>
        <w:tc>
          <w:tcPr>
            <w:tcW w:w="1278"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2.85</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2.24</w:t>
            </w:r>
          </w:p>
        </w:tc>
        <w:tc>
          <w:tcPr>
            <w:tcW w:w="17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1.58 </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2.06 </w:t>
            </w:r>
          </w:p>
        </w:tc>
        <w:tc>
          <w:tcPr>
            <w:tcW w:w="907"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8</w:t>
            </w:r>
          </w:p>
        </w:tc>
      </w:tr>
      <w:tr>
        <w:tblPrEx>
          <w:tblCellMar>
            <w:top w:w="0" w:type="dxa"/>
            <w:left w:w="108" w:type="dxa"/>
            <w:bottom w:w="0" w:type="dxa"/>
            <w:right w:w="108" w:type="dxa"/>
          </w:tblCellMar>
        </w:tblPrEx>
        <w:trPr>
          <w:trHeight w:val="340" w:hRule="atLeast"/>
        </w:trPr>
        <w:tc>
          <w:tcPr>
            <w:tcW w:w="20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eastAsia"/>
                <w:color w:val="auto"/>
                <w:highlight w:val="none"/>
                <w:lang w:val="en-US" w:eastAsia="zh-CN"/>
              </w:rPr>
              <w:t>工矿交通生态系统</w:t>
            </w:r>
          </w:p>
        </w:tc>
        <w:tc>
          <w:tcPr>
            <w:tcW w:w="1278"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2.41</w:t>
            </w:r>
          </w:p>
        </w:tc>
        <w:tc>
          <w:tcPr>
            <w:tcW w:w="1182"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2.01</w:t>
            </w:r>
          </w:p>
        </w:tc>
        <w:tc>
          <w:tcPr>
            <w:tcW w:w="1790"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1.48 </w:t>
            </w:r>
          </w:p>
        </w:tc>
        <w:tc>
          <w:tcPr>
            <w:tcW w:w="1266"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 xml:space="preserve">1.84 </w:t>
            </w:r>
          </w:p>
        </w:tc>
        <w:tc>
          <w:tcPr>
            <w:tcW w:w="907" w:type="dxa"/>
            <w:tcBorders>
              <w:top w:val="single" w:color="000000" w:sz="4" w:space="0"/>
              <w:left w:val="single" w:color="000000" w:sz="4" w:space="0"/>
              <w:bottom w:val="single" w:color="000000" w:sz="4" w:space="0"/>
              <w:right w:val="single" w:color="000000" w:sz="4" w:space="0"/>
            </w:tcBorders>
            <w:noWrap w:val="0"/>
            <w:vAlign w:val="center"/>
          </w:tcPr>
          <w:p>
            <w:pPr>
              <w:pStyle w:val="42"/>
              <w:shd w:val="clear"/>
              <w:bidi w:val="0"/>
              <w:rPr>
                <w:color w:val="auto"/>
                <w:highlight w:val="none"/>
              </w:rPr>
            </w:pPr>
            <w:r>
              <w:rPr>
                <w:rFonts w:hint="default"/>
                <w:color w:val="auto"/>
                <w:highlight w:val="none"/>
                <w:lang w:val="en-US" w:eastAsia="zh-CN"/>
              </w:rPr>
              <w:t>9</w:t>
            </w:r>
          </w:p>
        </w:tc>
      </w:tr>
    </w:tbl>
    <w:p>
      <w:pPr>
        <w:pStyle w:val="28"/>
        <w:shd w:val="clear"/>
        <w:rPr>
          <w:rFonts w:hint="default"/>
          <w:color w:val="auto"/>
          <w:highlight w:val="none"/>
          <w:lang w:val="en-US" w:eastAsia="zh-CN"/>
        </w:rPr>
      </w:pPr>
    </w:p>
    <w:p>
      <w:pPr>
        <w:pStyle w:val="76"/>
        <w:keepNext w:val="0"/>
        <w:keepLines w:val="0"/>
        <w:pageBreakBefore w:val="0"/>
        <w:widowControl w:val="0"/>
        <w:shd w:val="clear" w:color="auto"/>
        <w:kinsoku/>
        <w:wordWrap/>
        <w:overflowPunct/>
        <w:topLinePunct w:val="0"/>
        <w:autoSpaceDE/>
        <w:autoSpaceDN/>
        <w:bidi w:val="0"/>
        <w:adjustRightInd/>
        <w:snapToGrid/>
        <w:spacing w:before="0" w:beforeLines="0" w:afterLines="0" w:line="360" w:lineRule="auto"/>
        <w:ind w:left="0" w:leftChars="0" w:firstLine="482" w:firstLineChars="200"/>
        <w:jc w:val="left"/>
        <w:textAlignment w:val="auto"/>
        <w:rPr>
          <w:rStyle w:val="78"/>
          <w:rFonts w:hint="default" w:ascii="Times New Roman" w:hAnsi="Times New Roman" w:eastAsia="宋体" w:cs="Times New Roman"/>
          <w:b/>
          <w:bCs/>
          <w:color w:val="auto"/>
          <w:sz w:val="24"/>
          <w:szCs w:val="24"/>
          <w:highlight w:val="none"/>
          <w:lang w:val="en-US" w:eastAsia="zh-CN"/>
        </w:rPr>
      </w:pPr>
      <w:r>
        <w:rPr>
          <w:rStyle w:val="78"/>
          <w:rFonts w:hint="eastAsia" w:ascii="Times New Roman" w:hAnsi="Times New Roman" w:eastAsia="宋体" w:cs="Times New Roman"/>
          <w:b/>
          <w:bCs/>
          <w:color w:val="auto"/>
          <w:sz w:val="24"/>
          <w:szCs w:val="24"/>
          <w:highlight w:val="none"/>
          <w:lang w:val="en-US" w:eastAsia="zh-CN"/>
        </w:rPr>
        <w:t>三、</w:t>
      </w:r>
      <w:r>
        <w:rPr>
          <w:rStyle w:val="78"/>
          <w:rFonts w:hint="default" w:ascii="Times New Roman" w:hAnsi="Times New Roman" w:eastAsia="宋体" w:cs="Times New Roman"/>
          <w:b/>
          <w:bCs/>
          <w:color w:val="auto"/>
          <w:sz w:val="24"/>
          <w:szCs w:val="24"/>
          <w:highlight w:val="none"/>
          <w:lang w:val="en-US" w:eastAsia="zh-CN"/>
        </w:rPr>
        <w:t>生态质量</w:t>
      </w:r>
    </w:p>
    <w:p>
      <w:pPr>
        <w:shd w:val="clear"/>
        <w:ind w:firstLine="480"/>
        <w:rPr>
          <w:color w:val="auto"/>
          <w:highlight w:val="none"/>
        </w:rPr>
      </w:pPr>
      <w:r>
        <w:rPr>
          <w:color w:val="auto"/>
          <w:highlight w:val="none"/>
        </w:rPr>
        <w:t>以生态系统生态潜力高低作为评价生态系统生态质量的主要标准，量化各主要生态系统类型的生态潜力，按生态潜力高低将评价区生态质量分为优、良、中、差、劣5个等级。主要依据有：</w:t>
      </w:r>
    </w:p>
    <w:p>
      <w:pPr>
        <w:shd w:val="clear"/>
        <w:ind w:firstLine="480"/>
        <w:rPr>
          <w:color w:val="auto"/>
          <w:highlight w:val="none"/>
        </w:rPr>
      </w:pPr>
      <w:r>
        <w:rPr>
          <w:color w:val="auto"/>
          <w:highlight w:val="none"/>
        </w:rPr>
        <w:t>（1）生态系统类型在地带性生态系统演替阶段中的位置以及在演替过程中的顺序</w:t>
      </w:r>
      <w:r>
        <w:rPr>
          <w:rFonts w:hint="eastAsia"/>
          <w:color w:val="auto"/>
          <w:highlight w:val="none"/>
        </w:rPr>
        <w:t>。</w:t>
      </w:r>
      <w:r>
        <w:rPr>
          <w:color w:val="auto"/>
          <w:highlight w:val="none"/>
        </w:rPr>
        <w:t>一般来说，这决定了生态系统类型的生态潜力高低，地带性生态系统类型的生态潜力最大，原生性生态系统类型的生态潜力比次生性的高。</w:t>
      </w:r>
    </w:p>
    <w:p>
      <w:pPr>
        <w:shd w:val="clear"/>
        <w:ind w:firstLine="480"/>
        <w:rPr>
          <w:rFonts w:hint="eastAsia"/>
          <w:color w:val="auto"/>
          <w:highlight w:val="none"/>
        </w:rPr>
      </w:pPr>
      <w:r>
        <w:rPr>
          <w:color w:val="auto"/>
          <w:highlight w:val="none"/>
        </w:rPr>
        <w:t>（2）生态系统类型单位面积的生产潜力大小。生物量越高的生态系统，在生态系统恢复和生态重建中的作用也越大，当然这是在第一点的基础上进行的排序。一般而言</w:t>
      </w:r>
      <w:r>
        <w:rPr>
          <w:rFonts w:hint="eastAsia"/>
          <w:color w:val="auto"/>
          <w:highlight w:val="none"/>
        </w:rPr>
        <w:t>，</w:t>
      </w:r>
    </w:p>
    <w:p>
      <w:pPr>
        <w:shd w:val="clear"/>
        <w:ind w:firstLine="480"/>
        <w:rPr>
          <w:color w:val="auto"/>
          <w:highlight w:val="none"/>
        </w:rPr>
      </w:pPr>
      <w:r>
        <w:rPr>
          <w:color w:val="auto"/>
          <w:highlight w:val="none"/>
        </w:rPr>
        <w:t>乔木群落的生物量要高于灌木群落，灌木要高于草本。见表</w:t>
      </w:r>
      <w:r>
        <w:rPr>
          <w:rFonts w:hint="eastAsia"/>
          <w:color w:val="auto"/>
          <w:highlight w:val="none"/>
          <w:lang w:val="en-US" w:eastAsia="zh-CN"/>
        </w:rPr>
        <w:t>4.2.5-19</w:t>
      </w:r>
      <w:r>
        <w:rPr>
          <w:color w:val="auto"/>
          <w:highlight w:val="none"/>
        </w:rPr>
        <w:t>。</w:t>
      </w:r>
    </w:p>
    <w:p>
      <w:pPr>
        <w:pStyle w:val="112"/>
        <w:shd w:val="clear"/>
        <w:rPr>
          <w:color w:val="auto"/>
          <w:sz w:val="24"/>
          <w:szCs w:val="24"/>
          <w:highlight w:val="none"/>
        </w:rPr>
      </w:pPr>
      <w:r>
        <w:rPr>
          <w:color w:val="auto"/>
          <w:sz w:val="24"/>
          <w:szCs w:val="24"/>
          <w:highlight w:val="none"/>
        </w:rPr>
        <w:t>表</w:t>
      </w:r>
      <w:r>
        <w:rPr>
          <w:rFonts w:hint="eastAsia"/>
          <w:color w:val="auto"/>
          <w:sz w:val="24"/>
          <w:szCs w:val="24"/>
          <w:highlight w:val="none"/>
          <w:lang w:val="en-US" w:eastAsia="zh-CN"/>
        </w:rPr>
        <w:t xml:space="preserve">4.2.5-19  </w:t>
      </w:r>
      <w:r>
        <w:rPr>
          <w:color w:val="auto"/>
          <w:sz w:val="24"/>
          <w:szCs w:val="24"/>
          <w:highlight w:val="none"/>
        </w:rPr>
        <w:t>评价区生态质量分级</w:t>
      </w:r>
    </w:p>
    <w:tbl>
      <w:tblPr>
        <w:tblStyle w:val="29"/>
        <w:tblW w:w="501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874"/>
        <w:gridCol w:w="545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24" w:type="pct"/>
            <w:noWrap w:val="0"/>
            <w:vAlign w:val="center"/>
          </w:tcPr>
          <w:p>
            <w:pPr>
              <w:pStyle w:val="113"/>
              <w:shd w:val="clear"/>
              <w:autoSpaceDE w:val="0"/>
              <w:autoSpaceDN w:val="0"/>
              <w:rPr>
                <w:b/>
                <w:bCs/>
                <w:color w:val="auto"/>
                <w:highlight w:val="none"/>
              </w:rPr>
            </w:pPr>
            <w:r>
              <w:rPr>
                <w:b/>
                <w:bCs/>
                <w:color w:val="auto"/>
                <w:highlight w:val="none"/>
              </w:rPr>
              <w:t>生态质量</w:t>
            </w:r>
          </w:p>
        </w:tc>
        <w:tc>
          <w:tcPr>
            <w:tcW w:w="3275" w:type="pct"/>
            <w:noWrap w:val="0"/>
            <w:vAlign w:val="center"/>
          </w:tcPr>
          <w:p>
            <w:pPr>
              <w:pStyle w:val="113"/>
              <w:shd w:val="clear"/>
              <w:autoSpaceDE w:val="0"/>
              <w:autoSpaceDN w:val="0"/>
              <w:rPr>
                <w:b/>
                <w:bCs/>
                <w:color w:val="auto"/>
                <w:highlight w:val="none"/>
              </w:rPr>
            </w:pPr>
            <w:r>
              <w:rPr>
                <w:b/>
                <w:bCs/>
                <w:color w:val="auto"/>
                <w:highlight w:val="none"/>
              </w:rPr>
              <w:t>生态系统类型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24" w:type="pct"/>
            <w:noWrap w:val="0"/>
            <w:vAlign w:val="center"/>
          </w:tcPr>
          <w:p>
            <w:pPr>
              <w:pStyle w:val="113"/>
              <w:shd w:val="clear"/>
              <w:autoSpaceDE w:val="0"/>
              <w:autoSpaceDN w:val="0"/>
              <w:rPr>
                <w:color w:val="auto"/>
                <w:highlight w:val="none"/>
              </w:rPr>
            </w:pPr>
            <w:r>
              <w:rPr>
                <w:color w:val="auto"/>
                <w:highlight w:val="none"/>
              </w:rPr>
              <w:t>优</w:t>
            </w:r>
          </w:p>
        </w:tc>
        <w:tc>
          <w:tcPr>
            <w:tcW w:w="3275" w:type="pct"/>
            <w:noWrap w:val="0"/>
            <w:vAlign w:val="center"/>
          </w:tcPr>
          <w:p>
            <w:pPr>
              <w:pStyle w:val="113"/>
              <w:shd w:val="clear"/>
              <w:autoSpaceDE w:val="0"/>
              <w:autoSpaceDN w:val="0"/>
              <w:rPr>
                <w:color w:val="auto"/>
                <w:highlight w:val="none"/>
              </w:rPr>
            </w:pPr>
            <w:r>
              <w:rPr>
                <w:color w:val="auto"/>
                <w:highlight w:val="none"/>
              </w:rPr>
              <w:t>森林、园地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24" w:type="pct"/>
            <w:noWrap w:val="0"/>
            <w:vAlign w:val="center"/>
          </w:tcPr>
          <w:p>
            <w:pPr>
              <w:pStyle w:val="113"/>
              <w:shd w:val="clear"/>
              <w:autoSpaceDE w:val="0"/>
              <w:autoSpaceDN w:val="0"/>
              <w:rPr>
                <w:color w:val="auto"/>
                <w:highlight w:val="none"/>
              </w:rPr>
            </w:pPr>
            <w:r>
              <w:rPr>
                <w:color w:val="auto"/>
                <w:highlight w:val="none"/>
              </w:rPr>
              <w:t>良</w:t>
            </w:r>
          </w:p>
        </w:tc>
        <w:tc>
          <w:tcPr>
            <w:tcW w:w="3275" w:type="pct"/>
            <w:noWrap w:val="0"/>
            <w:vAlign w:val="center"/>
          </w:tcPr>
          <w:p>
            <w:pPr>
              <w:pStyle w:val="113"/>
              <w:shd w:val="clear"/>
              <w:autoSpaceDE w:val="0"/>
              <w:autoSpaceDN w:val="0"/>
              <w:rPr>
                <w:color w:val="auto"/>
                <w:highlight w:val="none"/>
              </w:rPr>
            </w:pPr>
            <w:r>
              <w:rPr>
                <w:color w:val="auto"/>
                <w:highlight w:val="none"/>
              </w:rPr>
              <w:t>水域、人工林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24" w:type="pct"/>
            <w:noWrap w:val="0"/>
            <w:vAlign w:val="center"/>
          </w:tcPr>
          <w:p>
            <w:pPr>
              <w:pStyle w:val="113"/>
              <w:shd w:val="clear"/>
              <w:autoSpaceDE w:val="0"/>
              <w:autoSpaceDN w:val="0"/>
              <w:rPr>
                <w:color w:val="auto"/>
                <w:highlight w:val="none"/>
              </w:rPr>
            </w:pPr>
            <w:r>
              <w:rPr>
                <w:color w:val="auto"/>
                <w:highlight w:val="none"/>
              </w:rPr>
              <w:t>中</w:t>
            </w:r>
          </w:p>
        </w:tc>
        <w:tc>
          <w:tcPr>
            <w:tcW w:w="3275" w:type="pct"/>
            <w:noWrap w:val="0"/>
            <w:vAlign w:val="center"/>
          </w:tcPr>
          <w:p>
            <w:pPr>
              <w:pStyle w:val="113"/>
              <w:shd w:val="clear"/>
              <w:autoSpaceDE w:val="0"/>
              <w:autoSpaceDN w:val="0"/>
              <w:rPr>
                <w:color w:val="auto"/>
                <w:highlight w:val="none"/>
              </w:rPr>
            </w:pPr>
            <w:r>
              <w:rPr>
                <w:color w:val="auto"/>
                <w:highlight w:val="none"/>
              </w:rPr>
              <w:t>灌丛、草地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24" w:type="pct"/>
            <w:noWrap w:val="0"/>
            <w:vAlign w:val="center"/>
          </w:tcPr>
          <w:p>
            <w:pPr>
              <w:pStyle w:val="113"/>
              <w:shd w:val="clear"/>
              <w:autoSpaceDE w:val="0"/>
              <w:autoSpaceDN w:val="0"/>
              <w:rPr>
                <w:color w:val="auto"/>
                <w:highlight w:val="none"/>
              </w:rPr>
            </w:pPr>
            <w:r>
              <w:rPr>
                <w:color w:val="auto"/>
                <w:highlight w:val="none"/>
              </w:rPr>
              <w:t>差</w:t>
            </w:r>
          </w:p>
        </w:tc>
        <w:tc>
          <w:tcPr>
            <w:tcW w:w="3275" w:type="pct"/>
            <w:noWrap w:val="0"/>
            <w:vAlign w:val="center"/>
          </w:tcPr>
          <w:p>
            <w:pPr>
              <w:pStyle w:val="113"/>
              <w:shd w:val="clear"/>
              <w:autoSpaceDE w:val="0"/>
              <w:autoSpaceDN w:val="0"/>
              <w:rPr>
                <w:color w:val="auto"/>
                <w:highlight w:val="none"/>
              </w:rPr>
            </w:pPr>
            <w:r>
              <w:rPr>
                <w:color w:val="auto"/>
                <w:highlight w:val="none"/>
              </w:rPr>
              <w:t>农田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724" w:type="pct"/>
            <w:noWrap w:val="0"/>
            <w:vAlign w:val="center"/>
          </w:tcPr>
          <w:p>
            <w:pPr>
              <w:pStyle w:val="113"/>
              <w:shd w:val="clear"/>
              <w:autoSpaceDE w:val="0"/>
              <w:autoSpaceDN w:val="0"/>
              <w:rPr>
                <w:color w:val="auto"/>
                <w:highlight w:val="none"/>
              </w:rPr>
            </w:pPr>
            <w:r>
              <w:rPr>
                <w:color w:val="auto"/>
                <w:highlight w:val="none"/>
              </w:rPr>
              <w:t>劣</w:t>
            </w:r>
          </w:p>
        </w:tc>
        <w:tc>
          <w:tcPr>
            <w:tcW w:w="3275" w:type="pct"/>
            <w:noWrap w:val="0"/>
            <w:vAlign w:val="center"/>
          </w:tcPr>
          <w:p>
            <w:pPr>
              <w:pStyle w:val="113"/>
              <w:shd w:val="clear"/>
              <w:autoSpaceDE w:val="0"/>
              <w:autoSpaceDN w:val="0"/>
              <w:rPr>
                <w:color w:val="auto"/>
                <w:highlight w:val="none"/>
              </w:rPr>
            </w:pPr>
            <w:r>
              <w:rPr>
                <w:color w:val="auto"/>
                <w:highlight w:val="none"/>
              </w:rPr>
              <w:t>居民点、道路</w:t>
            </w:r>
          </w:p>
        </w:tc>
      </w:tr>
    </w:tbl>
    <w:p>
      <w:pPr>
        <w:shd w:val="clear"/>
        <w:ind w:firstLine="480"/>
        <w:rPr>
          <w:color w:val="auto"/>
          <w:highlight w:val="none"/>
        </w:rPr>
      </w:pPr>
      <w:r>
        <w:rPr>
          <w:color w:val="auto"/>
          <w:highlight w:val="none"/>
        </w:rPr>
        <w:t>以上述2点为依据，对评价区生态系统类型的生态潜力进行排序，结果见表</w:t>
      </w:r>
      <w:r>
        <w:rPr>
          <w:rFonts w:hint="eastAsia"/>
          <w:color w:val="auto"/>
          <w:highlight w:val="none"/>
          <w:lang w:val="en-US" w:eastAsia="zh-CN"/>
        </w:rPr>
        <w:t>4.2.5-19</w:t>
      </w:r>
      <w:r>
        <w:rPr>
          <w:color w:val="auto"/>
          <w:highlight w:val="none"/>
        </w:rPr>
        <w:t>，</w:t>
      </w:r>
      <w:r>
        <w:rPr>
          <w:rFonts w:hint="eastAsia"/>
          <w:color w:val="auto"/>
          <w:highlight w:val="none"/>
          <w:lang w:eastAsia="zh-CN"/>
        </w:rPr>
        <w:t>按照</w:t>
      </w:r>
      <w:r>
        <w:rPr>
          <w:color w:val="auto"/>
          <w:highlight w:val="none"/>
        </w:rPr>
        <w:t>生态系统的质量等级制图，以反映项目区生态环境的综合质量。</w:t>
      </w:r>
    </w:p>
    <w:p>
      <w:pPr>
        <w:shd w:val="clear"/>
        <w:ind w:firstLine="480"/>
        <w:rPr>
          <w:color w:val="auto"/>
          <w:highlight w:val="none"/>
        </w:rPr>
      </w:pPr>
      <w:r>
        <w:rPr>
          <w:color w:val="auto"/>
          <w:highlight w:val="none"/>
        </w:rPr>
        <w:t>结果表明，项目区景观生态质量总体较好，中等以上等级分布面积有</w:t>
      </w:r>
      <w:r>
        <w:rPr>
          <w:rFonts w:hint="eastAsia"/>
          <w:color w:val="auto"/>
          <w:highlight w:val="none"/>
          <w:lang w:val="en-US" w:eastAsia="zh-CN"/>
        </w:rPr>
        <w:t>3042.06</w:t>
      </w:r>
      <w:r>
        <w:rPr>
          <w:color w:val="auto"/>
          <w:highlight w:val="none"/>
        </w:rPr>
        <w:t>h</w:t>
      </w:r>
      <w:r>
        <w:rPr>
          <w:rFonts w:hint="eastAsia"/>
          <w:color w:val="auto"/>
          <w:highlight w:val="none"/>
        </w:rPr>
        <w:t>m²</w:t>
      </w:r>
      <w:r>
        <w:rPr>
          <w:color w:val="auto"/>
          <w:highlight w:val="none"/>
        </w:rPr>
        <w:t>，占评价区的</w:t>
      </w:r>
      <w:r>
        <w:rPr>
          <w:rFonts w:hint="eastAsia"/>
          <w:color w:val="auto"/>
          <w:highlight w:val="none"/>
          <w:lang w:val="en-US" w:eastAsia="zh-CN"/>
        </w:rPr>
        <w:t>70.59</w:t>
      </w:r>
      <w:r>
        <w:rPr>
          <w:color w:val="auto"/>
          <w:highlight w:val="none"/>
        </w:rPr>
        <w:t>%；生态质量为差的生态系统面积为</w:t>
      </w:r>
      <w:r>
        <w:rPr>
          <w:rFonts w:hint="eastAsia"/>
          <w:color w:val="auto"/>
          <w:highlight w:val="none"/>
          <w:lang w:val="en-US" w:eastAsia="zh-CN"/>
        </w:rPr>
        <w:t>1135.8</w:t>
      </w:r>
      <w:r>
        <w:rPr>
          <w:color w:val="auto"/>
          <w:highlight w:val="none"/>
        </w:rPr>
        <w:t>h</w:t>
      </w:r>
      <w:r>
        <w:rPr>
          <w:rFonts w:hint="eastAsia"/>
          <w:color w:val="auto"/>
          <w:highlight w:val="none"/>
        </w:rPr>
        <w:t>m²</w:t>
      </w:r>
      <w:r>
        <w:rPr>
          <w:color w:val="auto"/>
          <w:highlight w:val="none"/>
        </w:rPr>
        <w:t>，占项目区的</w:t>
      </w:r>
      <w:r>
        <w:rPr>
          <w:rFonts w:hint="eastAsia"/>
          <w:color w:val="auto"/>
          <w:highlight w:val="none"/>
          <w:lang w:val="en-US" w:eastAsia="zh-CN"/>
        </w:rPr>
        <w:t>26.36</w:t>
      </w:r>
      <w:r>
        <w:rPr>
          <w:color w:val="auto"/>
          <w:highlight w:val="none"/>
        </w:rPr>
        <w:t>%；生态质量为劣的生态系统面积较小，为项目区的3.</w:t>
      </w:r>
      <w:r>
        <w:rPr>
          <w:rFonts w:hint="eastAsia"/>
          <w:color w:val="auto"/>
          <w:highlight w:val="none"/>
          <w:lang w:val="en-US" w:eastAsia="zh-CN"/>
        </w:rPr>
        <w:t>06</w:t>
      </w:r>
      <w:r>
        <w:rPr>
          <w:color w:val="auto"/>
          <w:highlight w:val="none"/>
        </w:rPr>
        <w:t>%。</w:t>
      </w:r>
    </w:p>
    <w:p>
      <w:pPr>
        <w:pStyle w:val="112"/>
        <w:shd w:val="clear"/>
        <w:rPr>
          <w:color w:val="auto"/>
          <w:sz w:val="24"/>
          <w:szCs w:val="24"/>
          <w:highlight w:val="none"/>
        </w:rPr>
      </w:pPr>
      <w:r>
        <w:rPr>
          <w:color w:val="auto"/>
          <w:sz w:val="24"/>
          <w:szCs w:val="24"/>
          <w:highlight w:val="none"/>
        </w:rPr>
        <w:t>表</w:t>
      </w:r>
      <w:r>
        <w:rPr>
          <w:rFonts w:hint="eastAsia"/>
          <w:color w:val="auto"/>
          <w:sz w:val="24"/>
          <w:szCs w:val="24"/>
          <w:highlight w:val="none"/>
          <w:lang w:val="en-US" w:eastAsia="zh-CN"/>
        </w:rPr>
        <w:t xml:space="preserve">4.2.5-20  </w:t>
      </w:r>
      <w:r>
        <w:rPr>
          <w:color w:val="auto"/>
          <w:sz w:val="24"/>
          <w:szCs w:val="24"/>
          <w:highlight w:val="none"/>
        </w:rPr>
        <w:t>评价区生态质量现状</w:t>
      </w:r>
    </w:p>
    <w:tbl>
      <w:tblPr>
        <w:tblStyle w:val="29"/>
        <w:tblW w:w="4998" w:type="pct"/>
        <w:tblInd w:w="0" w:type="dxa"/>
        <w:shd w:val="clear" w:color="auto" w:fill="auto"/>
        <w:tblLayout w:type="autofit"/>
        <w:tblCellMar>
          <w:top w:w="0" w:type="dxa"/>
          <w:left w:w="108" w:type="dxa"/>
          <w:bottom w:w="0" w:type="dxa"/>
          <w:right w:w="108" w:type="dxa"/>
        </w:tblCellMar>
      </w:tblPr>
      <w:tblGrid>
        <w:gridCol w:w="3035"/>
        <w:gridCol w:w="3265"/>
        <w:gridCol w:w="2219"/>
      </w:tblGrid>
      <w:tr>
        <w:tblPrEx>
          <w:shd w:val="clear" w:color="auto" w:fill="auto"/>
          <w:tblCellMar>
            <w:top w:w="0" w:type="dxa"/>
            <w:left w:w="108" w:type="dxa"/>
            <w:bottom w:w="0" w:type="dxa"/>
            <w:right w:w="108" w:type="dxa"/>
          </w:tblCellMar>
        </w:tblPrEx>
        <w:trPr>
          <w:trHeight w:val="270" w:hRule="atLeast"/>
        </w:trPr>
        <w:tc>
          <w:tcPr>
            <w:tcW w:w="1781" w:type="pct"/>
            <w:tcBorders>
              <w:top w:val="single" w:color="000000" w:sz="4" w:space="0"/>
              <w:left w:val="single" w:color="000000" w:sz="4" w:space="0"/>
              <w:bottom w:val="single" w:color="000000" w:sz="4" w:space="0"/>
              <w:right w:val="single" w:color="000000" w:sz="4" w:space="0"/>
            </w:tcBorders>
            <w:shd w:val="clear" w:color="auto" w:fill="auto"/>
            <w:noWrap w:val="0"/>
            <w:vAlign w:val="bottom"/>
          </w:tcPr>
          <w:p>
            <w:pPr>
              <w:pStyle w:val="113"/>
              <w:shd w:val="clear"/>
              <w:bidi w:val="0"/>
              <w:rPr>
                <w:color w:val="auto"/>
                <w:highlight w:val="none"/>
              </w:rPr>
            </w:pPr>
            <w:r>
              <w:rPr>
                <w:color w:val="auto"/>
                <w:highlight w:val="none"/>
              </w:rPr>
              <w:t>质量等级</w:t>
            </w:r>
          </w:p>
        </w:tc>
        <w:tc>
          <w:tcPr>
            <w:tcW w:w="1916" w:type="pct"/>
            <w:tcBorders>
              <w:top w:val="single" w:color="000000" w:sz="4" w:space="0"/>
              <w:left w:val="single" w:color="000000" w:sz="4" w:space="0"/>
              <w:bottom w:val="single" w:color="000000" w:sz="4" w:space="0"/>
              <w:right w:val="single" w:color="000000" w:sz="4" w:space="0"/>
            </w:tcBorders>
            <w:shd w:val="clear" w:color="auto" w:fill="auto"/>
            <w:noWrap w:val="0"/>
            <w:vAlign w:val="bottom"/>
          </w:tcPr>
          <w:p>
            <w:pPr>
              <w:pStyle w:val="113"/>
              <w:shd w:val="clear"/>
              <w:bidi w:val="0"/>
              <w:rPr>
                <w:color w:val="auto"/>
                <w:highlight w:val="none"/>
              </w:rPr>
            </w:pPr>
            <w:r>
              <w:rPr>
                <w:color w:val="auto"/>
                <w:highlight w:val="none"/>
              </w:rPr>
              <w:t>面积（hm²)</w:t>
            </w:r>
          </w:p>
        </w:tc>
        <w:tc>
          <w:tcPr>
            <w:tcW w:w="1302" w:type="pct"/>
            <w:tcBorders>
              <w:top w:val="single" w:color="000000" w:sz="4" w:space="0"/>
              <w:left w:val="single" w:color="000000" w:sz="4" w:space="0"/>
              <w:bottom w:val="single" w:color="000000" w:sz="4" w:space="0"/>
              <w:right w:val="single" w:color="000000" w:sz="4" w:space="0"/>
            </w:tcBorders>
            <w:shd w:val="clear" w:color="auto" w:fill="auto"/>
            <w:noWrap w:val="0"/>
            <w:vAlign w:val="bottom"/>
          </w:tcPr>
          <w:p>
            <w:pPr>
              <w:pStyle w:val="113"/>
              <w:shd w:val="clear"/>
              <w:bidi w:val="0"/>
              <w:rPr>
                <w:color w:val="auto"/>
                <w:highlight w:val="none"/>
              </w:rPr>
            </w:pPr>
            <w:r>
              <w:rPr>
                <w:color w:val="auto"/>
                <w:highlight w:val="none"/>
              </w:rPr>
              <w:t>面积比例％</w:t>
            </w:r>
          </w:p>
        </w:tc>
      </w:tr>
      <w:tr>
        <w:tblPrEx>
          <w:tblCellMar>
            <w:top w:w="0" w:type="dxa"/>
            <w:left w:w="108" w:type="dxa"/>
            <w:bottom w:w="0" w:type="dxa"/>
            <w:right w:w="108" w:type="dxa"/>
          </w:tblCellMar>
        </w:tblPrEx>
        <w:trPr>
          <w:trHeight w:val="300" w:hRule="atLeast"/>
        </w:trPr>
        <w:tc>
          <w:tcPr>
            <w:tcW w:w="1781" w:type="pct"/>
            <w:tcBorders>
              <w:top w:val="single" w:color="000000" w:sz="4" w:space="0"/>
              <w:left w:val="single" w:color="000000" w:sz="4" w:space="0"/>
              <w:bottom w:val="single" w:color="000000" w:sz="4" w:space="0"/>
              <w:right w:val="single" w:color="000000" w:sz="4" w:space="0"/>
            </w:tcBorders>
            <w:shd w:val="clear" w:color="auto" w:fill="auto"/>
            <w:noWrap w:val="0"/>
            <w:vAlign w:val="bottom"/>
          </w:tcPr>
          <w:p>
            <w:pPr>
              <w:pStyle w:val="113"/>
              <w:shd w:val="clear"/>
              <w:bidi w:val="0"/>
              <w:rPr>
                <w:color w:val="auto"/>
                <w:highlight w:val="none"/>
              </w:rPr>
            </w:pPr>
            <w:r>
              <w:rPr>
                <w:color w:val="auto"/>
                <w:highlight w:val="none"/>
              </w:rPr>
              <w:t>优</w:t>
            </w:r>
          </w:p>
        </w:tc>
        <w:tc>
          <w:tcPr>
            <w:tcW w:w="326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13"/>
              <w:shd w:val="clear"/>
              <w:bidi w:val="0"/>
              <w:rPr>
                <w:color w:val="auto"/>
                <w:highlight w:val="none"/>
              </w:rPr>
            </w:pPr>
            <w:r>
              <w:rPr>
                <w:rFonts w:hint="default"/>
                <w:color w:val="auto"/>
                <w:highlight w:val="none"/>
                <w:lang w:val="en-US" w:eastAsia="zh-CN"/>
              </w:rPr>
              <w:t>431.98</w:t>
            </w:r>
          </w:p>
        </w:tc>
        <w:tc>
          <w:tcPr>
            <w:tcW w:w="22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13"/>
              <w:shd w:val="clear"/>
              <w:bidi w:val="0"/>
              <w:rPr>
                <w:color w:val="auto"/>
                <w:highlight w:val="none"/>
              </w:rPr>
            </w:pPr>
            <w:r>
              <w:rPr>
                <w:rFonts w:hint="default"/>
                <w:color w:val="auto"/>
                <w:highlight w:val="none"/>
                <w:lang w:val="en-US" w:eastAsia="zh-CN"/>
              </w:rPr>
              <w:t>10.02%</w:t>
            </w:r>
          </w:p>
        </w:tc>
      </w:tr>
      <w:tr>
        <w:tblPrEx>
          <w:tblCellMar>
            <w:top w:w="0" w:type="dxa"/>
            <w:left w:w="108" w:type="dxa"/>
            <w:bottom w:w="0" w:type="dxa"/>
            <w:right w:w="108" w:type="dxa"/>
          </w:tblCellMar>
        </w:tblPrEx>
        <w:trPr>
          <w:trHeight w:val="300" w:hRule="atLeast"/>
        </w:trPr>
        <w:tc>
          <w:tcPr>
            <w:tcW w:w="1781" w:type="pct"/>
            <w:tcBorders>
              <w:top w:val="single" w:color="000000" w:sz="4" w:space="0"/>
              <w:left w:val="single" w:color="000000" w:sz="4" w:space="0"/>
              <w:bottom w:val="single" w:color="000000" w:sz="4" w:space="0"/>
              <w:right w:val="single" w:color="000000" w:sz="4" w:space="0"/>
            </w:tcBorders>
            <w:shd w:val="clear" w:color="auto" w:fill="auto"/>
            <w:noWrap w:val="0"/>
            <w:vAlign w:val="bottom"/>
          </w:tcPr>
          <w:p>
            <w:pPr>
              <w:pStyle w:val="113"/>
              <w:shd w:val="clear"/>
              <w:bidi w:val="0"/>
              <w:rPr>
                <w:color w:val="auto"/>
                <w:highlight w:val="none"/>
              </w:rPr>
            </w:pPr>
            <w:r>
              <w:rPr>
                <w:color w:val="auto"/>
                <w:highlight w:val="none"/>
              </w:rPr>
              <w:t>良</w:t>
            </w:r>
          </w:p>
        </w:tc>
        <w:tc>
          <w:tcPr>
            <w:tcW w:w="326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13"/>
              <w:shd w:val="clear"/>
              <w:bidi w:val="0"/>
              <w:rPr>
                <w:color w:val="auto"/>
                <w:highlight w:val="none"/>
              </w:rPr>
            </w:pPr>
            <w:r>
              <w:rPr>
                <w:rFonts w:hint="default"/>
                <w:color w:val="auto"/>
                <w:highlight w:val="none"/>
                <w:lang w:val="en-US" w:eastAsia="zh-CN"/>
              </w:rPr>
              <w:t>609.83</w:t>
            </w:r>
          </w:p>
        </w:tc>
        <w:tc>
          <w:tcPr>
            <w:tcW w:w="22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13"/>
              <w:shd w:val="clear"/>
              <w:bidi w:val="0"/>
              <w:rPr>
                <w:color w:val="auto"/>
                <w:highlight w:val="none"/>
              </w:rPr>
            </w:pPr>
            <w:r>
              <w:rPr>
                <w:rFonts w:hint="default"/>
                <w:color w:val="auto"/>
                <w:highlight w:val="none"/>
                <w:lang w:val="en-US" w:eastAsia="zh-CN"/>
              </w:rPr>
              <w:t>14.15%</w:t>
            </w:r>
          </w:p>
        </w:tc>
      </w:tr>
      <w:tr>
        <w:tblPrEx>
          <w:shd w:val="clear" w:color="auto" w:fill="auto"/>
          <w:tblCellMar>
            <w:top w:w="0" w:type="dxa"/>
            <w:left w:w="108" w:type="dxa"/>
            <w:bottom w:w="0" w:type="dxa"/>
            <w:right w:w="108" w:type="dxa"/>
          </w:tblCellMar>
        </w:tblPrEx>
        <w:trPr>
          <w:trHeight w:val="300" w:hRule="atLeast"/>
        </w:trPr>
        <w:tc>
          <w:tcPr>
            <w:tcW w:w="1781" w:type="pct"/>
            <w:tcBorders>
              <w:top w:val="single" w:color="000000" w:sz="4" w:space="0"/>
              <w:left w:val="single" w:color="000000" w:sz="4" w:space="0"/>
              <w:bottom w:val="single" w:color="000000" w:sz="4" w:space="0"/>
              <w:right w:val="single" w:color="000000" w:sz="4" w:space="0"/>
            </w:tcBorders>
            <w:shd w:val="clear" w:color="auto" w:fill="auto"/>
            <w:noWrap w:val="0"/>
            <w:vAlign w:val="bottom"/>
          </w:tcPr>
          <w:p>
            <w:pPr>
              <w:pStyle w:val="113"/>
              <w:shd w:val="clear"/>
              <w:bidi w:val="0"/>
              <w:rPr>
                <w:color w:val="auto"/>
                <w:highlight w:val="none"/>
              </w:rPr>
            </w:pPr>
            <w:r>
              <w:rPr>
                <w:color w:val="auto"/>
                <w:highlight w:val="none"/>
              </w:rPr>
              <w:t>中</w:t>
            </w:r>
          </w:p>
        </w:tc>
        <w:tc>
          <w:tcPr>
            <w:tcW w:w="326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13"/>
              <w:shd w:val="clear"/>
              <w:bidi w:val="0"/>
              <w:rPr>
                <w:color w:val="auto"/>
                <w:highlight w:val="none"/>
              </w:rPr>
            </w:pPr>
            <w:r>
              <w:rPr>
                <w:rFonts w:hint="default"/>
                <w:color w:val="auto"/>
                <w:highlight w:val="none"/>
                <w:lang w:val="en-US" w:eastAsia="zh-CN"/>
              </w:rPr>
              <w:t>2000.25</w:t>
            </w:r>
          </w:p>
        </w:tc>
        <w:tc>
          <w:tcPr>
            <w:tcW w:w="22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13"/>
              <w:shd w:val="clear"/>
              <w:bidi w:val="0"/>
              <w:rPr>
                <w:color w:val="auto"/>
                <w:highlight w:val="none"/>
              </w:rPr>
            </w:pPr>
            <w:r>
              <w:rPr>
                <w:rFonts w:hint="default"/>
                <w:color w:val="auto"/>
                <w:highlight w:val="none"/>
                <w:lang w:val="en-US" w:eastAsia="zh-CN"/>
              </w:rPr>
              <w:t>46.41%</w:t>
            </w:r>
          </w:p>
        </w:tc>
      </w:tr>
      <w:tr>
        <w:tblPrEx>
          <w:shd w:val="clear" w:color="auto" w:fill="auto"/>
          <w:tblCellMar>
            <w:top w:w="0" w:type="dxa"/>
            <w:left w:w="108" w:type="dxa"/>
            <w:bottom w:w="0" w:type="dxa"/>
            <w:right w:w="108" w:type="dxa"/>
          </w:tblCellMar>
        </w:tblPrEx>
        <w:trPr>
          <w:trHeight w:val="300" w:hRule="atLeast"/>
        </w:trPr>
        <w:tc>
          <w:tcPr>
            <w:tcW w:w="178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13"/>
              <w:shd w:val="clear"/>
              <w:bidi w:val="0"/>
              <w:rPr>
                <w:color w:val="auto"/>
                <w:highlight w:val="none"/>
              </w:rPr>
            </w:pPr>
            <w:r>
              <w:rPr>
                <w:color w:val="auto"/>
                <w:highlight w:val="none"/>
              </w:rPr>
              <w:t>差</w:t>
            </w:r>
          </w:p>
        </w:tc>
        <w:tc>
          <w:tcPr>
            <w:tcW w:w="326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13"/>
              <w:shd w:val="clear"/>
              <w:bidi w:val="0"/>
              <w:rPr>
                <w:color w:val="auto"/>
                <w:highlight w:val="none"/>
              </w:rPr>
            </w:pPr>
            <w:r>
              <w:rPr>
                <w:rFonts w:hint="default"/>
                <w:color w:val="auto"/>
                <w:highlight w:val="none"/>
                <w:lang w:val="en-US" w:eastAsia="zh-CN"/>
              </w:rPr>
              <w:t>1135.8</w:t>
            </w:r>
          </w:p>
        </w:tc>
        <w:tc>
          <w:tcPr>
            <w:tcW w:w="22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13"/>
              <w:shd w:val="clear"/>
              <w:bidi w:val="0"/>
              <w:rPr>
                <w:color w:val="auto"/>
                <w:highlight w:val="none"/>
              </w:rPr>
            </w:pPr>
            <w:r>
              <w:rPr>
                <w:rFonts w:hint="default"/>
                <w:color w:val="auto"/>
                <w:highlight w:val="none"/>
                <w:lang w:val="en-US" w:eastAsia="zh-CN"/>
              </w:rPr>
              <w:t>26.36%</w:t>
            </w:r>
          </w:p>
        </w:tc>
      </w:tr>
      <w:tr>
        <w:tblPrEx>
          <w:tblCellMar>
            <w:top w:w="0" w:type="dxa"/>
            <w:left w:w="108" w:type="dxa"/>
            <w:bottom w:w="0" w:type="dxa"/>
            <w:right w:w="108" w:type="dxa"/>
          </w:tblCellMar>
        </w:tblPrEx>
        <w:trPr>
          <w:trHeight w:val="300" w:hRule="atLeast"/>
        </w:trPr>
        <w:tc>
          <w:tcPr>
            <w:tcW w:w="1781" w:type="pct"/>
            <w:tcBorders>
              <w:top w:val="single" w:color="000000" w:sz="4" w:space="0"/>
              <w:left w:val="single" w:color="000000" w:sz="4" w:space="0"/>
              <w:bottom w:val="single" w:color="000000" w:sz="4" w:space="0"/>
              <w:right w:val="single" w:color="000000" w:sz="4" w:space="0"/>
            </w:tcBorders>
            <w:shd w:val="clear" w:color="auto" w:fill="auto"/>
            <w:noWrap w:val="0"/>
            <w:vAlign w:val="bottom"/>
          </w:tcPr>
          <w:p>
            <w:pPr>
              <w:pStyle w:val="113"/>
              <w:shd w:val="clear"/>
              <w:bidi w:val="0"/>
              <w:rPr>
                <w:color w:val="auto"/>
                <w:highlight w:val="none"/>
              </w:rPr>
            </w:pPr>
            <w:r>
              <w:rPr>
                <w:color w:val="auto"/>
                <w:highlight w:val="none"/>
              </w:rPr>
              <w:t>劣</w:t>
            </w:r>
          </w:p>
        </w:tc>
        <w:tc>
          <w:tcPr>
            <w:tcW w:w="326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13"/>
              <w:shd w:val="clear"/>
              <w:bidi w:val="0"/>
              <w:rPr>
                <w:color w:val="auto"/>
                <w:highlight w:val="none"/>
              </w:rPr>
            </w:pPr>
            <w:r>
              <w:rPr>
                <w:rFonts w:hint="default"/>
                <w:color w:val="auto"/>
                <w:highlight w:val="none"/>
                <w:lang w:val="en-US" w:eastAsia="zh-CN"/>
              </w:rPr>
              <w:t>131.66</w:t>
            </w:r>
          </w:p>
        </w:tc>
        <w:tc>
          <w:tcPr>
            <w:tcW w:w="22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13"/>
              <w:shd w:val="clear"/>
              <w:bidi w:val="0"/>
              <w:rPr>
                <w:color w:val="auto"/>
                <w:highlight w:val="none"/>
              </w:rPr>
            </w:pPr>
            <w:r>
              <w:rPr>
                <w:rFonts w:hint="default"/>
                <w:color w:val="auto"/>
                <w:highlight w:val="none"/>
                <w:lang w:val="en-US" w:eastAsia="zh-CN"/>
              </w:rPr>
              <w:t>3.06%</w:t>
            </w:r>
          </w:p>
        </w:tc>
      </w:tr>
      <w:tr>
        <w:tblPrEx>
          <w:shd w:val="clear" w:color="auto" w:fill="auto"/>
          <w:tblCellMar>
            <w:top w:w="0" w:type="dxa"/>
            <w:left w:w="108" w:type="dxa"/>
            <w:bottom w:w="0" w:type="dxa"/>
            <w:right w:w="108" w:type="dxa"/>
          </w:tblCellMar>
        </w:tblPrEx>
        <w:trPr>
          <w:trHeight w:val="300" w:hRule="atLeast"/>
        </w:trPr>
        <w:tc>
          <w:tcPr>
            <w:tcW w:w="178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13"/>
              <w:shd w:val="clear"/>
              <w:bidi w:val="0"/>
              <w:rPr>
                <w:color w:val="auto"/>
                <w:highlight w:val="none"/>
              </w:rPr>
            </w:pPr>
            <w:r>
              <w:rPr>
                <w:color w:val="auto"/>
                <w:highlight w:val="none"/>
              </w:rPr>
              <w:t>合计</w:t>
            </w:r>
          </w:p>
        </w:tc>
        <w:tc>
          <w:tcPr>
            <w:tcW w:w="326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13"/>
              <w:shd w:val="clear"/>
              <w:bidi w:val="0"/>
              <w:rPr>
                <w:color w:val="auto"/>
                <w:highlight w:val="none"/>
              </w:rPr>
            </w:pPr>
            <w:r>
              <w:rPr>
                <w:rFonts w:hint="default"/>
                <w:color w:val="auto"/>
                <w:highlight w:val="none"/>
                <w:lang w:val="en-US" w:eastAsia="zh-CN"/>
              </w:rPr>
              <w:t>4309.52</w:t>
            </w:r>
          </w:p>
        </w:tc>
        <w:tc>
          <w:tcPr>
            <w:tcW w:w="22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113"/>
              <w:shd w:val="clear"/>
              <w:bidi w:val="0"/>
              <w:rPr>
                <w:color w:val="auto"/>
                <w:highlight w:val="none"/>
              </w:rPr>
            </w:pPr>
            <w:r>
              <w:rPr>
                <w:rFonts w:hint="default"/>
                <w:color w:val="auto"/>
                <w:highlight w:val="none"/>
                <w:lang w:val="en-US" w:eastAsia="zh-CN"/>
              </w:rPr>
              <w:t>100.00%</w:t>
            </w:r>
          </w:p>
        </w:tc>
      </w:tr>
    </w:tbl>
    <w:p>
      <w:pPr>
        <w:pStyle w:val="76"/>
        <w:keepNext w:val="0"/>
        <w:keepLines w:val="0"/>
        <w:pageBreakBefore w:val="0"/>
        <w:widowControl w:val="0"/>
        <w:shd w:val="clear" w:color="auto"/>
        <w:kinsoku/>
        <w:wordWrap/>
        <w:overflowPunct/>
        <w:topLinePunct w:val="0"/>
        <w:autoSpaceDE/>
        <w:autoSpaceDN/>
        <w:bidi w:val="0"/>
        <w:adjustRightInd/>
        <w:snapToGrid/>
        <w:spacing w:before="0" w:beforeLines="0" w:afterLines="0" w:line="360" w:lineRule="auto"/>
        <w:ind w:left="0" w:leftChars="0" w:firstLine="482" w:firstLineChars="200"/>
        <w:jc w:val="left"/>
        <w:textAlignment w:val="auto"/>
        <w:rPr>
          <w:rStyle w:val="78"/>
          <w:rFonts w:hint="default" w:ascii="Times New Roman" w:hAnsi="Times New Roman" w:eastAsia="宋体" w:cs="Times New Roman"/>
          <w:b/>
          <w:bCs/>
          <w:color w:val="auto"/>
          <w:sz w:val="24"/>
          <w:szCs w:val="24"/>
          <w:highlight w:val="none"/>
          <w:lang w:val="en-US" w:eastAsia="zh-CN"/>
        </w:rPr>
      </w:pPr>
      <w:r>
        <w:rPr>
          <w:rStyle w:val="78"/>
          <w:rFonts w:hint="eastAsia" w:ascii="Times New Roman" w:hAnsi="Times New Roman" w:eastAsia="宋体" w:cs="Times New Roman"/>
          <w:b/>
          <w:bCs/>
          <w:color w:val="auto"/>
          <w:sz w:val="24"/>
          <w:szCs w:val="24"/>
          <w:highlight w:val="none"/>
          <w:lang w:val="en-US" w:eastAsia="zh-CN"/>
        </w:rPr>
        <w:t>四、</w:t>
      </w:r>
      <w:r>
        <w:rPr>
          <w:rStyle w:val="78"/>
          <w:rFonts w:hint="default" w:ascii="Times New Roman" w:hAnsi="Times New Roman" w:eastAsia="宋体" w:cs="Times New Roman"/>
          <w:b/>
          <w:bCs/>
          <w:color w:val="auto"/>
          <w:sz w:val="24"/>
          <w:szCs w:val="24"/>
          <w:highlight w:val="none"/>
          <w:lang w:val="en-US" w:eastAsia="zh-CN"/>
        </w:rPr>
        <w:t>生态系统服务功能</w:t>
      </w:r>
    </w:p>
    <w:p>
      <w:pPr>
        <w:shd w:val="clear"/>
        <w:ind w:firstLine="480"/>
        <w:rPr>
          <w:color w:val="auto"/>
          <w:highlight w:val="none"/>
        </w:rPr>
      </w:pPr>
      <w:r>
        <w:rPr>
          <w:color w:val="auto"/>
          <w:highlight w:val="none"/>
        </w:rPr>
        <w:t>根据自然等级组织理论，上一级系统的功能，不仅取决于构成其系统的下一级系统的组成结构，而且决定于其系统中各种因子的组合规律和相互作用。评价区是由不同生态系统类型构成的区域生态系统，其系统功能主要由区域生态系统的生物量和水土保持功能所决定。</w:t>
      </w:r>
    </w:p>
    <w:p>
      <w:pPr>
        <w:shd w:val="clear"/>
        <w:ind w:firstLine="482"/>
        <w:rPr>
          <w:b/>
          <w:bCs/>
          <w:color w:val="0000FF"/>
          <w:highlight w:val="none"/>
        </w:rPr>
      </w:pPr>
      <w:r>
        <w:rPr>
          <w:b/>
          <w:bCs/>
          <w:color w:val="0000FF"/>
          <w:highlight w:val="none"/>
        </w:rPr>
        <w:t>（1）生物生产力现状与评价</w:t>
      </w:r>
    </w:p>
    <w:p>
      <w:pPr>
        <w:shd w:val="clear"/>
        <w:ind w:firstLine="480"/>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FF"/>
          <w:sz w:val="24"/>
          <w:szCs w:val="24"/>
        </w:rPr>
        <w:t>区域生态系统生产力的评价指标主要是其植被</w:t>
      </w:r>
      <w:r>
        <w:rPr>
          <w:rFonts w:hint="default" w:ascii="Times New Roman" w:hAnsi="Times New Roman" w:cs="Times New Roman"/>
          <w:color w:val="0000FF"/>
          <w:highlight w:val="none"/>
        </w:rPr>
        <w:t>生产力</w:t>
      </w:r>
      <w:r>
        <w:rPr>
          <w:rFonts w:hint="default" w:ascii="Times New Roman" w:hAnsi="Times New Roman" w:eastAsia="宋体" w:cs="Times New Roman"/>
          <w:color w:val="0000FF"/>
          <w:sz w:val="24"/>
          <w:szCs w:val="24"/>
        </w:rPr>
        <w:t>。植被生产力指各类土地上的植被生长量，单位用“吨/年(t/a)”表示。而各植被生产量等于各植被类型的面积乘以其单位面积的年生产量，即净生产力，后者通常用“t(干重)/a.hm</w:t>
      </w:r>
      <w:r>
        <w:rPr>
          <w:rFonts w:hint="default" w:ascii="Times New Roman" w:hAnsi="Times New Roman" w:eastAsia="宋体" w:cs="Times New Roman"/>
          <w:color w:val="0000FF"/>
          <w:sz w:val="24"/>
          <w:szCs w:val="24"/>
          <w:vertAlign w:val="superscript"/>
        </w:rPr>
        <w:t>2</w:t>
      </w:r>
      <w:r>
        <w:rPr>
          <w:rFonts w:hint="default" w:ascii="Times New Roman" w:hAnsi="Times New Roman" w:eastAsia="宋体" w:cs="Times New Roman"/>
          <w:color w:val="0000FF"/>
          <w:sz w:val="24"/>
          <w:szCs w:val="24"/>
        </w:rPr>
        <w:t>”表示。</w:t>
      </w:r>
    </w:p>
    <w:p>
      <w:pPr>
        <w:shd w:val="clear"/>
        <w:ind w:firstLine="480"/>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FF"/>
          <w:sz w:val="24"/>
          <w:szCs w:val="24"/>
        </w:rPr>
        <w:t>参照“季风常绿阔叶林短刺栲群落净第一性生产力的研究”(党承林，吴兆录，1992，云南大学学报(自然科学版)，14(2))，“我国森林植被的生物量和净生产量”(方精云、刘国华、徐嵩林，1996，生态学报，16(5))，“中国不同气候带各类型森林的生物量和净第一性生产力”(李高飞，任海，2004，热带地理，24(4))，以及《生物圈第一性生产力》(H.里思，R.H.惠特克，2001)的相关文献，对我国各地带主要植被类型生产力的计算方法，计算评价区各植被类型(生态系统)的生物生产力。</w:t>
      </w:r>
    </w:p>
    <w:p>
      <w:pPr>
        <w:shd w:val="clear"/>
        <w:ind w:firstLine="480"/>
        <w:rPr>
          <w:color w:val="0000FF"/>
          <w:highlight w:val="none"/>
        </w:rPr>
      </w:pPr>
      <w:r>
        <w:rPr>
          <w:rFonts w:cs="Times New Roman"/>
          <w:color w:val="0000FF"/>
        </w:rPr>
        <w:t>根据评价区内各种植被类型(</w:t>
      </w:r>
      <w:r>
        <w:rPr>
          <w:rFonts w:ascii="Times New Roman" w:hAnsi="Times New Roman" w:cs="Times New Roman"/>
          <w:color w:val="0000FF"/>
          <w:highlight w:val="none"/>
        </w:rPr>
        <w:t>生态</w:t>
      </w:r>
      <w:r>
        <w:rPr>
          <w:rFonts w:cs="Times New Roman"/>
          <w:color w:val="0000FF"/>
        </w:rPr>
        <w:t>系统)的面积，以及各植被类型(生态系统)的净生产力(t/a.hm</w:t>
      </w:r>
      <w:r>
        <w:rPr>
          <w:rFonts w:cs="Times New Roman"/>
          <w:color w:val="0000FF"/>
          <w:vertAlign w:val="superscript"/>
        </w:rPr>
        <w:t>2</w:t>
      </w:r>
      <w:r>
        <w:rPr>
          <w:rFonts w:cs="Times New Roman"/>
          <w:color w:val="0000FF"/>
        </w:rPr>
        <w:t>)，计算得到评价区生态系统的年生产力及其总和，具体见下表。</w:t>
      </w:r>
    </w:p>
    <w:p>
      <w:pPr>
        <w:pStyle w:val="112"/>
        <w:shd w:val="clear"/>
        <w:rPr>
          <w:color w:val="0000FF"/>
          <w:sz w:val="24"/>
          <w:szCs w:val="24"/>
          <w:highlight w:val="none"/>
        </w:rPr>
      </w:pPr>
      <w:r>
        <w:rPr>
          <w:color w:val="0000FF"/>
          <w:sz w:val="24"/>
          <w:szCs w:val="24"/>
          <w:highlight w:val="none"/>
        </w:rPr>
        <w:t>表</w:t>
      </w:r>
      <w:r>
        <w:rPr>
          <w:rFonts w:hint="eastAsia"/>
          <w:color w:val="0000FF"/>
          <w:sz w:val="24"/>
          <w:szCs w:val="24"/>
          <w:highlight w:val="none"/>
          <w:lang w:val="en-US" w:eastAsia="zh-CN"/>
        </w:rPr>
        <w:t xml:space="preserve">4.2.5-21  </w:t>
      </w:r>
      <w:r>
        <w:rPr>
          <w:color w:val="0000FF"/>
          <w:sz w:val="24"/>
          <w:szCs w:val="24"/>
          <w:highlight w:val="none"/>
        </w:rPr>
        <w:t>评价范围各植被类型的生产力现状</w:t>
      </w:r>
    </w:p>
    <w:tbl>
      <w:tblPr>
        <w:tblStyle w:val="29"/>
        <w:tblW w:w="4998" w:type="pct"/>
        <w:jc w:val="center"/>
        <w:shd w:val="clear" w:color="auto" w:fill="auto"/>
        <w:tblLayout w:type="autofit"/>
        <w:tblCellMar>
          <w:top w:w="0" w:type="dxa"/>
          <w:left w:w="108" w:type="dxa"/>
          <w:bottom w:w="0" w:type="dxa"/>
          <w:right w:w="108" w:type="dxa"/>
        </w:tblCellMar>
      </w:tblPr>
      <w:tblGrid>
        <w:gridCol w:w="2115"/>
        <w:gridCol w:w="1982"/>
        <w:gridCol w:w="1469"/>
        <w:gridCol w:w="1699"/>
        <w:gridCol w:w="1254"/>
      </w:tblGrid>
      <w:tr>
        <w:tblPrEx>
          <w:shd w:val="clear" w:color="auto" w:fill="auto"/>
          <w:tblCellMar>
            <w:top w:w="0" w:type="dxa"/>
            <w:left w:w="108" w:type="dxa"/>
            <w:bottom w:w="0" w:type="dxa"/>
            <w:right w:w="108" w:type="dxa"/>
          </w:tblCellMar>
        </w:tblPrEx>
        <w:trPr>
          <w:trHeight w:val="340" w:hRule="atLeast"/>
          <w:jc w:val="center"/>
        </w:trPr>
        <w:tc>
          <w:tcPr>
            <w:tcW w:w="124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13"/>
              <w:keepNext w:val="0"/>
              <w:keepLines w:val="0"/>
              <w:pageBreakBefore w:val="0"/>
              <w:shd w:val="clear"/>
              <w:kinsoku/>
              <w:wordWrap/>
              <w:overflowPunct/>
              <w:topLinePunct w:val="0"/>
              <w:autoSpaceDE/>
              <w:autoSpaceDN/>
              <w:bidi w:val="0"/>
              <w:adjustRightInd/>
              <w:snapToGrid w:val="0"/>
              <w:spacing w:line="240" w:lineRule="auto"/>
              <w:ind w:firstLine="0" w:firstLineChars="0"/>
              <w:rPr>
                <w:b/>
                <w:bCs/>
                <w:color w:val="0000FF"/>
                <w:highlight w:val="none"/>
              </w:rPr>
            </w:pPr>
            <w:r>
              <w:rPr>
                <w:b/>
                <w:bCs/>
                <w:color w:val="0000FF"/>
                <w:highlight w:val="none"/>
              </w:rPr>
              <w:t>植被类型</w:t>
            </w:r>
          </w:p>
        </w:tc>
        <w:tc>
          <w:tcPr>
            <w:tcW w:w="116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13"/>
              <w:keepNext w:val="0"/>
              <w:keepLines w:val="0"/>
              <w:pageBreakBefore w:val="0"/>
              <w:shd w:val="clear"/>
              <w:kinsoku/>
              <w:wordWrap/>
              <w:overflowPunct/>
              <w:topLinePunct w:val="0"/>
              <w:autoSpaceDE/>
              <w:autoSpaceDN/>
              <w:bidi w:val="0"/>
              <w:adjustRightInd/>
              <w:snapToGrid w:val="0"/>
              <w:spacing w:line="240" w:lineRule="auto"/>
              <w:ind w:firstLine="0" w:firstLineChars="0"/>
              <w:rPr>
                <w:b/>
                <w:bCs/>
                <w:color w:val="0000FF"/>
                <w:highlight w:val="none"/>
              </w:rPr>
            </w:pPr>
            <w:r>
              <w:rPr>
                <w:b/>
                <w:bCs/>
                <w:color w:val="0000FF"/>
                <w:highlight w:val="none"/>
              </w:rPr>
              <w:t>平均生产力t/hm².a</w:t>
            </w:r>
          </w:p>
        </w:tc>
        <w:tc>
          <w:tcPr>
            <w:tcW w:w="862"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13"/>
              <w:keepNext w:val="0"/>
              <w:keepLines w:val="0"/>
              <w:pageBreakBefore w:val="0"/>
              <w:shd w:val="clear"/>
              <w:kinsoku/>
              <w:wordWrap/>
              <w:overflowPunct/>
              <w:topLinePunct w:val="0"/>
              <w:autoSpaceDE/>
              <w:autoSpaceDN/>
              <w:bidi w:val="0"/>
              <w:adjustRightInd/>
              <w:snapToGrid w:val="0"/>
              <w:spacing w:line="240" w:lineRule="auto"/>
              <w:ind w:firstLine="0" w:firstLineChars="0"/>
              <w:rPr>
                <w:b/>
                <w:bCs/>
                <w:color w:val="0000FF"/>
                <w:highlight w:val="none"/>
              </w:rPr>
            </w:pPr>
            <w:r>
              <w:rPr>
                <w:b/>
                <w:bCs/>
                <w:color w:val="0000FF"/>
                <w:highlight w:val="none"/>
              </w:rPr>
              <w:t>面积(hm²)</w:t>
            </w:r>
          </w:p>
        </w:tc>
        <w:tc>
          <w:tcPr>
            <w:tcW w:w="9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13"/>
              <w:keepNext w:val="0"/>
              <w:keepLines w:val="0"/>
              <w:pageBreakBefore w:val="0"/>
              <w:shd w:val="clear"/>
              <w:kinsoku/>
              <w:wordWrap/>
              <w:overflowPunct/>
              <w:topLinePunct w:val="0"/>
              <w:autoSpaceDE/>
              <w:autoSpaceDN/>
              <w:bidi w:val="0"/>
              <w:adjustRightInd/>
              <w:snapToGrid w:val="0"/>
              <w:spacing w:line="240" w:lineRule="auto"/>
              <w:ind w:firstLine="0" w:firstLineChars="0"/>
              <w:rPr>
                <w:b/>
                <w:bCs/>
                <w:color w:val="0000FF"/>
                <w:highlight w:val="none"/>
              </w:rPr>
            </w:pPr>
            <w:r>
              <w:rPr>
                <w:b/>
                <w:bCs/>
                <w:color w:val="0000FF"/>
                <w:highlight w:val="none"/>
              </w:rPr>
              <w:t>总生产力(t/a)</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113"/>
              <w:keepNext w:val="0"/>
              <w:keepLines w:val="0"/>
              <w:pageBreakBefore w:val="0"/>
              <w:shd w:val="clear"/>
              <w:kinsoku/>
              <w:wordWrap/>
              <w:overflowPunct/>
              <w:topLinePunct w:val="0"/>
              <w:autoSpaceDE/>
              <w:autoSpaceDN/>
              <w:bidi w:val="0"/>
              <w:adjustRightInd/>
              <w:snapToGrid w:val="0"/>
              <w:spacing w:line="240" w:lineRule="auto"/>
              <w:ind w:firstLine="0" w:firstLineChars="0"/>
              <w:rPr>
                <w:b/>
                <w:bCs/>
                <w:color w:val="0000FF"/>
                <w:highlight w:val="none"/>
              </w:rPr>
            </w:pPr>
            <w:r>
              <w:rPr>
                <w:b/>
                <w:bCs/>
                <w:color w:val="0000FF"/>
                <w:highlight w:val="none"/>
              </w:rPr>
              <w:t>占总比例(%)</w:t>
            </w:r>
          </w:p>
        </w:tc>
      </w:tr>
      <w:tr>
        <w:tblPrEx>
          <w:shd w:val="clear" w:color="auto" w:fill="auto"/>
          <w:tblCellMar>
            <w:top w:w="0" w:type="dxa"/>
            <w:left w:w="108" w:type="dxa"/>
            <w:bottom w:w="0" w:type="dxa"/>
            <w:right w:w="108" w:type="dxa"/>
          </w:tblCellMar>
        </w:tblPrEx>
        <w:trPr>
          <w:trHeight w:val="340" w:hRule="atLeast"/>
          <w:jc w:val="center"/>
        </w:trPr>
        <w:tc>
          <w:tcPr>
            <w:tcW w:w="124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eastAsia" w:ascii="宋体" w:hAnsi="宋体" w:eastAsia="宋体" w:cs="宋体"/>
                <w:i w:val="0"/>
                <w:iCs w:val="0"/>
                <w:color w:val="0000FF"/>
                <w:kern w:val="0"/>
                <w:sz w:val="21"/>
                <w:szCs w:val="21"/>
                <w:highlight w:val="none"/>
                <w:u w:val="none"/>
                <w:lang w:val="en-US" w:eastAsia="zh-CN" w:bidi="ar"/>
              </w:rPr>
              <w:t>暖</w:t>
            </w:r>
            <w:r>
              <w:rPr>
                <w:rFonts w:hint="eastAsia" w:ascii="宋体" w:hAnsi="宋体" w:cs="宋体"/>
                <w:i w:val="0"/>
                <w:iCs w:val="0"/>
                <w:color w:val="0000FF"/>
                <w:kern w:val="0"/>
                <w:sz w:val="21"/>
                <w:szCs w:val="21"/>
                <w:highlight w:val="none"/>
                <w:u w:val="none"/>
                <w:lang w:val="en-US" w:eastAsia="zh-CN" w:bidi="ar"/>
              </w:rPr>
              <w:t>温</w:t>
            </w:r>
            <w:r>
              <w:rPr>
                <w:rFonts w:hint="eastAsia" w:ascii="宋体" w:hAnsi="宋体" w:eastAsia="宋体" w:cs="宋体"/>
                <w:i w:val="0"/>
                <w:iCs w:val="0"/>
                <w:color w:val="0000FF"/>
                <w:kern w:val="0"/>
                <w:sz w:val="21"/>
                <w:szCs w:val="21"/>
                <w:highlight w:val="none"/>
                <w:u w:val="none"/>
                <w:lang w:val="en-US" w:eastAsia="zh-CN" w:bidi="ar"/>
              </w:rPr>
              <w:t>性针叶林</w:t>
            </w:r>
          </w:p>
        </w:tc>
        <w:tc>
          <w:tcPr>
            <w:tcW w:w="116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color w:val="0000FF"/>
                <w:highlight w:val="none"/>
                <w:lang w:val="en-US"/>
              </w:rPr>
            </w:pPr>
            <w:r>
              <w:rPr>
                <w:rFonts w:hint="eastAsia" w:cs="Times New Roman"/>
                <w:i w:val="0"/>
                <w:iCs w:val="0"/>
                <w:color w:val="0000FF"/>
                <w:kern w:val="0"/>
                <w:sz w:val="21"/>
                <w:szCs w:val="21"/>
                <w:highlight w:val="none"/>
                <w:u w:val="none"/>
                <w:lang w:val="en-US" w:eastAsia="zh-CN" w:bidi="ar"/>
              </w:rPr>
              <w:t>11</w:t>
            </w:r>
          </w:p>
        </w:tc>
        <w:tc>
          <w:tcPr>
            <w:tcW w:w="862"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138.22</w:t>
            </w:r>
          </w:p>
        </w:tc>
        <w:tc>
          <w:tcPr>
            <w:tcW w:w="9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1520.42 </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5.74%</w:t>
            </w:r>
          </w:p>
        </w:tc>
      </w:tr>
      <w:tr>
        <w:tblPrEx>
          <w:shd w:val="clear" w:color="auto" w:fill="auto"/>
          <w:tblCellMar>
            <w:top w:w="0" w:type="dxa"/>
            <w:left w:w="108" w:type="dxa"/>
            <w:bottom w:w="0" w:type="dxa"/>
            <w:right w:w="108" w:type="dxa"/>
          </w:tblCellMar>
        </w:tblPrEx>
        <w:trPr>
          <w:trHeight w:val="325" w:hRule="atLeast"/>
          <w:jc w:val="center"/>
        </w:trPr>
        <w:tc>
          <w:tcPr>
            <w:tcW w:w="124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eastAsia" w:ascii="宋体" w:hAnsi="宋体" w:eastAsia="宋体" w:cs="宋体"/>
                <w:i w:val="0"/>
                <w:iCs w:val="0"/>
                <w:color w:val="0000FF"/>
                <w:kern w:val="0"/>
                <w:sz w:val="21"/>
                <w:szCs w:val="21"/>
                <w:highlight w:val="none"/>
                <w:u w:val="none"/>
                <w:lang w:val="en-US" w:eastAsia="zh-CN" w:bidi="ar"/>
              </w:rPr>
              <w:t>干热性灌丛</w:t>
            </w:r>
          </w:p>
        </w:tc>
        <w:tc>
          <w:tcPr>
            <w:tcW w:w="116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eastAsia" w:cs="Times New Roman"/>
                <w:i w:val="0"/>
                <w:iCs w:val="0"/>
                <w:color w:val="0000FF"/>
                <w:kern w:val="0"/>
                <w:sz w:val="21"/>
                <w:szCs w:val="21"/>
                <w:highlight w:val="none"/>
                <w:u w:val="none"/>
                <w:lang w:val="en-US" w:eastAsia="zh-CN" w:bidi="ar"/>
              </w:rPr>
              <w:t>5</w:t>
            </w:r>
          </w:p>
        </w:tc>
        <w:tc>
          <w:tcPr>
            <w:tcW w:w="862"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1190.43</w:t>
            </w:r>
          </w:p>
        </w:tc>
        <w:tc>
          <w:tcPr>
            <w:tcW w:w="9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5952.15 </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22.47%</w:t>
            </w:r>
          </w:p>
        </w:tc>
      </w:tr>
      <w:tr>
        <w:tblPrEx>
          <w:tblCellMar>
            <w:top w:w="0" w:type="dxa"/>
            <w:left w:w="108" w:type="dxa"/>
            <w:bottom w:w="0" w:type="dxa"/>
            <w:right w:w="108" w:type="dxa"/>
          </w:tblCellMar>
        </w:tblPrEx>
        <w:trPr>
          <w:trHeight w:val="340" w:hRule="atLeast"/>
          <w:jc w:val="center"/>
        </w:trPr>
        <w:tc>
          <w:tcPr>
            <w:tcW w:w="124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eastAsia" w:ascii="宋体" w:hAnsi="宋体" w:eastAsia="宋体" w:cs="宋体"/>
                <w:i w:val="0"/>
                <w:iCs w:val="0"/>
                <w:color w:val="0000FF"/>
                <w:kern w:val="0"/>
                <w:sz w:val="21"/>
                <w:szCs w:val="21"/>
                <w:highlight w:val="none"/>
                <w:u w:val="none"/>
                <w:lang w:val="en-US" w:eastAsia="zh-CN" w:bidi="ar"/>
              </w:rPr>
              <w:t>干热性稀树灌木草丛</w:t>
            </w:r>
          </w:p>
        </w:tc>
        <w:tc>
          <w:tcPr>
            <w:tcW w:w="116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eastAsia" w:cs="Times New Roman"/>
                <w:i w:val="0"/>
                <w:iCs w:val="0"/>
                <w:color w:val="0000FF"/>
                <w:kern w:val="0"/>
                <w:sz w:val="21"/>
                <w:szCs w:val="21"/>
                <w:highlight w:val="none"/>
                <w:u w:val="none"/>
                <w:lang w:val="en-US" w:eastAsia="zh-CN" w:bidi="ar"/>
              </w:rPr>
              <w:t>5</w:t>
            </w:r>
          </w:p>
        </w:tc>
        <w:tc>
          <w:tcPr>
            <w:tcW w:w="862"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809.82</w:t>
            </w:r>
          </w:p>
        </w:tc>
        <w:tc>
          <w:tcPr>
            <w:tcW w:w="9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4049.10 </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15.28%</w:t>
            </w:r>
          </w:p>
        </w:tc>
      </w:tr>
      <w:tr>
        <w:tblPrEx>
          <w:tblCellMar>
            <w:top w:w="0" w:type="dxa"/>
            <w:left w:w="108" w:type="dxa"/>
            <w:bottom w:w="0" w:type="dxa"/>
            <w:right w:w="108" w:type="dxa"/>
          </w:tblCellMar>
        </w:tblPrEx>
        <w:trPr>
          <w:trHeight w:val="340" w:hRule="atLeast"/>
          <w:jc w:val="center"/>
        </w:trPr>
        <w:tc>
          <w:tcPr>
            <w:tcW w:w="124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eastAsia" w:ascii="宋体" w:hAnsi="宋体" w:eastAsia="宋体" w:cs="宋体"/>
                <w:i w:val="0"/>
                <w:iCs w:val="0"/>
                <w:color w:val="0000FF"/>
                <w:kern w:val="0"/>
                <w:sz w:val="21"/>
                <w:szCs w:val="21"/>
                <w:highlight w:val="none"/>
                <w:u w:val="none"/>
                <w:lang w:val="en-US" w:eastAsia="zh-CN" w:bidi="ar"/>
              </w:rPr>
              <w:t>人工林植被</w:t>
            </w:r>
          </w:p>
        </w:tc>
        <w:tc>
          <w:tcPr>
            <w:tcW w:w="116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color w:val="0000FF"/>
                <w:highlight w:val="none"/>
                <w:lang w:val="en-US"/>
              </w:rPr>
            </w:pPr>
            <w:r>
              <w:rPr>
                <w:rFonts w:hint="eastAsia" w:cs="Times New Roman"/>
                <w:i w:val="0"/>
                <w:iCs w:val="0"/>
                <w:color w:val="0000FF"/>
                <w:kern w:val="0"/>
                <w:sz w:val="21"/>
                <w:szCs w:val="21"/>
                <w:highlight w:val="none"/>
                <w:u w:val="none"/>
                <w:lang w:val="en-US" w:eastAsia="zh-CN" w:bidi="ar"/>
              </w:rPr>
              <w:t>11</w:t>
            </w:r>
          </w:p>
        </w:tc>
        <w:tc>
          <w:tcPr>
            <w:tcW w:w="862"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556.32</w:t>
            </w:r>
          </w:p>
        </w:tc>
        <w:tc>
          <w:tcPr>
            <w:tcW w:w="9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6119.52 </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23.10%</w:t>
            </w:r>
          </w:p>
        </w:tc>
      </w:tr>
      <w:tr>
        <w:tblPrEx>
          <w:shd w:val="clear" w:color="auto" w:fill="auto"/>
          <w:tblCellMar>
            <w:top w:w="0" w:type="dxa"/>
            <w:left w:w="108" w:type="dxa"/>
            <w:bottom w:w="0" w:type="dxa"/>
            <w:right w:w="108" w:type="dxa"/>
          </w:tblCellMar>
        </w:tblPrEx>
        <w:trPr>
          <w:trHeight w:val="340" w:hRule="atLeast"/>
          <w:jc w:val="center"/>
        </w:trPr>
        <w:tc>
          <w:tcPr>
            <w:tcW w:w="124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eastAsia" w:ascii="宋体" w:hAnsi="宋体" w:eastAsia="宋体" w:cs="宋体"/>
                <w:i w:val="0"/>
                <w:iCs w:val="0"/>
                <w:color w:val="0000FF"/>
                <w:kern w:val="0"/>
                <w:sz w:val="21"/>
                <w:szCs w:val="21"/>
                <w:highlight w:val="none"/>
                <w:u w:val="none"/>
                <w:lang w:val="en-US" w:eastAsia="zh-CN" w:bidi="ar"/>
              </w:rPr>
              <w:t>园地植被</w:t>
            </w:r>
          </w:p>
        </w:tc>
        <w:tc>
          <w:tcPr>
            <w:tcW w:w="116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eastAsia" w:cs="Times New Roman"/>
                <w:i w:val="0"/>
                <w:iCs w:val="0"/>
                <w:color w:val="0000FF"/>
                <w:kern w:val="0"/>
                <w:sz w:val="21"/>
                <w:szCs w:val="21"/>
                <w:highlight w:val="none"/>
                <w:u w:val="none"/>
                <w:lang w:val="en-US" w:eastAsia="zh-CN" w:bidi="ar"/>
              </w:rPr>
              <w:t>5</w:t>
            </w:r>
          </w:p>
        </w:tc>
        <w:tc>
          <w:tcPr>
            <w:tcW w:w="862"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293.76</w:t>
            </w:r>
          </w:p>
        </w:tc>
        <w:tc>
          <w:tcPr>
            <w:tcW w:w="9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1468.80 </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5.54%</w:t>
            </w:r>
          </w:p>
        </w:tc>
      </w:tr>
      <w:tr>
        <w:tblPrEx>
          <w:shd w:val="clear" w:color="auto" w:fill="auto"/>
          <w:tblCellMar>
            <w:top w:w="0" w:type="dxa"/>
            <w:left w:w="108" w:type="dxa"/>
            <w:bottom w:w="0" w:type="dxa"/>
            <w:right w:w="108" w:type="dxa"/>
          </w:tblCellMar>
        </w:tblPrEx>
        <w:trPr>
          <w:trHeight w:val="340" w:hRule="atLeast"/>
          <w:jc w:val="center"/>
        </w:trPr>
        <w:tc>
          <w:tcPr>
            <w:tcW w:w="124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eastAsia" w:ascii="宋体" w:hAnsi="宋体" w:eastAsia="宋体" w:cs="宋体"/>
                <w:i w:val="0"/>
                <w:iCs w:val="0"/>
                <w:color w:val="0000FF"/>
                <w:kern w:val="0"/>
                <w:sz w:val="21"/>
                <w:szCs w:val="21"/>
                <w:highlight w:val="none"/>
                <w:u w:val="none"/>
                <w:lang w:val="en-US" w:eastAsia="zh-CN" w:bidi="ar"/>
              </w:rPr>
              <w:t>耕地植被</w:t>
            </w:r>
          </w:p>
        </w:tc>
        <w:tc>
          <w:tcPr>
            <w:tcW w:w="116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color w:val="0000FF"/>
                <w:highlight w:val="none"/>
                <w:lang w:val="en-US"/>
              </w:rPr>
            </w:pPr>
            <w:r>
              <w:rPr>
                <w:rFonts w:hint="eastAsia" w:cs="Times New Roman"/>
                <w:i w:val="0"/>
                <w:iCs w:val="0"/>
                <w:color w:val="0000FF"/>
                <w:kern w:val="0"/>
                <w:sz w:val="21"/>
                <w:szCs w:val="21"/>
                <w:highlight w:val="none"/>
                <w:u w:val="none"/>
                <w:lang w:val="en-US" w:eastAsia="zh-CN" w:bidi="ar"/>
              </w:rPr>
              <w:t>6.5</w:t>
            </w:r>
          </w:p>
        </w:tc>
        <w:tc>
          <w:tcPr>
            <w:tcW w:w="862"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1135.8</w:t>
            </w:r>
          </w:p>
        </w:tc>
        <w:tc>
          <w:tcPr>
            <w:tcW w:w="9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7382.70 </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27.87%</w:t>
            </w:r>
          </w:p>
        </w:tc>
      </w:tr>
      <w:tr>
        <w:tblPrEx>
          <w:shd w:val="clear" w:color="auto" w:fill="auto"/>
          <w:tblCellMar>
            <w:top w:w="0" w:type="dxa"/>
            <w:left w:w="108" w:type="dxa"/>
            <w:bottom w:w="0" w:type="dxa"/>
            <w:right w:w="108" w:type="dxa"/>
          </w:tblCellMar>
        </w:tblPrEx>
        <w:trPr>
          <w:trHeight w:val="340" w:hRule="atLeast"/>
          <w:jc w:val="center"/>
        </w:trPr>
        <w:tc>
          <w:tcPr>
            <w:tcW w:w="124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eastAsia" w:ascii="宋体" w:hAnsi="宋体" w:eastAsia="宋体" w:cs="宋体"/>
                <w:i w:val="0"/>
                <w:iCs w:val="0"/>
                <w:color w:val="0000FF"/>
                <w:kern w:val="0"/>
                <w:sz w:val="21"/>
                <w:szCs w:val="21"/>
                <w:highlight w:val="none"/>
                <w:u w:val="none"/>
                <w:lang w:val="en-US" w:eastAsia="zh-CN" w:bidi="ar"/>
              </w:rPr>
              <w:t>其他</w:t>
            </w:r>
          </w:p>
        </w:tc>
        <w:tc>
          <w:tcPr>
            <w:tcW w:w="116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w:t>
            </w:r>
          </w:p>
        </w:tc>
        <w:tc>
          <w:tcPr>
            <w:tcW w:w="862"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185.17</w:t>
            </w:r>
          </w:p>
        </w:tc>
        <w:tc>
          <w:tcPr>
            <w:tcW w:w="9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w:t>
            </w:r>
          </w:p>
        </w:tc>
      </w:tr>
      <w:tr>
        <w:tblPrEx>
          <w:tblCellMar>
            <w:top w:w="0" w:type="dxa"/>
            <w:left w:w="108" w:type="dxa"/>
            <w:bottom w:w="0" w:type="dxa"/>
            <w:right w:w="108" w:type="dxa"/>
          </w:tblCellMar>
        </w:tblPrEx>
        <w:trPr>
          <w:trHeight w:val="340" w:hRule="atLeast"/>
          <w:jc w:val="center"/>
        </w:trPr>
        <w:tc>
          <w:tcPr>
            <w:tcW w:w="124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eastAsia" w:ascii="宋体" w:hAnsi="宋体" w:eastAsia="宋体" w:cs="宋体"/>
                <w:i w:val="0"/>
                <w:iCs w:val="0"/>
                <w:color w:val="0000FF"/>
                <w:kern w:val="0"/>
                <w:sz w:val="21"/>
                <w:szCs w:val="21"/>
                <w:highlight w:val="none"/>
                <w:u w:val="none"/>
                <w:lang w:val="en-US" w:eastAsia="zh-CN" w:bidi="ar"/>
              </w:rPr>
              <w:t>合计</w:t>
            </w:r>
          </w:p>
        </w:tc>
        <w:tc>
          <w:tcPr>
            <w:tcW w:w="116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rFonts w:hint="default"/>
                <w:color w:val="0000FF"/>
                <w:highlight w:val="none"/>
                <w:lang w:val="en-US"/>
              </w:rPr>
            </w:pPr>
            <w:r>
              <w:rPr>
                <w:rFonts w:hint="eastAsia" w:cs="Times New Roman"/>
                <w:i w:val="0"/>
                <w:iCs w:val="0"/>
                <w:color w:val="0000FF"/>
                <w:kern w:val="0"/>
                <w:sz w:val="21"/>
                <w:szCs w:val="21"/>
                <w:highlight w:val="none"/>
                <w:u w:val="none"/>
                <w:lang w:val="en-US" w:eastAsia="zh-CN" w:bidi="ar"/>
              </w:rPr>
              <w:t>6.15</w:t>
            </w:r>
          </w:p>
        </w:tc>
        <w:tc>
          <w:tcPr>
            <w:tcW w:w="862"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shd w:val="clear"/>
              <w:kinsoku/>
              <w:wordWrap/>
              <w:overflowPunct/>
              <w:topLinePunct w:val="0"/>
              <w:autoSpaceDE/>
              <w:autoSpaceDN/>
              <w:bidi w:val="0"/>
              <w:adjustRightInd/>
              <w:snapToGrid w:val="0"/>
              <w:spacing w:line="240" w:lineRule="auto"/>
              <w:ind w:firstLine="0" w:firstLineChars="0"/>
              <w:jc w:val="center"/>
              <w:textAlignment w:val="center"/>
              <w:rPr>
                <w:color w:val="0000FF"/>
                <w:highlight w:val="none"/>
              </w:rPr>
            </w:pPr>
            <w:r>
              <w:rPr>
                <w:rFonts w:hint="default" w:ascii="Times New Roman" w:hAnsi="Times New Roman" w:eastAsia="宋体" w:cs="Times New Roman"/>
                <w:i w:val="0"/>
                <w:iCs w:val="0"/>
                <w:color w:val="0000FF"/>
                <w:kern w:val="0"/>
                <w:sz w:val="21"/>
                <w:szCs w:val="21"/>
                <w:highlight w:val="none"/>
                <w:u w:val="none"/>
                <w:lang w:val="en-US" w:eastAsia="zh-CN" w:bidi="ar"/>
              </w:rPr>
              <w:t>4309.52</w:t>
            </w:r>
          </w:p>
        </w:tc>
        <w:tc>
          <w:tcPr>
            <w:tcW w:w="99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 xml:space="preserve">26492.69 </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default" w:ascii="Times New Roman" w:hAnsi="Times New Roman" w:eastAsia="宋体" w:cs="Times New Roman"/>
                <w:i w:val="0"/>
                <w:iCs w:val="0"/>
                <w:color w:val="0000FF"/>
                <w:kern w:val="0"/>
                <w:sz w:val="21"/>
                <w:szCs w:val="21"/>
                <w:u w:val="none"/>
                <w:lang w:val="en-US" w:eastAsia="zh-CN" w:bidi="ar"/>
              </w:rPr>
              <w:t>100.00%</w:t>
            </w:r>
          </w:p>
        </w:tc>
      </w:tr>
    </w:tbl>
    <w:p>
      <w:pPr>
        <w:shd w:val="clear"/>
        <w:ind w:firstLine="480"/>
        <w:rPr>
          <w:color w:val="0000FF"/>
          <w:highlight w:val="none"/>
        </w:rPr>
      </w:pPr>
      <w:r>
        <w:rPr>
          <w:rFonts w:cs="Times New Roman"/>
          <w:color w:val="0000FF"/>
        </w:rPr>
        <w:t>计算表明，工程评价区内，每年产生的生物生产力约为</w:t>
      </w:r>
      <w:r>
        <w:rPr>
          <w:rFonts w:hint="eastAsia" w:cs="Times New Roman"/>
          <w:color w:val="0000FF"/>
          <w:lang w:val="en-US" w:eastAsia="zh-CN"/>
        </w:rPr>
        <w:t>2.6</w:t>
      </w:r>
      <w:r>
        <w:rPr>
          <w:rFonts w:cs="Times New Roman"/>
          <w:color w:val="0000FF"/>
        </w:rPr>
        <w:t>5万(干重t/a)，平均每年每hm</w:t>
      </w:r>
      <w:r>
        <w:rPr>
          <w:rFonts w:cs="Times New Roman"/>
          <w:color w:val="0000FF"/>
          <w:vertAlign w:val="superscript"/>
        </w:rPr>
        <w:t>2</w:t>
      </w:r>
      <w:r>
        <w:rPr>
          <w:rFonts w:cs="Times New Roman"/>
          <w:color w:val="0000FF"/>
        </w:rPr>
        <w:t>达到</w:t>
      </w:r>
      <w:r>
        <w:rPr>
          <w:rFonts w:hint="eastAsia" w:cs="Times New Roman"/>
          <w:color w:val="0000FF"/>
          <w:lang w:val="en-US" w:eastAsia="zh-CN"/>
        </w:rPr>
        <w:t>6.15</w:t>
      </w:r>
      <w:r>
        <w:rPr>
          <w:rFonts w:cs="Times New Roman"/>
          <w:color w:val="0000FF"/>
        </w:rPr>
        <w:t>(干重t/a.hm</w:t>
      </w:r>
      <w:r>
        <w:rPr>
          <w:rFonts w:cs="Times New Roman"/>
          <w:color w:val="0000FF"/>
          <w:vertAlign w:val="superscript"/>
        </w:rPr>
        <w:t>2</w:t>
      </w:r>
      <w:r>
        <w:rPr>
          <w:rFonts w:cs="Times New Roman"/>
          <w:color w:val="0000FF"/>
        </w:rPr>
        <w:t>)，这在云南省各地植被中属于中等水平，年生物生产力最高的前三位是农田、</w:t>
      </w:r>
      <w:r>
        <w:rPr>
          <w:rFonts w:hint="eastAsia" w:cs="Times New Roman"/>
          <w:color w:val="0000FF"/>
          <w:lang w:val="en-US" w:eastAsia="zh-CN"/>
        </w:rPr>
        <w:t>人工林植被、干热性灌丛</w:t>
      </w:r>
      <w:r>
        <w:rPr>
          <w:rFonts w:cs="Times New Roman"/>
          <w:color w:val="0000FF"/>
        </w:rPr>
        <w:t>。</w:t>
      </w:r>
    </w:p>
    <w:p>
      <w:pPr>
        <w:pStyle w:val="5"/>
        <w:numPr>
          <w:ilvl w:val="3"/>
          <w:numId w:val="2"/>
        </w:numPr>
        <w:shd w:val="clear"/>
        <w:bidi w:val="0"/>
        <w:ind w:left="480" w:leftChars="0" w:firstLineChars="0"/>
        <w:rPr>
          <w:rFonts w:hint="default" w:ascii="Times New Roman" w:hAnsi="Times New Roman" w:eastAsia="宋体" w:cs="Times New Roman"/>
          <w:color w:val="auto"/>
          <w:highlight w:val="none"/>
        </w:rPr>
      </w:pPr>
      <w:r>
        <w:rPr>
          <w:rFonts w:hint="default"/>
          <w:color w:val="auto"/>
          <w:highlight w:val="none"/>
          <w:lang w:val="zh-TW" w:eastAsia="zh-TW"/>
        </w:rPr>
        <w:t>景观多样性</w:t>
      </w:r>
    </w:p>
    <w:p>
      <w:pPr>
        <w:shd w:val="clear"/>
        <w:bidi w:val="0"/>
        <w:ind w:firstLine="480" w:firstLineChars="200"/>
        <w:rPr>
          <w:rFonts w:hint="default"/>
          <w:color w:val="auto"/>
          <w:highlight w:val="none"/>
        </w:rPr>
      </w:pPr>
      <w:r>
        <w:rPr>
          <w:rFonts w:hint="default"/>
          <w:color w:val="auto"/>
          <w:highlight w:val="none"/>
          <w:lang w:val="zh-TW" w:eastAsia="zh-TW"/>
        </w:rPr>
        <w:t>景观是一种视学感知物、时间感知物和心理感知物，是环境的重要组成部分，它是连通工程与其周围景观的综合体系。评价区所在地区主要景观基质为灌丛和云南松林，其次常绿阔叶林、落叶阔叶林、人工林及农田植被景观，以及稀树灌木草丛景观。这两种景观是评价区内面积最大、连通性最好、起控制作用的景观要素。基质中最重要的是云南松林植被和灌丛，也是评价区中最主要的植被类型，在评价区内外均有大面积分布。稀树灌木草丛主要分布在人为活动较频繁的地方。主要廊道为乡村道路、压力管道和输水管道等。主要斑块为库区、村寨、水田、旱地等。</w:t>
      </w:r>
    </w:p>
    <w:p>
      <w:pPr>
        <w:pStyle w:val="40"/>
        <w:shd w:val="clear"/>
        <w:bidi w:val="0"/>
        <w:rPr>
          <w:rFonts w:hint="default"/>
          <w:color w:val="auto"/>
          <w:highlight w:val="none"/>
        </w:rPr>
      </w:pPr>
      <w:r>
        <w:rPr>
          <w:rFonts w:hint="default"/>
          <w:color w:val="auto"/>
          <w:highlight w:val="none"/>
          <w:lang w:val="zh-TW" w:eastAsia="zh-TW"/>
        </w:rPr>
        <w:t>表</w:t>
      </w:r>
      <w:r>
        <w:rPr>
          <w:rFonts w:hint="eastAsia"/>
          <w:color w:val="auto"/>
          <w:highlight w:val="none"/>
          <w:lang w:val="en-US" w:eastAsia="zh-CN"/>
        </w:rPr>
        <w:t xml:space="preserve">4.2.5-22  </w:t>
      </w:r>
      <w:r>
        <w:rPr>
          <w:rFonts w:hint="default"/>
          <w:color w:val="auto"/>
          <w:highlight w:val="none"/>
          <w:lang w:val="zh-TW" w:eastAsia="zh-TW"/>
        </w:rPr>
        <w:t>项目区基本景观类型表</w:t>
      </w:r>
    </w:p>
    <w:tbl>
      <w:tblPr>
        <w:tblStyle w:val="2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565"/>
        <w:gridCol w:w="983"/>
        <w:gridCol w:w="1994"/>
        <w:gridCol w:w="4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1" w:hRule="exact"/>
          <w:jc w:val="center"/>
        </w:trPr>
        <w:tc>
          <w:tcPr>
            <w:tcW w:w="931" w:type="pct"/>
            <w:gridSpan w:val="2"/>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景观资源类型</w:t>
            </w:r>
          </w:p>
        </w:tc>
        <w:tc>
          <w:tcPr>
            <w:tcW w:w="119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景观资源名称</w:t>
            </w:r>
          </w:p>
        </w:tc>
        <w:tc>
          <w:tcPr>
            <w:tcW w:w="286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所在位置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340" w:type="pct"/>
            <w:vMerge w:val="restar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自然</w:t>
            </w:r>
          </w:p>
          <w:p>
            <w:pPr>
              <w:pStyle w:val="42"/>
              <w:shd w:val="clear"/>
              <w:bidi w:val="0"/>
              <w:rPr>
                <w:rFonts w:hint="default"/>
                <w:color w:val="auto"/>
                <w:highlight w:val="none"/>
              </w:rPr>
            </w:pPr>
            <w:r>
              <w:rPr>
                <w:rFonts w:hint="default"/>
                <w:color w:val="auto"/>
                <w:highlight w:val="none"/>
                <w:lang w:val="zh-TW" w:eastAsia="zh-TW"/>
              </w:rPr>
              <w:t>景观</w:t>
            </w:r>
          </w:p>
        </w:tc>
        <w:tc>
          <w:tcPr>
            <w:tcW w:w="590"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地形地貌</w:t>
            </w:r>
          </w:p>
        </w:tc>
        <w:tc>
          <w:tcPr>
            <w:tcW w:w="119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山地地貌</w:t>
            </w:r>
          </w:p>
        </w:tc>
        <w:tc>
          <w:tcPr>
            <w:tcW w:w="286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工程周围的山坡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340" w:type="pct"/>
            <w:vMerge w:val="continue"/>
            <w:tcBorders>
              <w:tl2br w:val="nil"/>
              <w:tr2bl w:val="nil"/>
            </w:tcBorders>
            <w:shd w:val="clear" w:color="auto" w:fill="auto"/>
            <w:noWrap w:val="0"/>
            <w:vAlign w:val="center"/>
          </w:tcPr>
          <w:p>
            <w:pPr>
              <w:pStyle w:val="42"/>
              <w:shd w:val="clear"/>
              <w:bidi w:val="0"/>
              <w:rPr>
                <w:rFonts w:hint="default"/>
                <w:color w:val="auto"/>
                <w:highlight w:val="none"/>
              </w:rPr>
            </w:pPr>
          </w:p>
        </w:tc>
        <w:tc>
          <w:tcPr>
            <w:tcW w:w="590" w:type="pct"/>
            <w:vMerge w:val="restar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植被</w:t>
            </w:r>
          </w:p>
          <w:p>
            <w:pPr>
              <w:pStyle w:val="42"/>
              <w:shd w:val="clear"/>
              <w:bidi w:val="0"/>
              <w:rPr>
                <w:rFonts w:hint="default"/>
                <w:color w:val="auto"/>
                <w:highlight w:val="none"/>
              </w:rPr>
            </w:pPr>
            <w:r>
              <w:rPr>
                <w:rFonts w:hint="default"/>
                <w:color w:val="auto"/>
                <w:highlight w:val="none"/>
                <w:lang w:val="zh-TW" w:eastAsia="zh-TW"/>
              </w:rPr>
              <w:t>水体</w:t>
            </w:r>
          </w:p>
        </w:tc>
        <w:tc>
          <w:tcPr>
            <w:tcW w:w="119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人工林</w:t>
            </w:r>
          </w:p>
        </w:tc>
        <w:tc>
          <w:tcPr>
            <w:tcW w:w="286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评价区内水利条件较好的区域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94" w:hRule="exact"/>
          <w:jc w:val="center"/>
        </w:trPr>
        <w:tc>
          <w:tcPr>
            <w:tcW w:w="340" w:type="pct"/>
            <w:vMerge w:val="continue"/>
            <w:tcBorders>
              <w:tl2br w:val="nil"/>
              <w:tr2bl w:val="nil"/>
            </w:tcBorders>
            <w:shd w:val="clear" w:color="auto" w:fill="auto"/>
            <w:noWrap w:val="0"/>
            <w:vAlign w:val="center"/>
          </w:tcPr>
          <w:p>
            <w:pPr>
              <w:pStyle w:val="42"/>
              <w:shd w:val="clear"/>
              <w:bidi w:val="0"/>
              <w:rPr>
                <w:rFonts w:hint="default"/>
                <w:color w:val="auto"/>
                <w:highlight w:val="none"/>
              </w:rPr>
            </w:pPr>
          </w:p>
        </w:tc>
        <w:tc>
          <w:tcPr>
            <w:tcW w:w="590" w:type="pct"/>
            <w:vMerge w:val="continue"/>
            <w:tcBorders>
              <w:tl2br w:val="nil"/>
              <w:tr2bl w:val="nil"/>
            </w:tcBorders>
            <w:shd w:val="clear" w:color="auto" w:fill="auto"/>
            <w:noWrap w:val="0"/>
            <w:vAlign w:val="center"/>
          </w:tcPr>
          <w:p>
            <w:pPr>
              <w:pStyle w:val="42"/>
              <w:shd w:val="clear"/>
              <w:bidi w:val="0"/>
              <w:rPr>
                <w:rFonts w:hint="default"/>
                <w:color w:val="auto"/>
                <w:highlight w:val="none"/>
              </w:rPr>
            </w:pPr>
          </w:p>
        </w:tc>
        <w:tc>
          <w:tcPr>
            <w:tcW w:w="119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云南松林</w:t>
            </w:r>
          </w:p>
        </w:tc>
        <w:tc>
          <w:tcPr>
            <w:tcW w:w="286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评价区内海拔1</w:t>
            </w:r>
            <w:r>
              <w:rPr>
                <w:rFonts w:hint="default"/>
                <w:color w:val="auto"/>
                <w:highlight w:val="none"/>
                <w:lang w:val="en-US" w:eastAsia="zh-CN"/>
              </w:rPr>
              <w:t>8</w:t>
            </w:r>
            <w:r>
              <w:rPr>
                <w:rFonts w:hint="default"/>
                <w:color w:val="auto"/>
                <w:highlight w:val="none"/>
                <w:lang w:val="zh-TW" w:eastAsia="zh-TW"/>
              </w:rPr>
              <w:t>00</w:t>
            </w:r>
            <w:r>
              <w:rPr>
                <w:rFonts w:hint="default"/>
                <w:color w:val="auto"/>
                <w:highlight w:val="none"/>
              </w:rPr>
              <w:t>m</w:t>
            </w:r>
            <w:r>
              <w:rPr>
                <w:rFonts w:hint="default"/>
                <w:color w:val="auto"/>
                <w:highlight w:val="none"/>
                <w:lang w:val="en-US" w:eastAsia="zh-CN"/>
              </w:rPr>
              <w:t>以上</w:t>
            </w:r>
            <w:r>
              <w:rPr>
                <w:rFonts w:hint="default"/>
                <w:color w:val="auto"/>
                <w:highlight w:val="none"/>
                <w:lang w:val="zh-TW" w:eastAsia="zh-TW"/>
              </w:rPr>
              <w:t>的山坡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442" w:hRule="exact"/>
          <w:jc w:val="center"/>
        </w:trPr>
        <w:tc>
          <w:tcPr>
            <w:tcW w:w="340" w:type="pct"/>
            <w:vMerge w:val="continue"/>
            <w:tcBorders>
              <w:tl2br w:val="nil"/>
              <w:tr2bl w:val="nil"/>
            </w:tcBorders>
            <w:shd w:val="clear" w:color="auto" w:fill="auto"/>
            <w:noWrap w:val="0"/>
            <w:vAlign w:val="center"/>
          </w:tcPr>
          <w:p>
            <w:pPr>
              <w:pStyle w:val="42"/>
              <w:shd w:val="clear"/>
              <w:bidi w:val="0"/>
              <w:rPr>
                <w:rFonts w:hint="default"/>
                <w:color w:val="auto"/>
                <w:highlight w:val="none"/>
              </w:rPr>
            </w:pPr>
          </w:p>
        </w:tc>
        <w:tc>
          <w:tcPr>
            <w:tcW w:w="590" w:type="pct"/>
            <w:vMerge w:val="continue"/>
            <w:tcBorders>
              <w:tl2br w:val="nil"/>
              <w:tr2bl w:val="nil"/>
            </w:tcBorders>
            <w:shd w:val="clear" w:color="auto" w:fill="auto"/>
            <w:noWrap w:val="0"/>
            <w:vAlign w:val="center"/>
          </w:tcPr>
          <w:p>
            <w:pPr>
              <w:pStyle w:val="42"/>
              <w:shd w:val="clear"/>
              <w:bidi w:val="0"/>
              <w:rPr>
                <w:rFonts w:hint="default"/>
                <w:color w:val="auto"/>
                <w:highlight w:val="none"/>
              </w:rPr>
            </w:pPr>
          </w:p>
        </w:tc>
        <w:tc>
          <w:tcPr>
            <w:tcW w:w="119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灌丛</w:t>
            </w:r>
          </w:p>
        </w:tc>
        <w:tc>
          <w:tcPr>
            <w:tcW w:w="286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en-US" w:eastAsia="zh-CN"/>
              </w:rPr>
              <w:t>评价区</w:t>
            </w:r>
            <w:r>
              <w:rPr>
                <w:rFonts w:hint="default"/>
                <w:color w:val="auto"/>
                <w:highlight w:val="none"/>
                <w:lang w:val="zh-TW" w:eastAsia="zh-TW"/>
              </w:rPr>
              <w:t>各个海拔段的山坡都有分布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89" w:hRule="exact"/>
          <w:jc w:val="center"/>
        </w:trPr>
        <w:tc>
          <w:tcPr>
            <w:tcW w:w="340" w:type="pct"/>
            <w:vMerge w:val="continue"/>
            <w:tcBorders>
              <w:tl2br w:val="nil"/>
              <w:tr2bl w:val="nil"/>
            </w:tcBorders>
            <w:shd w:val="clear" w:color="auto" w:fill="auto"/>
            <w:noWrap w:val="0"/>
            <w:vAlign w:val="center"/>
          </w:tcPr>
          <w:p>
            <w:pPr>
              <w:pStyle w:val="42"/>
              <w:shd w:val="clear"/>
              <w:bidi w:val="0"/>
              <w:rPr>
                <w:rFonts w:hint="default"/>
                <w:color w:val="auto"/>
                <w:highlight w:val="none"/>
              </w:rPr>
            </w:pPr>
          </w:p>
        </w:tc>
        <w:tc>
          <w:tcPr>
            <w:tcW w:w="590" w:type="pct"/>
            <w:vMerge w:val="continue"/>
            <w:tcBorders>
              <w:tl2br w:val="nil"/>
              <w:tr2bl w:val="nil"/>
            </w:tcBorders>
            <w:shd w:val="clear" w:color="auto" w:fill="auto"/>
            <w:noWrap w:val="0"/>
            <w:vAlign w:val="center"/>
          </w:tcPr>
          <w:p>
            <w:pPr>
              <w:pStyle w:val="42"/>
              <w:shd w:val="clear"/>
              <w:bidi w:val="0"/>
              <w:rPr>
                <w:rFonts w:hint="default"/>
                <w:color w:val="auto"/>
                <w:highlight w:val="none"/>
              </w:rPr>
            </w:pPr>
          </w:p>
        </w:tc>
        <w:tc>
          <w:tcPr>
            <w:tcW w:w="119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稀树灌木草丛</w:t>
            </w:r>
          </w:p>
        </w:tc>
        <w:tc>
          <w:tcPr>
            <w:tcW w:w="286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主要分布在评价区人为影响较严重的区域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340" w:type="pct"/>
            <w:vMerge w:val="continue"/>
            <w:tcBorders>
              <w:tl2br w:val="nil"/>
              <w:tr2bl w:val="nil"/>
            </w:tcBorders>
            <w:shd w:val="clear" w:color="auto" w:fill="auto"/>
            <w:noWrap w:val="0"/>
            <w:vAlign w:val="center"/>
          </w:tcPr>
          <w:p>
            <w:pPr>
              <w:pStyle w:val="42"/>
              <w:shd w:val="clear"/>
              <w:bidi w:val="0"/>
              <w:rPr>
                <w:rFonts w:hint="default"/>
                <w:color w:val="auto"/>
                <w:highlight w:val="none"/>
              </w:rPr>
            </w:pPr>
          </w:p>
        </w:tc>
        <w:tc>
          <w:tcPr>
            <w:tcW w:w="590" w:type="pct"/>
            <w:vMerge w:val="continue"/>
            <w:tcBorders>
              <w:tl2br w:val="nil"/>
              <w:tr2bl w:val="nil"/>
            </w:tcBorders>
            <w:shd w:val="clear" w:color="auto" w:fill="auto"/>
            <w:noWrap w:val="0"/>
            <w:vAlign w:val="center"/>
          </w:tcPr>
          <w:p>
            <w:pPr>
              <w:pStyle w:val="42"/>
              <w:shd w:val="clear"/>
              <w:bidi w:val="0"/>
              <w:rPr>
                <w:rFonts w:hint="default"/>
                <w:color w:val="auto"/>
                <w:highlight w:val="none"/>
              </w:rPr>
            </w:pPr>
          </w:p>
        </w:tc>
        <w:tc>
          <w:tcPr>
            <w:tcW w:w="119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农田植被和经济作物</w:t>
            </w:r>
          </w:p>
        </w:tc>
        <w:tc>
          <w:tcPr>
            <w:tcW w:w="286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主要分布在评价区水利条件较好的区域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6" w:hRule="exact"/>
          <w:jc w:val="center"/>
        </w:trPr>
        <w:tc>
          <w:tcPr>
            <w:tcW w:w="340" w:type="pct"/>
            <w:vMerge w:val="continue"/>
            <w:tcBorders>
              <w:tl2br w:val="nil"/>
              <w:tr2bl w:val="nil"/>
            </w:tcBorders>
            <w:shd w:val="clear" w:color="auto" w:fill="auto"/>
            <w:noWrap w:val="0"/>
            <w:vAlign w:val="center"/>
          </w:tcPr>
          <w:p>
            <w:pPr>
              <w:pStyle w:val="42"/>
              <w:shd w:val="clear"/>
              <w:bidi w:val="0"/>
              <w:rPr>
                <w:rFonts w:hint="default"/>
                <w:color w:val="auto"/>
                <w:highlight w:val="none"/>
              </w:rPr>
            </w:pPr>
          </w:p>
        </w:tc>
        <w:tc>
          <w:tcPr>
            <w:tcW w:w="590" w:type="pct"/>
            <w:vMerge w:val="continue"/>
            <w:tcBorders>
              <w:tl2br w:val="nil"/>
              <w:tr2bl w:val="nil"/>
            </w:tcBorders>
            <w:shd w:val="clear" w:color="auto" w:fill="auto"/>
            <w:noWrap w:val="0"/>
            <w:vAlign w:val="center"/>
          </w:tcPr>
          <w:p>
            <w:pPr>
              <w:pStyle w:val="42"/>
              <w:shd w:val="clear"/>
              <w:bidi w:val="0"/>
              <w:rPr>
                <w:rFonts w:hint="default"/>
                <w:color w:val="auto"/>
                <w:highlight w:val="none"/>
              </w:rPr>
            </w:pPr>
          </w:p>
        </w:tc>
        <w:tc>
          <w:tcPr>
            <w:tcW w:w="119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金沙江及各河流等</w:t>
            </w:r>
          </w:p>
        </w:tc>
        <w:tc>
          <w:tcPr>
            <w:tcW w:w="286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调水工程各分工程取水点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41" w:hRule="exact"/>
          <w:jc w:val="center"/>
        </w:trPr>
        <w:tc>
          <w:tcPr>
            <w:tcW w:w="340" w:type="pct"/>
            <w:vMerge w:val="restart"/>
            <w:tcBorders>
              <w:tl2br w:val="nil"/>
              <w:tr2bl w:val="nil"/>
            </w:tcBorders>
            <w:shd w:val="clear" w:color="auto" w:fill="auto"/>
            <w:noWrap w:val="0"/>
            <w:vAlign w:val="center"/>
          </w:tcPr>
          <w:p>
            <w:pPr>
              <w:pStyle w:val="42"/>
              <w:shd w:val="clear"/>
              <w:bidi w:val="0"/>
              <w:rPr>
                <w:rFonts w:hint="default"/>
                <w:color w:val="auto"/>
                <w:highlight w:val="none"/>
                <w:lang w:val="zh-TW" w:eastAsia="zh-TW"/>
              </w:rPr>
            </w:pPr>
            <w:r>
              <w:rPr>
                <w:rFonts w:hint="default"/>
                <w:color w:val="auto"/>
                <w:highlight w:val="none"/>
                <w:lang w:val="zh-TW" w:eastAsia="zh-TW"/>
              </w:rPr>
              <w:t>人文</w:t>
            </w:r>
          </w:p>
          <w:p>
            <w:pPr>
              <w:pStyle w:val="42"/>
              <w:shd w:val="clear"/>
              <w:bidi w:val="0"/>
              <w:rPr>
                <w:rFonts w:hint="default"/>
                <w:color w:val="auto"/>
                <w:highlight w:val="none"/>
              </w:rPr>
            </w:pPr>
            <w:r>
              <w:rPr>
                <w:rFonts w:hint="default"/>
                <w:color w:val="auto"/>
                <w:highlight w:val="none"/>
                <w:lang w:val="zh-TW" w:eastAsia="zh-TW"/>
              </w:rPr>
              <w:t>景观</w:t>
            </w:r>
          </w:p>
        </w:tc>
        <w:tc>
          <w:tcPr>
            <w:tcW w:w="590"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村寨</w:t>
            </w:r>
          </w:p>
        </w:tc>
        <w:tc>
          <w:tcPr>
            <w:tcW w:w="119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民居</w:t>
            </w:r>
          </w:p>
        </w:tc>
        <w:tc>
          <w:tcPr>
            <w:tcW w:w="286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元谋县涉及工程评价区的村寨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exact"/>
          <w:jc w:val="center"/>
        </w:trPr>
        <w:tc>
          <w:tcPr>
            <w:tcW w:w="340" w:type="pct"/>
            <w:vMerge w:val="continue"/>
            <w:tcBorders>
              <w:tl2br w:val="nil"/>
              <w:tr2bl w:val="nil"/>
            </w:tcBorders>
            <w:shd w:val="clear" w:color="auto" w:fill="auto"/>
            <w:noWrap w:val="0"/>
            <w:vAlign w:val="center"/>
          </w:tcPr>
          <w:p>
            <w:pPr>
              <w:pStyle w:val="42"/>
              <w:shd w:val="clear"/>
              <w:bidi w:val="0"/>
              <w:rPr>
                <w:rFonts w:hint="default"/>
                <w:color w:val="auto"/>
                <w:highlight w:val="none"/>
              </w:rPr>
            </w:pPr>
          </w:p>
        </w:tc>
        <w:tc>
          <w:tcPr>
            <w:tcW w:w="590"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农田</w:t>
            </w:r>
          </w:p>
        </w:tc>
        <w:tc>
          <w:tcPr>
            <w:tcW w:w="119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水田、旱地</w:t>
            </w:r>
          </w:p>
        </w:tc>
        <w:tc>
          <w:tcPr>
            <w:tcW w:w="2869" w:type="pct"/>
            <w:tcBorders>
              <w:tl2br w:val="nil"/>
              <w:tr2bl w:val="nil"/>
            </w:tcBorders>
            <w:shd w:val="clear" w:color="auto" w:fill="auto"/>
            <w:noWrap w:val="0"/>
            <w:vAlign w:val="center"/>
          </w:tcPr>
          <w:p>
            <w:pPr>
              <w:pStyle w:val="42"/>
              <w:shd w:val="clear"/>
              <w:bidi w:val="0"/>
              <w:rPr>
                <w:rFonts w:hint="default"/>
                <w:color w:val="auto"/>
                <w:highlight w:val="none"/>
              </w:rPr>
            </w:pPr>
            <w:r>
              <w:rPr>
                <w:rFonts w:hint="default"/>
                <w:color w:val="auto"/>
                <w:highlight w:val="none"/>
                <w:lang w:val="zh-TW" w:eastAsia="zh-TW"/>
              </w:rPr>
              <w:t>评价区内村寨及输水管道周围</w:t>
            </w:r>
          </w:p>
        </w:tc>
      </w:tr>
    </w:tbl>
    <w:p>
      <w:pPr>
        <w:pStyle w:val="4"/>
        <w:bidi w:val="0"/>
        <w:rPr>
          <w:color w:val="0000FF"/>
        </w:rPr>
      </w:pPr>
      <w:r>
        <w:rPr>
          <w:rFonts w:hint="eastAsia"/>
          <w:color w:val="0000FF"/>
          <w:lang w:val="en-US" w:eastAsia="zh-CN"/>
        </w:rPr>
        <w:t>水土流失现状</w:t>
      </w:r>
    </w:p>
    <w:p>
      <w:pPr>
        <w:pStyle w:val="5"/>
        <w:bidi w:val="0"/>
        <w:rPr>
          <w:color w:val="0000FF"/>
        </w:rPr>
      </w:pPr>
      <w:r>
        <w:rPr>
          <w:rFonts w:hint="eastAsia"/>
          <w:color w:val="0000FF"/>
          <w:lang w:val="en-US" w:eastAsia="zh-CN"/>
        </w:rPr>
        <w:t>元谋县水土流失现状</w:t>
      </w:r>
    </w:p>
    <w:p>
      <w:pPr>
        <w:keepNext w:val="0"/>
        <w:keepLines w:val="0"/>
        <w:widowControl/>
        <w:suppressLineNumbers w:val="0"/>
        <w:jc w:val="left"/>
        <w:rPr>
          <w:rFonts w:hint="eastAsia" w:ascii="宋体" w:hAnsi="宋体" w:eastAsia="宋体" w:cs="宋体"/>
          <w:color w:val="0000FF"/>
          <w:kern w:val="0"/>
          <w:sz w:val="24"/>
          <w:szCs w:val="24"/>
          <w:lang w:val="en-US" w:eastAsia="zh-CN" w:bidi="ar"/>
        </w:rPr>
      </w:pPr>
      <w:r>
        <w:rPr>
          <w:rFonts w:hint="eastAsia" w:ascii="宋体" w:hAnsi="宋体" w:eastAsia="宋体" w:cs="宋体"/>
          <w:color w:val="0000FF"/>
          <w:kern w:val="0"/>
          <w:sz w:val="24"/>
          <w:szCs w:val="24"/>
          <w:lang w:val="en-US" w:eastAsia="zh-CN" w:bidi="ar"/>
        </w:rPr>
        <w:t>本项目位于元谋县，根据《云南省水土保持公报</w:t>
      </w:r>
      <w:r>
        <w:rPr>
          <w:rFonts w:hint="default" w:ascii="Times New Roman" w:hAnsi="Times New Roman" w:eastAsia="宋体" w:cs="Times New Roman"/>
          <w:color w:val="0000FF"/>
          <w:kern w:val="0"/>
          <w:sz w:val="24"/>
          <w:szCs w:val="24"/>
          <w:lang w:val="en-US" w:eastAsia="zh-CN" w:bidi="ar"/>
        </w:rPr>
        <w:t>2020</w:t>
      </w:r>
      <w:r>
        <w:rPr>
          <w:rFonts w:hint="eastAsia" w:ascii="宋体" w:hAnsi="宋体" w:eastAsia="宋体" w:cs="宋体"/>
          <w:color w:val="0000FF"/>
          <w:kern w:val="0"/>
          <w:sz w:val="24"/>
          <w:szCs w:val="24"/>
          <w:lang w:val="en-US" w:eastAsia="zh-CN" w:bidi="ar"/>
        </w:rPr>
        <w:t>年》，元谋县土地面积</w:t>
      </w:r>
      <w:r>
        <w:rPr>
          <w:rFonts w:hint="default" w:ascii="Times New Roman" w:hAnsi="Times New Roman" w:eastAsia="宋体" w:cs="Times New Roman"/>
          <w:color w:val="0000FF"/>
          <w:kern w:val="0"/>
          <w:sz w:val="24"/>
          <w:szCs w:val="24"/>
          <w:lang w:val="en-US" w:eastAsia="zh-CN" w:bidi="ar"/>
        </w:rPr>
        <w:t>1803km²</w:t>
      </w:r>
      <w:r>
        <w:rPr>
          <w:rFonts w:hint="eastAsia" w:ascii="宋体" w:hAnsi="宋体" w:eastAsia="宋体" w:cs="宋体"/>
          <w:color w:val="0000FF"/>
          <w:kern w:val="0"/>
          <w:sz w:val="24"/>
          <w:szCs w:val="24"/>
          <w:lang w:val="en-US" w:eastAsia="zh-CN" w:bidi="ar"/>
        </w:rPr>
        <w:t>，微度侵蚀面积</w:t>
      </w:r>
      <w:r>
        <w:rPr>
          <w:rFonts w:hint="default" w:ascii="Times New Roman" w:hAnsi="Times New Roman" w:eastAsia="宋体" w:cs="Times New Roman"/>
          <w:color w:val="0000FF"/>
          <w:kern w:val="0"/>
          <w:sz w:val="24"/>
          <w:szCs w:val="24"/>
          <w:lang w:val="en-US" w:eastAsia="zh-CN" w:bidi="ar"/>
        </w:rPr>
        <w:t>1297.26km²</w:t>
      </w:r>
      <w:r>
        <w:rPr>
          <w:rFonts w:hint="eastAsia" w:ascii="宋体" w:hAnsi="宋体" w:eastAsia="宋体" w:cs="宋体"/>
          <w:color w:val="0000FF"/>
          <w:kern w:val="0"/>
          <w:sz w:val="24"/>
          <w:szCs w:val="24"/>
          <w:lang w:val="en-US" w:eastAsia="zh-CN" w:bidi="ar"/>
        </w:rPr>
        <w:t>，占总面积的</w:t>
      </w:r>
      <w:r>
        <w:rPr>
          <w:rFonts w:hint="default" w:ascii="Times New Roman" w:hAnsi="Times New Roman" w:eastAsia="宋体" w:cs="Times New Roman"/>
          <w:color w:val="0000FF"/>
          <w:kern w:val="0"/>
          <w:sz w:val="24"/>
          <w:szCs w:val="24"/>
          <w:lang w:val="en-US" w:eastAsia="zh-CN" w:bidi="ar"/>
        </w:rPr>
        <w:t>71.95%</w:t>
      </w:r>
      <w:r>
        <w:rPr>
          <w:rFonts w:hint="eastAsia" w:ascii="宋体" w:hAnsi="宋体" w:eastAsia="宋体" w:cs="宋体"/>
          <w:color w:val="0000FF"/>
          <w:kern w:val="0"/>
          <w:sz w:val="24"/>
          <w:szCs w:val="24"/>
          <w:lang w:val="en-US" w:eastAsia="zh-CN" w:bidi="ar"/>
        </w:rPr>
        <w:t>，水土流失面积</w:t>
      </w:r>
      <w:r>
        <w:rPr>
          <w:rFonts w:hint="default" w:ascii="Times New Roman" w:hAnsi="Times New Roman" w:eastAsia="宋体" w:cs="Times New Roman"/>
          <w:color w:val="0000FF"/>
          <w:kern w:val="0"/>
          <w:sz w:val="24"/>
          <w:szCs w:val="24"/>
          <w:lang w:val="en-US" w:eastAsia="zh-CN" w:bidi="ar"/>
        </w:rPr>
        <w:t>505.74km²</w:t>
      </w:r>
      <w:r>
        <w:rPr>
          <w:rFonts w:hint="eastAsia" w:ascii="宋体" w:hAnsi="宋体" w:eastAsia="宋体" w:cs="宋体"/>
          <w:color w:val="0000FF"/>
          <w:kern w:val="0"/>
          <w:sz w:val="24"/>
          <w:szCs w:val="24"/>
          <w:lang w:val="en-US" w:eastAsia="zh-CN" w:bidi="ar"/>
        </w:rPr>
        <w:t>，占总面积的</w:t>
      </w:r>
      <w:r>
        <w:rPr>
          <w:rFonts w:hint="default" w:ascii="Times New Roman" w:hAnsi="Times New Roman" w:eastAsia="宋体" w:cs="Times New Roman"/>
          <w:color w:val="0000FF"/>
          <w:kern w:val="0"/>
          <w:sz w:val="24"/>
          <w:szCs w:val="24"/>
          <w:lang w:val="en-US" w:eastAsia="zh-CN" w:bidi="ar"/>
        </w:rPr>
        <w:t>28.05%</w:t>
      </w:r>
      <w:r>
        <w:rPr>
          <w:rFonts w:hint="eastAsia" w:ascii="宋体" w:hAnsi="宋体" w:eastAsia="宋体" w:cs="宋体"/>
          <w:color w:val="0000FF"/>
          <w:kern w:val="0"/>
          <w:sz w:val="24"/>
          <w:szCs w:val="24"/>
          <w:lang w:val="en-US" w:eastAsia="zh-CN" w:bidi="ar"/>
        </w:rPr>
        <w:t>，其中：轻度流失面积</w:t>
      </w:r>
      <w:r>
        <w:rPr>
          <w:rFonts w:hint="default" w:ascii="Times New Roman" w:hAnsi="Times New Roman" w:eastAsia="宋体" w:cs="Times New Roman"/>
          <w:color w:val="0000FF"/>
          <w:kern w:val="0"/>
          <w:sz w:val="24"/>
          <w:szCs w:val="24"/>
          <w:lang w:val="en-US" w:eastAsia="zh-CN" w:bidi="ar"/>
        </w:rPr>
        <w:t>390.36km²</w:t>
      </w:r>
      <w:r>
        <w:rPr>
          <w:rFonts w:hint="eastAsia" w:ascii="宋体" w:hAnsi="宋体" w:eastAsia="宋体" w:cs="宋体"/>
          <w:color w:val="0000FF"/>
          <w:kern w:val="0"/>
          <w:sz w:val="24"/>
          <w:szCs w:val="24"/>
          <w:lang w:val="en-US" w:eastAsia="zh-CN" w:bidi="ar"/>
        </w:rPr>
        <w:t>，占流失面积的</w:t>
      </w:r>
      <w:r>
        <w:rPr>
          <w:rFonts w:hint="default" w:ascii="Times New Roman" w:hAnsi="Times New Roman" w:eastAsia="宋体" w:cs="Times New Roman"/>
          <w:color w:val="0000FF"/>
          <w:kern w:val="0"/>
          <w:sz w:val="24"/>
          <w:szCs w:val="24"/>
          <w:lang w:val="en-US" w:eastAsia="zh-CN" w:bidi="ar"/>
        </w:rPr>
        <w:t>77.19%</w:t>
      </w:r>
      <w:r>
        <w:rPr>
          <w:rFonts w:hint="eastAsia" w:ascii="宋体" w:hAnsi="宋体" w:eastAsia="宋体" w:cs="宋体"/>
          <w:color w:val="0000FF"/>
          <w:kern w:val="0"/>
          <w:sz w:val="24"/>
          <w:szCs w:val="24"/>
          <w:lang w:val="en-US" w:eastAsia="zh-CN" w:bidi="ar"/>
        </w:rPr>
        <w:t>；中度流失面积为</w:t>
      </w:r>
      <w:r>
        <w:rPr>
          <w:rFonts w:hint="default" w:ascii="Times New Roman" w:hAnsi="Times New Roman" w:eastAsia="宋体" w:cs="Times New Roman"/>
          <w:color w:val="0000FF"/>
          <w:kern w:val="0"/>
          <w:sz w:val="24"/>
          <w:szCs w:val="24"/>
          <w:lang w:val="en-US" w:eastAsia="zh-CN" w:bidi="ar"/>
        </w:rPr>
        <w:t>77.79km²</w:t>
      </w:r>
      <w:r>
        <w:rPr>
          <w:rFonts w:hint="eastAsia" w:ascii="宋体" w:hAnsi="宋体" w:eastAsia="宋体" w:cs="宋体"/>
          <w:color w:val="0000FF"/>
          <w:kern w:val="0"/>
          <w:sz w:val="24"/>
          <w:szCs w:val="24"/>
          <w:lang w:val="en-US" w:eastAsia="zh-CN" w:bidi="ar"/>
        </w:rPr>
        <w:t>，占流失面积的</w:t>
      </w:r>
      <w:r>
        <w:rPr>
          <w:rFonts w:hint="default" w:ascii="Times New Roman" w:hAnsi="Times New Roman" w:eastAsia="宋体" w:cs="Times New Roman"/>
          <w:color w:val="0000FF"/>
          <w:kern w:val="0"/>
          <w:sz w:val="24"/>
          <w:szCs w:val="24"/>
          <w:lang w:val="en-US" w:eastAsia="zh-CN" w:bidi="ar"/>
        </w:rPr>
        <w:t>15.38%</w:t>
      </w:r>
      <w:r>
        <w:rPr>
          <w:rFonts w:hint="eastAsia" w:ascii="宋体" w:hAnsi="宋体" w:eastAsia="宋体" w:cs="宋体"/>
          <w:color w:val="0000FF"/>
          <w:kern w:val="0"/>
          <w:sz w:val="24"/>
          <w:szCs w:val="24"/>
          <w:lang w:val="en-US" w:eastAsia="zh-CN" w:bidi="ar"/>
        </w:rPr>
        <w:t>；强烈流失面积</w:t>
      </w:r>
      <w:r>
        <w:rPr>
          <w:rFonts w:hint="default" w:ascii="Times New Roman" w:hAnsi="Times New Roman" w:eastAsia="宋体" w:cs="Times New Roman"/>
          <w:color w:val="0000FF"/>
          <w:kern w:val="0"/>
          <w:sz w:val="24"/>
          <w:szCs w:val="24"/>
          <w:lang w:val="en-US" w:eastAsia="zh-CN" w:bidi="ar"/>
        </w:rPr>
        <w:t>23.05km²</w:t>
      </w:r>
      <w:r>
        <w:rPr>
          <w:rFonts w:hint="eastAsia" w:ascii="宋体" w:hAnsi="宋体" w:eastAsia="宋体" w:cs="宋体"/>
          <w:color w:val="0000FF"/>
          <w:kern w:val="0"/>
          <w:sz w:val="24"/>
          <w:szCs w:val="24"/>
          <w:lang w:val="en-US" w:eastAsia="zh-CN" w:bidi="ar"/>
        </w:rPr>
        <w:t>，占流失面积的</w:t>
      </w:r>
      <w:r>
        <w:rPr>
          <w:rFonts w:hint="default" w:ascii="Times New Roman" w:hAnsi="Times New Roman" w:eastAsia="宋体" w:cs="Times New Roman"/>
          <w:color w:val="0000FF"/>
          <w:kern w:val="0"/>
          <w:sz w:val="24"/>
          <w:szCs w:val="24"/>
          <w:lang w:val="en-US" w:eastAsia="zh-CN" w:bidi="ar"/>
        </w:rPr>
        <w:t>4.56%</w:t>
      </w:r>
      <w:r>
        <w:rPr>
          <w:rFonts w:hint="eastAsia" w:ascii="宋体" w:hAnsi="宋体" w:eastAsia="宋体" w:cs="宋体"/>
          <w:color w:val="0000FF"/>
          <w:kern w:val="0"/>
          <w:sz w:val="24"/>
          <w:szCs w:val="24"/>
          <w:lang w:val="en-US" w:eastAsia="zh-CN" w:bidi="ar"/>
        </w:rPr>
        <w:t>；极强烈流失面积</w:t>
      </w:r>
      <w:r>
        <w:rPr>
          <w:rFonts w:hint="default" w:ascii="Times New Roman" w:hAnsi="Times New Roman" w:eastAsia="宋体" w:cs="Times New Roman"/>
          <w:color w:val="0000FF"/>
          <w:kern w:val="0"/>
          <w:sz w:val="24"/>
          <w:szCs w:val="24"/>
          <w:lang w:val="en-US" w:eastAsia="zh-CN" w:bidi="ar"/>
        </w:rPr>
        <w:t>10.44km²</w:t>
      </w:r>
      <w:r>
        <w:rPr>
          <w:rFonts w:hint="eastAsia" w:ascii="宋体" w:hAnsi="宋体" w:eastAsia="宋体" w:cs="宋体"/>
          <w:color w:val="0000FF"/>
          <w:kern w:val="0"/>
          <w:sz w:val="24"/>
          <w:szCs w:val="24"/>
          <w:lang w:val="en-US" w:eastAsia="zh-CN" w:bidi="ar"/>
        </w:rPr>
        <w:t>，占流失面积的</w:t>
      </w:r>
      <w:r>
        <w:rPr>
          <w:rFonts w:hint="default" w:ascii="Times New Roman" w:hAnsi="Times New Roman" w:eastAsia="宋体" w:cs="Times New Roman"/>
          <w:color w:val="0000FF"/>
          <w:kern w:val="0"/>
          <w:sz w:val="24"/>
          <w:szCs w:val="24"/>
          <w:lang w:val="en-US" w:eastAsia="zh-CN" w:bidi="ar"/>
        </w:rPr>
        <w:t>2.06%</w:t>
      </w:r>
      <w:r>
        <w:rPr>
          <w:rFonts w:hint="eastAsia" w:ascii="宋体" w:hAnsi="宋体" w:eastAsia="宋体" w:cs="宋体"/>
          <w:color w:val="0000FF"/>
          <w:kern w:val="0"/>
          <w:sz w:val="24"/>
          <w:szCs w:val="24"/>
          <w:lang w:val="en-US" w:eastAsia="zh-CN" w:bidi="ar"/>
        </w:rPr>
        <w:t>；剧烈流失面积</w:t>
      </w:r>
      <w:r>
        <w:rPr>
          <w:rFonts w:hint="default" w:ascii="Times New Roman" w:hAnsi="Times New Roman" w:eastAsia="宋体" w:cs="Times New Roman"/>
          <w:color w:val="0000FF"/>
          <w:kern w:val="0"/>
          <w:sz w:val="24"/>
          <w:szCs w:val="24"/>
          <w:lang w:val="en-US" w:eastAsia="zh-CN" w:bidi="ar"/>
        </w:rPr>
        <w:t>4.10km²</w:t>
      </w:r>
      <w:r>
        <w:rPr>
          <w:rFonts w:hint="eastAsia" w:ascii="宋体" w:hAnsi="宋体" w:eastAsia="宋体" w:cs="宋体"/>
          <w:color w:val="0000FF"/>
          <w:kern w:val="0"/>
          <w:sz w:val="24"/>
          <w:szCs w:val="24"/>
          <w:lang w:val="en-US" w:eastAsia="zh-CN" w:bidi="ar"/>
        </w:rPr>
        <w:t>，占流失面积的</w:t>
      </w:r>
      <w:r>
        <w:rPr>
          <w:rFonts w:hint="default" w:ascii="Times New Roman" w:hAnsi="Times New Roman" w:eastAsia="宋体" w:cs="Times New Roman"/>
          <w:color w:val="0000FF"/>
          <w:kern w:val="0"/>
          <w:sz w:val="24"/>
          <w:szCs w:val="24"/>
          <w:lang w:val="en-US" w:eastAsia="zh-CN" w:bidi="ar"/>
        </w:rPr>
        <w:t>0.81%</w:t>
      </w:r>
      <w:r>
        <w:rPr>
          <w:rFonts w:hint="eastAsia" w:ascii="宋体" w:hAnsi="宋体" w:eastAsia="宋体" w:cs="宋体"/>
          <w:color w:val="0000FF"/>
          <w:kern w:val="0"/>
          <w:sz w:val="24"/>
          <w:szCs w:val="24"/>
          <w:lang w:val="en-US" w:eastAsia="zh-CN" w:bidi="ar"/>
        </w:rPr>
        <w:t>，</w:t>
      </w:r>
    </w:p>
    <w:p>
      <w:pPr>
        <w:pStyle w:val="40"/>
        <w:shd w:val="clear"/>
        <w:bidi w:val="0"/>
        <w:spacing w:line="240" w:lineRule="auto"/>
        <w:rPr>
          <w:rFonts w:hint="default"/>
          <w:color w:val="0000FF"/>
          <w:highlight w:val="yellow"/>
          <w:lang w:val="zh-TW" w:eastAsia="zh-TW"/>
        </w:rPr>
      </w:pPr>
      <w:r>
        <w:rPr>
          <w:rFonts w:hint="default"/>
          <w:color w:val="0000FF"/>
          <w:highlight w:val="yellow"/>
          <w:lang w:val="zh-TW" w:eastAsia="zh-TW"/>
        </w:rPr>
        <w:t>表4.3-22元谋县水土流失现状单位km²</w:t>
      </w:r>
    </w:p>
    <w:tbl>
      <w:tblPr>
        <w:tblStyle w:val="57"/>
        <w:tblW w:w="500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19"/>
        <w:gridCol w:w="414"/>
        <w:gridCol w:w="586"/>
        <w:gridCol w:w="474"/>
        <w:gridCol w:w="577"/>
        <w:gridCol w:w="476"/>
        <w:gridCol w:w="577"/>
        <w:gridCol w:w="476"/>
        <w:gridCol w:w="529"/>
        <w:gridCol w:w="461"/>
        <w:gridCol w:w="471"/>
        <w:gridCol w:w="393"/>
        <w:gridCol w:w="652"/>
        <w:gridCol w:w="574"/>
        <w:gridCol w:w="551"/>
        <w:gridCol w:w="48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3" w:hRule="atLeast"/>
        </w:trPr>
        <w:tc>
          <w:tcPr>
            <w:tcW w:w="372" w:type="pct"/>
            <w:vMerge w:val="restart"/>
            <w:tcBorders>
              <w:bottom w:val="nil"/>
            </w:tcBorders>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pacing w:val="-2"/>
                <w:sz w:val="21"/>
                <w:szCs w:val="21"/>
              </w:rPr>
            </w:pPr>
            <w:r>
              <w:rPr>
                <w:rFonts w:hint="default" w:ascii="Times New Roman" w:hAnsi="Times New Roman" w:cs="Times New Roman"/>
                <w:color w:val="0000FF"/>
                <w:spacing w:val="-2"/>
                <w:sz w:val="21"/>
                <w:szCs w:val="21"/>
              </w:rPr>
              <w:t>涉及县</w:t>
            </w:r>
          </w:p>
        </w:tc>
        <w:tc>
          <w:tcPr>
            <w:tcW w:w="248" w:type="pct"/>
            <w:vMerge w:val="restart"/>
            <w:tcBorders>
              <w:bottom w:val="nil"/>
            </w:tcBorders>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pacing w:val="-2"/>
                <w:sz w:val="21"/>
                <w:szCs w:val="21"/>
              </w:rPr>
            </w:pPr>
            <w:r>
              <w:rPr>
                <w:rFonts w:hint="default" w:ascii="Times New Roman" w:hAnsi="Times New Roman" w:cs="Times New Roman"/>
                <w:color w:val="0000FF"/>
                <w:spacing w:val="-2"/>
                <w:sz w:val="21"/>
                <w:szCs w:val="21"/>
              </w:rPr>
              <w:t>总面积</w:t>
            </w:r>
          </w:p>
        </w:tc>
        <w:tc>
          <w:tcPr>
            <w:tcW w:w="637" w:type="pct"/>
            <w:gridSpan w:val="2"/>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pacing w:val="-2"/>
                <w:sz w:val="21"/>
                <w:szCs w:val="21"/>
              </w:rPr>
            </w:pPr>
            <w:r>
              <w:rPr>
                <w:rFonts w:hint="default" w:ascii="Times New Roman" w:hAnsi="Times New Roman" w:cs="Times New Roman"/>
                <w:color w:val="0000FF"/>
                <w:spacing w:val="-2"/>
                <w:sz w:val="21"/>
                <w:szCs w:val="21"/>
              </w:rPr>
              <w:t>微度侵蚀</w:t>
            </w:r>
          </w:p>
        </w:tc>
        <w:tc>
          <w:tcPr>
            <w:tcW w:w="3742" w:type="pct"/>
            <w:gridSpan w:val="12"/>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cs="Times New Roman"/>
                <w:color w:val="0000FF"/>
                <w:spacing w:val="-6"/>
                <w:sz w:val="21"/>
                <w:szCs w:val="21"/>
              </w:rPr>
              <w:t>水土流失面积：</w:t>
            </w:r>
            <w:r>
              <w:rPr>
                <w:rFonts w:hint="default" w:ascii="Times New Roman" w:hAnsi="Times New Roman" w:eastAsia="Times New Roman" w:cs="Times New Roman"/>
                <w:color w:val="0000FF"/>
                <w:spacing w:val="-6"/>
                <w:sz w:val="21"/>
                <w:szCs w:val="21"/>
              </w:rPr>
              <w:t>km²</w:t>
            </w:r>
            <w:r>
              <w:rPr>
                <w:rFonts w:hint="default" w:ascii="Times New Roman" w:hAnsi="Times New Roman" w:cs="Times New Roman"/>
                <w:color w:val="0000FF"/>
                <w:spacing w:val="-6"/>
                <w:sz w:val="21"/>
                <w:szCs w:val="21"/>
              </w:rPr>
              <w:t>、比例：</w:t>
            </w:r>
            <w:r>
              <w:rPr>
                <w:rFonts w:hint="default" w:ascii="Times New Roman" w:hAnsi="Times New Roman" w:eastAsia="Times New Roman" w:cs="Times New Roman"/>
                <w:color w:val="0000FF"/>
                <w:spacing w:val="-6"/>
                <w:sz w:val="21"/>
                <w:szCs w:val="21"/>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72" w:type="pct"/>
            <w:vMerge w:val="continue"/>
            <w:tcBorders>
              <w:top w:val="nil"/>
              <w:bottom w:val="nil"/>
            </w:tcBorders>
            <w:textDirection w:val="tbRlV"/>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2"/>
                <w:kern w:val="2"/>
                <w:sz w:val="21"/>
                <w:szCs w:val="21"/>
                <w:lang w:val="en-US" w:eastAsia="en-US" w:bidi="ar-SA"/>
              </w:rPr>
            </w:pPr>
          </w:p>
        </w:tc>
        <w:tc>
          <w:tcPr>
            <w:tcW w:w="248" w:type="pct"/>
            <w:vMerge w:val="continue"/>
            <w:tcBorders>
              <w:top w:val="nil"/>
              <w:bottom w:val="nil"/>
            </w:tcBorders>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2"/>
                <w:kern w:val="2"/>
                <w:sz w:val="21"/>
                <w:szCs w:val="21"/>
                <w:lang w:val="en-US" w:eastAsia="en-US" w:bidi="ar-SA"/>
              </w:rPr>
            </w:pPr>
          </w:p>
        </w:tc>
        <w:tc>
          <w:tcPr>
            <w:tcW w:w="352" w:type="pct"/>
            <w:vMerge w:val="restart"/>
            <w:tcBorders>
              <w:bottom w:val="nil"/>
            </w:tcBorders>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2"/>
                <w:kern w:val="2"/>
                <w:sz w:val="21"/>
                <w:szCs w:val="21"/>
                <w:lang w:val="en-US" w:eastAsia="en-US" w:bidi="ar-SA"/>
              </w:rPr>
            </w:pPr>
            <w:r>
              <w:rPr>
                <w:rFonts w:hint="default" w:ascii="Times New Roman" w:hAnsi="Times New Roman" w:eastAsia="宋体" w:cs="Times New Roman"/>
                <w:color w:val="0000FF"/>
                <w:spacing w:val="-2"/>
                <w:kern w:val="2"/>
                <w:sz w:val="21"/>
                <w:szCs w:val="21"/>
                <w:lang w:val="en-US" w:eastAsia="en-US" w:bidi="ar-SA"/>
              </w:rPr>
              <w:t>面积</w:t>
            </w:r>
          </w:p>
        </w:tc>
        <w:tc>
          <w:tcPr>
            <w:tcW w:w="284" w:type="pct"/>
            <w:vMerge w:val="restart"/>
            <w:tcBorders>
              <w:bottom w:val="nil"/>
            </w:tcBorders>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15"/>
                <w:sz w:val="21"/>
                <w:szCs w:val="21"/>
              </w:rPr>
              <w:t>比例</w:t>
            </w:r>
          </w:p>
        </w:tc>
        <w:tc>
          <w:tcPr>
            <w:tcW w:w="632" w:type="pct"/>
            <w:gridSpan w:val="2"/>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2"/>
                <w:sz w:val="21"/>
                <w:szCs w:val="21"/>
              </w:rPr>
              <w:t>合计</w:t>
            </w:r>
          </w:p>
        </w:tc>
        <w:tc>
          <w:tcPr>
            <w:tcW w:w="632" w:type="pct"/>
            <w:gridSpan w:val="2"/>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2"/>
                <w:sz w:val="21"/>
                <w:szCs w:val="21"/>
              </w:rPr>
              <w:t>轻度</w:t>
            </w:r>
          </w:p>
        </w:tc>
        <w:tc>
          <w:tcPr>
            <w:tcW w:w="595" w:type="pct"/>
            <w:gridSpan w:val="2"/>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7"/>
                <w:sz w:val="21"/>
                <w:szCs w:val="21"/>
              </w:rPr>
              <w:t>中度</w:t>
            </w:r>
          </w:p>
        </w:tc>
        <w:tc>
          <w:tcPr>
            <w:tcW w:w="519" w:type="pct"/>
            <w:gridSpan w:val="2"/>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3"/>
                <w:sz w:val="21"/>
                <w:szCs w:val="21"/>
              </w:rPr>
              <w:t>强烈</w:t>
            </w:r>
          </w:p>
        </w:tc>
        <w:tc>
          <w:tcPr>
            <w:tcW w:w="736" w:type="pct"/>
            <w:gridSpan w:val="2"/>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2"/>
                <w:sz w:val="21"/>
                <w:szCs w:val="21"/>
              </w:rPr>
              <w:t>极强烈</w:t>
            </w:r>
          </w:p>
        </w:tc>
        <w:tc>
          <w:tcPr>
            <w:tcW w:w="625" w:type="pct"/>
            <w:gridSpan w:val="2"/>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2"/>
                <w:sz w:val="21"/>
                <w:szCs w:val="21"/>
              </w:rPr>
              <w:t>剧烈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trPr>
        <w:tc>
          <w:tcPr>
            <w:tcW w:w="372" w:type="pct"/>
            <w:vMerge w:val="continue"/>
            <w:tcBorders>
              <w:top w:val="nil"/>
            </w:tcBorders>
            <w:textDirection w:val="tbRlV"/>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2"/>
                <w:kern w:val="2"/>
                <w:sz w:val="21"/>
                <w:szCs w:val="21"/>
                <w:lang w:val="en-US" w:eastAsia="en-US" w:bidi="ar-SA"/>
              </w:rPr>
            </w:pPr>
          </w:p>
        </w:tc>
        <w:tc>
          <w:tcPr>
            <w:tcW w:w="248" w:type="pct"/>
            <w:vMerge w:val="continue"/>
            <w:tcBorders>
              <w:top w:val="nil"/>
            </w:tcBorders>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2"/>
                <w:kern w:val="2"/>
                <w:sz w:val="21"/>
                <w:szCs w:val="21"/>
                <w:lang w:val="en-US" w:eastAsia="en-US" w:bidi="ar-SA"/>
              </w:rPr>
            </w:pPr>
          </w:p>
        </w:tc>
        <w:tc>
          <w:tcPr>
            <w:tcW w:w="352" w:type="pct"/>
            <w:vMerge w:val="continue"/>
            <w:tcBorders>
              <w:top w:val="nil"/>
            </w:tcBorders>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2"/>
                <w:kern w:val="2"/>
                <w:sz w:val="21"/>
                <w:szCs w:val="21"/>
                <w:lang w:val="en-US" w:eastAsia="en-US" w:bidi="ar-SA"/>
              </w:rPr>
            </w:pPr>
          </w:p>
        </w:tc>
        <w:tc>
          <w:tcPr>
            <w:tcW w:w="284" w:type="pct"/>
            <w:vMerge w:val="continue"/>
            <w:tcBorders>
              <w:top w:val="nil"/>
            </w:tcBorders>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p>
        </w:tc>
        <w:tc>
          <w:tcPr>
            <w:tcW w:w="346" w:type="pct"/>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2"/>
                <w:sz w:val="21"/>
                <w:szCs w:val="21"/>
              </w:rPr>
              <w:t>面积</w:t>
            </w:r>
          </w:p>
        </w:tc>
        <w:tc>
          <w:tcPr>
            <w:tcW w:w="286" w:type="pct"/>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1"/>
                <w:sz w:val="21"/>
                <w:szCs w:val="21"/>
              </w:rPr>
              <w:t>比例</w:t>
            </w:r>
          </w:p>
        </w:tc>
        <w:tc>
          <w:tcPr>
            <w:tcW w:w="346" w:type="pct"/>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2"/>
                <w:sz w:val="21"/>
                <w:szCs w:val="21"/>
              </w:rPr>
              <w:t>面积</w:t>
            </w:r>
          </w:p>
        </w:tc>
        <w:tc>
          <w:tcPr>
            <w:tcW w:w="286" w:type="pct"/>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8"/>
                <w:sz w:val="21"/>
                <w:szCs w:val="21"/>
              </w:rPr>
              <w:t>比例</w:t>
            </w:r>
          </w:p>
        </w:tc>
        <w:tc>
          <w:tcPr>
            <w:tcW w:w="317" w:type="pct"/>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2"/>
                <w:sz w:val="21"/>
                <w:szCs w:val="21"/>
              </w:rPr>
              <w:t>面积</w:t>
            </w:r>
          </w:p>
        </w:tc>
        <w:tc>
          <w:tcPr>
            <w:tcW w:w="277" w:type="pct"/>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15"/>
                <w:sz w:val="21"/>
                <w:szCs w:val="21"/>
              </w:rPr>
              <w:t>比例</w:t>
            </w:r>
          </w:p>
        </w:tc>
        <w:tc>
          <w:tcPr>
            <w:tcW w:w="283" w:type="pct"/>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2"/>
                <w:sz w:val="21"/>
                <w:szCs w:val="21"/>
              </w:rPr>
              <w:t>面积</w:t>
            </w:r>
          </w:p>
        </w:tc>
        <w:tc>
          <w:tcPr>
            <w:tcW w:w="236" w:type="pct"/>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15"/>
                <w:sz w:val="21"/>
                <w:szCs w:val="21"/>
              </w:rPr>
              <w:t>比例</w:t>
            </w:r>
          </w:p>
        </w:tc>
        <w:tc>
          <w:tcPr>
            <w:tcW w:w="391" w:type="pct"/>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2"/>
                <w:sz w:val="21"/>
                <w:szCs w:val="21"/>
              </w:rPr>
              <w:t>面积</w:t>
            </w:r>
          </w:p>
        </w:tc>
        <w:tc>
          <w:tcPr>
            <w:tcW w:w="344" w:type="pct"/>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1"/>
                <w:sz w:val="21"/>
                <w:szCs w:val="21"/>
              </w:rPr>
              <w:t>比例</w:t>
            </w:r>
          </w:p>
        </w:tc>
        <w:tc>
          <w:tcPr>
            <w:tcW w:w="331" w:type="pct"/>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2"/>
                <w:sz w:val="21"/>
                <w:szCs w:val="21"/>
              </w:rPr>
              <w:t>面积</w:t>
            </w:r>
          </w:p>
        </w:tc>
        <w:tc>
          <w:tcPr>
            <w:tcW w:w="293" w:type="pct"/>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pacing w:val="1"/>
                <w:sz w:val="21"/>
                <w:szCs w:val="21"/>
              </w:rPr>
              <w:t>比例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 w:hRule="atLeast"/>
        </w:trPr>
        <w:tc>
          <w:tcPr>
            <w:tcW w:w="372" w:type="pct"/>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2"/>
                <w:kern w:val="2"/>
                <w:sz w:val="21"/>
                <w:szCs w:val="21"/>
                <w:lang w:val="en-US" w:eastAsia="en-US" w:bidi="ar-SA"/>
              </w:rPr>
            </w:pPr>
            <w:r>
              <w:rPr>
                <w:rFonts w:hint="default" w:ascii="Times New Roman" w:hAnsi="Times New Roman" w:eastAsia="宋体" w:cs="Times New Roman"/>
                <w:color w:val="0000FF"/>
                <w:spacing w:val="-2"/>
                <w:kern w:val="2"/>
                <w:sz w:val="21"/>
                <w:szCs w:val="21"/>
                <w:lang w:val="en-US" w:eastAsia="en-US" w:bidi="ar-SA"/>
              </w:rPr>
              <w:t>元谋县</w:t>
            </w:r>
          </w:p>
        </w:tc>
        <w:tc>
          <w:tcPr>
            <w:tcW w:w="248" w:type="pct"/>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2"/>
                <w:kern w:val="2"/>
                <w:sz w:val="21"/>
                <w:szCs w:val="21"/>
                <w:lang w:val="en-US" w:eastAsia="en-US" w:bidi="ar-SA"/>
              </w:rPr>
            </w:pPr>
            <w:r>
              <w:rPr>
                <w:rFonts w:hint="default" w:ascii="Times New Roman" w:hAnsi="Times New Roman" w:eastAsia="宋体" w:cs="Times New Roman"/>
                <w:color w:val="0000FF"/>
                <w:spacing w:val="-2"/>
                <w:kern w:val="2"/>
                <w:sz w:val="21"/>
                <w:szCs w:val="21"/>
                <w:lang w:val="en-US" w:eastAsia="en-US" w:bidi="ar-SA"/>
              </w:rPr>
              <w:t>1803</w:t>
            </w:r>
          </w:p>
        </w:tc>
        <w:tc>
          <w:tcPr>
            <w:tcW w:w="352" w:type="pct"/>
            <w:vAlign w:val="top"/>
          </w:tcPr>
          <w:p>
            <w:pPr>
              <w:pStyle w:val="56"/>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pacing w:val="-2"/>
                <w:kern w:val="2"/>
                <w:sz w:val="21"/>
                <w:szCs w:val="21"/>
                <w:lang w:val="en-US" w:eastAsia="en-US" w:bidi="ar-SA"/>
              </w:rPr>
            </w:pPr>
            <w:r>
              <w:rPr>
                <w:rFonts w:hint="default" w:ascii="Times New Roman" w:hAnsi="Times New Roman" w:eastAsia="宋体" w:cs="Times New Roman"/>
                <w:color w:val="0000FF"/>
                <w:spacing w:val="-2"/>
                <w:kern w:val="2"/>
                <w:sz w:val="21"/>
                <w:szCs w:val="21"/>
                <w:lang w:val="en-US" w:eastAsia="en-US" w:bidi="ar-SA"/>
              </w:rPr>
              <w:t>1297.26</w:t>
            </w:r>
          </w:p>
        </w:tc>
        <w:tc>
          <w:tcPr>
            <w:tcW w:w="284" w:type="pct"/>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pacing w:val="-2"/>
                <w:position w:val="12"/>
                <w:sz w:val="21"/>
                <w:szCs w:val="21"/>
                <w:lang w:val="en-US" w:eastAsia="zh-CN"/>
              </w:rPr>
              <w:t>71.95</w:t>
            </w:r>
          </w:p>
        </w:tc>
        <w:tc>
          <w:tcPr>
            <w:tcW w:w="346" w:type="pct"/>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505.74</w:t>
            </w:r>
          </w:p>
        </w:tc>
        <w:tc>
          <w:tcPr>
            <w:tcW w:w="286" w:type="pct"/>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pacing w:val="-1"/>
                <w:position w:val="12"/>
                <w:sz w:val="21"/>
                <w:szCs w:val="21"/>
                <w:lang w:val="en-US" w:eastAsia="zh-CN"/>
              </w:rPr>
              <w:t>28.05</w:t>
            </w:r>
          </w:p>
        </w:tc>
        <w:tc>
          <w:tcPr>
            <w:tcW w:w="346" w:type="pct"/>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pacing w:val="-1"/>
                <w:position w:val="12"/>
                <w:sz w:val="21"/>
                <w:szCs w:val="21"/>
                <w:lang w:val="en-US" w:eastAsia="zh-CN"/>
              </w:rPr>
              <w:t>390.36</w:t>
            </w:r>
          </w:p>
        </w:tc>
        <w:tc>
          <w:tcPr>
            <w:tcW w:w="286" w:type="pct"/>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77.19</w:t>
            </w:r>
          </w:p>
        </w:tc>
        <w:tc>
          <w:tcPr>
            <w:tcW w:w="317" w:type="pct"/>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77.79</w:t>
            </w:r>
          </w:p>
        </w:tc>
        <w:tc>
          <w:tcPr>
            <w:tcW w:w="277" w:type="pct"/>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pacing w:val="-5"/>
                <w:position w:val="12"/>
                <w:sz w:val="21"/>
                <w:szCs w:val="21"/>
                <w:lang w:val="en-US" w:eastAsia="zh-CN"/>
              </w:rPr>
              <w:t>15.38</w:t>
            </w:r>
          </w:p>
        </w:tc>
        <w:tc>
          <w:tcPr>
            <w:tcW w:w="283" w:type="pct"/>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23.05</w:t>
            </w:r>
          </w:p>
        </w:tc>
        <w:tc>
          <w:tcPr>
            <w:tcW w:w="236" w:type="pct"/>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4.56</w:t>
            </w:r>
          </w:p>
        </w:tc>
        <w:tc>
          <w:tcPr>
            <w:tcW w:w="391" w:type="pct"/>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4"/>
                <w:sz w:val="21"/>
                <w:szCs w:val="21"/>
              </w:rPr>
              <w:t>10.44</w:t>
            </w:r>
          </w:p>
        </w:tc>
        <w:tc>
          <w:tcPr>
            <w:tcW w:w="344" w:type="pct"/>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pacing w:val="-1"/>
                <w:position w:val="12"/>
                <w:sz w:val="21"/>
                <w:szCs w:val="21"/>
                <w:lang w:val="en-US" w:eastAsia="zh-CN"/>
              </w:rPr>
              <w:t>2.06</w:t>
            </w:r>
          </w:p>
        </w:tc>
        <w:tc>
          <w:tcPr>
            <w:tcW w:w="331" w:type="pct"/>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Times New Roman" w:cs="Times New Roman"/>
                <w:color w:val="0000FF"/>
                <w:sz w:val="21"/>
                <w:szCs w:val="21"/>
              </w:rPr>
            </w:pPr>
            <w:r>
              <w:rPr>
                <w:rFonts w:hint="default" w:ascii="Times New Roman" w:hAnsi="Times New Roman" w:eastAsia="Times New Roman" w:cs="Times New Roman"/>
                <w:color w:val="0000FF"/>
                <w:spacing w:val="-1"/>
                <w:sz w:val="21"/>
                <w:szCs w:val="21"/>
              </w:rPr>
              <w:t>4.10</w:t>
            </w:r>
          </w:p>
        </w:tc>
        <w:tc>
          <w:tcPr>
            <w:tcW w:w="293" w:type="pct"/>
            <w:vAlign w:val="top"/>
          </w:tcPr>
          <w:p>
            <w:pPr>
              <w:keepNext w:val="0"/>
              <w:keepLines w:val="0"/>
              <w:pageBreakBefore w:val="0"/>
              <w:widowControl w:val="0"/>
              <w:kinsoku/>
              <w:wordWrap/>
              <w:overflowPunct/>
              <w:topLinePunct w:val="0"/>
              <w:autoSpaceDE/>
              <w:autoSpaceDN/>
              <w:bidi w:val="0"/>
              <w:adjustRightInd/>
              <w:snapToGrid w:val="0"/>
              <w:spacing w:line="240" w:lineRule="auto"/>
              <w:ind w:left="0" w:right="0" w:firstLine="0" w:firstLineChars="0"/>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pacing w:val="-2"/>
                <w:position w:val="12"/>
                <w:sz w:val="21"/>
                <w:szCs w:val="21"/>
                <w:lang w:val="en-US" w:eastAsia="zh-CN"/>
              </w:rPr>
              <w:t>0.81</w:t>
            </w:r>
          </w:p>
        </w:tc>
      </w:tr>
    </w:tbl>
    <w:p>
      <w:pPr>
        <w:pStyle w:val="5"/>
        <w:bidi w:val="0"/>
        <w:rPr>
          <w:color w:val="0000FF"/>
        </w:rPr>
      </w:pPr>
      <w:r>
        <w:rPr>
          <w:color w:val="0000FF"/>
        </w:rPr>
        <w:t>项目区水土流失现状</w:t>
      </w:r>
    </w:p>
    <w:p>
      <w:pPr>
        <w:pStyle w:val="13"/>
        <w:keepNext w:val="0"/>
        <w:keepLines w:val="0"/>
        <w:pageBreakBefore w:val="0"/>
        <w:widowControl w:val="0"/>
        <w:kinsoku/>
        <w:wordWrap/>
        <w:overflowPunct/>
        <w:topLinePunct w:val="0"/>
        <w:autoSpaceDE/>
        <w:autoSpaceDN/>
        <w:bidi w:val="0"/>
        <w:adjustRightInd/>
        <w:snapToGrid w:val="0"/>
        <w:spacing w:afterLines="0" w:line="360" w:lineRule="auto"/>
        <w:ind w:left="0" w:right="0"/>
        <w:textAlignment w:val="auto"/>
        <w:rPr>
          <w:rFonts w:hint="default" w:ascii="Times New Roman" w:hAnsi="Times New Roman" w:eastAsia="宋体" w:cs="Times New Roman"/>
          <w:color w:val="0000FF"/>
          <w:kern w:val="0"/>
          <w:sz w:val="24"/>
          <w:szCs w:val="24"/>
          <w:lang w:val="en-US" w:eastAsia="zh-CN" w:bidi="ar"/>
        </w:rPr>
      </w:pPr>
      <w:r>
        <w:rPr>
          <w:rFonts w:hint="default" w:ascii="Times New Roman" w:hAnsi="Times New Roman" w:eastAsia="宋体" w:cs="Times New Roman"/>
          <w:color w:val="0000FF"/>
          <w:kern w:val="0"/>
          <w:sz w:val="24"/>
          <w:szCs w:val="24"/>
          <w:lang w:val="en-US" w:eastAsia="zh-CN" w:bidi="ar"/>
        </w:rPr>
        <w:t>根据“水利部办公厅关于印发《全国水土保持规划国家级水土流失重点预防区和重点治理区复核划分成果》的通知（办水保〔2013〕188号）”、《云南省水利厅关于划分省级水土流失重点预防区和重点治理区的公告》（云南省水利厅公告第49号，2017年8月30日），项目所在地元谋县属“金沙江下游国家级水土流失重点治理区”，根据《全国水土保持区划》（试行），本项目属于水力侵蚀为主的西南岩溶区，水土流失防治标准执行西南岩溶区一级标准。根据《土壤侵蚀分类分级标准》（SL190-2007），项目区属以水力侵蚀为主的西南土石山区，土壤容许流失量为500t/km²·a。根据主体设计资料，项目区原地貌占地类型为坡耕地、林地、交通运输用地、其它土地和水域及水利设施用地。经计算项目区域水土流失强度为轻度。</w:t>
      </w:r>
    </w:p>
    <w:p>
      <w:pPr>
        <w:keepNext w:val="0"/>
        <w:keepLines w:val="0"/>
        <w:pageBreakBefore w:val="0"/>
        <w:widowControl w:val="0"/>
        <w:shd w:val="clear"/>
        <w:kinsoku/>
        <w:wordWrap/>
        <w:overflowPunct/>
        <w:topLinePunct w:val="0"/>
        <w:autoSpaceDE/>
        <w:autoSpaceDN/>
        <w:bidi w:val="0"/>
        <w:adjustRightInd/>
        <w:snapToGrid w:val="0"/>
        <w:spacing w:line="360" w:lineRule="auto"/>
        <w:ind w:left="0" w:right="0"/>
        <w:textAlignment w:val="auto"/>
        <w:rPr>
          <w:rFonts w:hint="default" w:ascii="Times New Roman" w:hAnsi="Times New Roman" w:eastAsia="宋体" w:cs="Times New Roman"/>
          <w:color w:val="000000"/>
          <w:kern w:val="0"/>
          <w:sz w:val="24"/>
          <w:szCs w:val="24"/>
          <w:lang w:val="en-US" w:eastAsia="zh-CN" w:bidi="ar"/>
        </w:rPr>
        <w:sectPr>
          <w:pgSz w:w="11906" w:h="16838"/>
          <w:pgMar w:top="1440" w:right="1800" w:bottom="1440" w:left="1800" w:header="851" w:footer="992" w:gutter="0"/>
          <w:pgNumType w:fmt="decimal"/>
          <w:cols w:space="720" w:num="1"/>
          <w:docGrid w:type="lines" w:linePitch="312" w:charSpace="0"/>
        </w:sectPr>
      </w:pPr>
    </w:p>
    <w:p>
      <w:pPr>
        <w:pStyle w:val="28"/>
        <w:rPr>
          <w:rFonts w:hint="default"/>
          <w:color w:val="auto"/>
          <w:highlight w:val="none"/>
          <w:lang w:val="en-US" w:eastAsia="zh-CN"/>
        </w:rPr>
      </w:pPr>
    </w:p>
    <w:p>
      <w:pPr>
        <w:pStyle w:val="2"/>
        <w:numPr>
          <w:ilvl w:val="0"/>
          <w:numId w:val="2"/>
        </w:numPr>
        <w:tabs>
          <w:tab w:val="left" w:pos="420"/>
        </w:tabs>
        <w:bidi w:val="0"/>
        <w:rPr>
          <w:rFonts w:hint="default"/>
          <w:color w:val="auto"/>
          <w:highlight w:val="none"/>
        </w:rPr>
      </w:pPr>
      <w:bookmarkStart w:id="555" w:name="_Toc4584"/>
      <w:bookmarkStart w:id="556" w:name="_Toc18466"/>
      <w:bookmarkStart w:id="557" w:name="_Toc32520"/>
      <w:bookmarkStart w:id="558" w:name="_Toc18098"/>
      <w:r>
        <w:rPr>
          <w:rFonts w:hint="default"/>
          <w:color w:val="auto"/>
          <w:highlight w:val="none"/>
        </w:rPr>
        <w:t>环境影响</w:t>
      </w:r>
      <w:r>
        <w:rPr>
          <w:rFonts w:hint="eastAsia"/>
          <w:color w:val="auto"/>
          <w:highlight w:val="none"/>
          <w:lang w:eastAsia="zh-CN"/>
        </w:rPr>
        <w:t>预测与评价</w:t>
      </w:r>
      <w:bookmarkEnd w:id="555"/>
      <w:bookmarkEnd w:id="556"/>
      <w:bookmarkEnd w:id="557"/>
      <w:bookmarkEnd w:id="558"/>
    </w:p>
    <w:p>
      <w:pPr>
        <w:pStyle w:val="3"/>
        <w:numPr>
          <w:ilvl w:val="1"/>
          <w:numId w:val="2"/>
        </w:numPr>
        <w:tabs>
          <w:tab w:val="left" w:pos="420"/>
        </w:tabs>
        <w:bidi w:val="0"/>
        <w:rPr>
          <w:rFonts w:hint="eastAsia"/>
          <w:color w:val="auto"/>
          <w:lang w:eastAsia="zh-CN"/>
        </w:rPr>
      </w:pPr>
      <w:bookmarkStart w:id="559" w:name="_Toc3650"/>
      <w:bookmarkStart w:id="560" w:name="_Toc30883"/>
      <w:bookmarkStart w:id="561" w:name="_Toc22797"/>
      <w:bookmarkStart w:id="562" w:name="_Toc15245"/>
      <w:r>
        <w:rPr>
          <w:rFonts w:hint="default"/>
          <w:color w:val="auto"/>
        </w:rPr>
        <w:t>施工期环境影响</w:t>
      </w:r>
      <w:r>
        <w:rPr>
          <w:rFonts w:hint="eastAsia"/>
          <w:color w:val="auto"/>
          <w:lang w:eastAsia="zh-CN"/>
        </w:rPr>
        <w:t>评价</w:t>
      </w:r>
      <w:bookmarkEnd w:id="559"/>
      <w:bookmarkEnd w:id="560"/>
      <w:bookmarkEnd w:id="561"/>
      <w:bookmarkEnd w:id="562"/>
    </w:p>
    <w:p>
      <w:pPr>
        <w:pStyle w:val="4"/>
        <w:numPr>
          <w:ilvl w:val="2"/>
          <w:numId w:val="2"/>
        </w:numPr>
        <w:tabs>
          <w:tab w:val="left" w:pos="420"/>
        </w:tabs>
        <w:bidi w:val="0"/>
        <w:rPr>
          <w:rFonts w:hint="eastAsia"/>
          <w:color w:val="auto"/>
          <w:lang w:val="en-US" w:eastAsia="zh-CN"/>
        </w:rPr>
      </w:pPr>
      <w:bookmarkStart w:id="563" w:name="_Toc31750"/>
      <w:bookmarkStart w:id="564" w:name="_Toc19576"/>
      <w:bookmarkStart w:id="565" w:name="_Toc31295"/>
      <w:r>
        <w:rPr>
          <w:rFonts w:hint="eastAsia"/>
          <w:color w:val="auto"/>
          <w:lang w:val="en-US" w:eastAsia="zh-CN"/>
        </w:rPr>
        <w:t>大气环境影响分析</w:t>
      </w:r>
      <w:bookmarkEnd w:id="563"/>
      <w:bookmarkEnd w:id="564"/>
      <w:bookmarkEnd w:id="565"/>
    </w:p>
    <w:p>
      <w:pPr>
        <w:bidi w:val="0"/>
        <w:ind w:firstLine="480" w:firstLineChars="200"/>
        <w:jc w:val="left"/>
        <w:rPr>
          <w:rFonts w:hint="default"/>
          <w:color w:val="auto"/>
          <w:highlight w:val="none"/>
        </w:rPr>
      </w:pPr>
      <w:r>
        <w:rPr>
          <w:rFonts w:hint="default"/>
          <w:color w:val="auto"/>
          <w:highlight w:val="none"/>
        </w:rPr>
        <w:t>本项目对环境空气的影响主要发生在施工期。施工期产生的废气主要来源于施工机械、运输车辆</w:t>
      </w:r>
      <w:r>
        <w:rPr>
          <w:rFonts w:hint="eastAsia"/>
          <w:color w:val="auto"/>
          <w:highlight w:val="none"/>
          <w:lang w:val="en-US" w:eastAsia="zh-CN"/>
        </w:rPr>
        <w:t>的燃油废气</w:t>
      </w:r>
      <w:r>
        <w:rPr>
          <w:rFonts w:hint="default"/>
          <w:color w:val="auto"/>
          <w:highlight w:val="none"/>
        </w:rPr>
        <w:t>、施工及运输过程中产生的扬尘、弃渣场扬尘等。</w:t>
      </w:r>
    </w:p>
    <w:p>
      <w:pPr>
        <w:pStyle w:val="5"/>
        <w:numPr>
          <w:ilvl w:val="3"/>
          <w:numId w:val="2"/>
        </w:numPr>
        <w:bidi w:val="0"/>
        <w:ind w:left="480" w:leftChars="0" w:firstLineChars="0"/>
        <w:rPr>
          <w:rFonts w:hint="default"/>
          <w:color w:val="auto"/>
        </w:rPr>
      </w:pPr>
      <w:r>
        <w:rPr>
          <w:color w:val="auto"/>
        </w:rPr>
        <w:t>机械车辆尾气影响分析</w:t>
      </w:r>
    </w:p>
    <w:p>
      <w:pPr>
        <w:ind w:firstLine="480" w:firstLineChars="200"/>
        <w:rPr>
          <w:rFonts w:hint="default"/>
          <w:color w:val="auto"/>
          <w:highlight w:val="none"/>
        </w:rPr>
      </w:pPr>
      <w:r>
        <w:rPr>
          <w:rFonts w:hint="default"/>
          <w:color w:val="auto"/>
          <w:highlight w:val="none"/>
        </w:rPr>
        <w:t>工程施工机械及运输车辆所用燃料主要为柴油、汽油，机械车辆排放的尾气主要含有SO</w:t>
      </w:r>
      <w:r>
        <w:rPr>
          <w:rFonts w:hint="default"/>
          <w:color w:val="auto"/>
          <w:highlight w:val="none"/>
          <w:vertAlign w:val="subscript"/>
        </w:rPr>
        <w:t>2</w:t>
      </w:r>
      <w:r>
        <w:rPr>
          <w:rFonts w:hint="default"/>
          <w:color w:val="auto"/>
          <w:highlight w:val="none"/>
        </w:rPr>
        <w:t>、NOx、CO、碳氢化合物（HC）等污染物。根据工程分析计算施</w:t>
      </w:r>
    </w:p>
    <w:p>
      <w:pPr>
        <w:rPr>
          <w:rFonts w:hint="default"/>
          <w:color w:val="auto"/>
          <w:highlight w:val="none"/>
        </w:rPr>
      </w:pPr>
      <w:r>
        <w:rPr>
          <w:rFonts w:hint="eastAsia"/>
          <w:color w:val="0000FF"/>
          <w:highlight w:val="none"/>
          <w:lang w:val="en-US" w:eastAsia="zh-CN"/>
        </w:rPr>
        <w:t>根据工程分析，工程施工期柴油的使用量为323.59t、汽油使用量为18t，各污染物每天的排放量</w:t>
      </w:r>
      <w:r>
        <w:rPr>
          <w:rFonts w:hint="eastAsia"/>
          <w:color w:val="0000FF"/>
          <w:highlight w:val="none"/>
          <w:lang w:eastAsia="zh-CN"/>
        </w:rPr>
        <w:t>分别为</w:t>
      </w:r>
      <w:r>
        <w:rPr>
          <w:rFonts w:hint="default"/>
          <w:color w:val="0000FF"/>
          <w:highlight w:val="none"/>
        </w:rPr>
        <w:t>SO</w:t>
      </w:r>
      <w:r>
        <w:rPr>
          <w:rFonts w:hint="default"/>
          <w:color w:val="0000FF"/>
          <w:highlight w:val="none"/>
          <w:vertAlign w:val="subscript"/>
        </w:rPr>
        <w:t>2</w:t>
      </w:r>
      <w:r>
        <w:rPr>
          <w:rFonts w:hint="eastAsia"/>
          <w:color w:val="0000FF"/>
          <w:highlight w:val="none"/>
          <w:vertAlign w:val="baseline"/>
          <w:lang w:eastAsia="zh-CN"/>
        </w:rPr>
        <w:t>：</w:t>
      </w:r>
      <w:r>
        <w:rPr>
          <w:rFonts w:hint="eastAsia"/>
          <w:color w:val="0000FF"/>
          <w:highlight w:val="none"/>
          <w:lang w:val="en-US" w:eastAsia="zh-CN"/>
        </w:rPr>
        <w:t>1.2433kg</w:t>
      </w:r>
      <w:r>
        <w:rPr>
          <w:rFonts w:hint="default"/>
          <w:color w:val="0000FF"/>
          <w:highlight w:val="none"/>
        </w:rPr>
        <w:t>、CO</w:t>
      </w:r>
      <w:r>
        <w:rPr>
          <w:rFonts w:hint="eastAsia"/>
          <w:color w:val="0000FF"/>
          <w:highlight w:val="none"/>
          <w:lang w:eastAsia="zh-CN"/>
        </w:rPr>
        <w:t>：</w:t>
      </w:r>
      <w:r>
        <w:rPr>
          <w:rFonts w:hint="eastAsia"/>
          <w:color w:val="0000FF"/>
          <w:highlight w:val="none"/>
          <w:lang w:val="en-US" w:eastAsia="zh-CN"/>
        </w:rPr>
        <w:t>13.4831kg、NO</w:t>
      </w:r>
      <w:r>
        <w:rPr>
          <w:rFonts w:hint="eastAsia"/>
          <w:color w:val="0000FF"/>
          <w:highlight w:val="none"/>
          <w:vertAlign w:val="subscript"/>
          <w:lang w:val="en-US" w:eastAsia="zh-CN"/>
        </w:rPr>
        <w:t>2</w:t>
      </w:r>
      <w:r>
        <w:rPr>
          <w:rFonts w:hint="eastAsia"/>
          <w:color w:val="0000FF"/>
          <w:highlight w:val="none"/>
          <w:lang w:eastAsia="zh-CN"/>
        </w:rPr>
        <w:t>：</w:t>
      </w:r>
      <w:r>
        <w:rPr>
          <w:rFonts w:hint="eastAsia"/>
          <w:color w:val="0000FF"/>
          <w:highlight w:val="none"/>
          <w:lang w:val="en-US" w:eastAsia="zh-CN"/>
        </w:rPr>
        <w:t>17.3570kg、CmHn：2.3205kg</w:t>
      </w:r>
      <w:r>
        <w:rPr>
          <w:rFonts w:hint="default"/>
          <w:color w:val="0000FF"/>
          <w:highlight w:val="none"/>
        </w:rPr>
        <w:t>。</w:t>
      </w:r>
      <w:r>
        <w:rPr>
          <w:rFonts w:hint="default"/>
          <w:color w:val="auto"/>
          <w:highlight w:val="none"/>
        </w:rPr>
        <w:t>本项目为线性工程，施工区较多且分散，具体每个单项工程的排放量很小，且施工场地开阔，污染物扩散能力强，污染物浓度下降较快；因此，施工期机械车辆尾气对保护目标和大气环境影响</w:t>
      </w:r>
      <w:r>
        <w:rPr>
          <w:rFonts w:hint="eastAsia"/>
          <w:color w:val="auto"/>
          <w:highlight w:val="none"/>
          <w:lang w:eastAsia="zh-CN"/>
        </w:rPr>
        <w:t>较小</w:t>
      </w:r>
      <w:r>
        <w:rPr>
          <w:rFonts w:hint="default"/>
          <w:color w:val="auto"/>
          <w:highlight w:val="none"/>
        </w:rPr>
        <w:t>。</w:t>
      </w:r>
    </w:p>
    <w:p>
      <w:pPr>
        <w:pStyle w:val="5"/>
        <w:numPr>
          <w:ilvl w:val="3"/>
          <w:numId w:val="2"/>
        </w:numPr>
        <w:bidi w:val="0"/>
        <w:ind w:left="480" w:leftChars="0" w:firstLineChars="0"/>
        <w:rPr>
          <w:color w:val="auto"/>
        </w:rPr>
      </w:pPr>
      <w:r>
        <w:rPr>
          <w:color w:val="auto"/>
        </w:rPr>
        <w:t>扬尘影响分析</w:t>
      </w:r>
    </w:p>
    <w:p>
      <w:pPr>
        <w:rPr>
          <w:rFonts w:hint="default" w:eastAsia="宋体"/>
          <w:b/>
          <w:bCs/>
          <w:color w:val="auto"/>
          <w:lang w:val="en-US" w:eastAsia="zh-CN"/>
        </w:rPr>
      </w:pPr>
      <w:r>
        <w:rPr>
          <w:rFonts w:hint="eastAsia"/>
          <w:b/>
          <w:bCs/>
          <w:color w:val="auto"/>
          <w:lang w:val="en-US" w:eastAsia="zh-CN"/>
        </w:rPr>
        <w:t>1、施工扬尘</w:t>
      </w:r>
    </w:p>
    <w:p>
      <w:pPr>
        <w:ind w:firstLine="480" w:firstLineChars="200"/>
        <w:rPr>
          <w:rFonts w:hint="eastAsia"/>
          <w:color w:val="auto"/>
          <w:highlight w:val="none"/>
          <w:lang w:val="en-US" w:eastAsia="zh-CN"/>
        </w:rPr>
      </w:pPr>
      <w:r>
        <w:rPr>
          <w:rFonts w:hint="eastAsia"/>
          <w:color w:val="auto"/>
          <w:highlight w:val="none"/>
          <w:lang w:val="en-US" w:eastAsia="zh-CN"/>
        </w:rPr>
        <w:t>施工期开挖与填筑及施工结束后临时设施拆除均会造成粉尘、扬尘等环境空气污染；混凝土拌和产生粉尘和扬尘；建筑材料若运输、装卸、存储方式不当，可能造成泄露，产生扬尘和粉尘污染。</w:t>
      </w:r>
    </w:p>
    <w:p>
      <w:pPr>
        <w:ind w:firstLine="480" w:firstLineChars="200"/>
        <w:rPr>
          <w:rFonts w:hint="eastAsia"/>
          <w:color w:val="auto"/>
          <w:highlight w:val="none"/>
          <w:lang w:val="en-US" w:eastAsia="zh-CN"/>
        </w:rPr>
      </w:pPr>
      <w:r>
        <w:rPr>
          <w:rFonts w:hint="eastAsia"/>
          <w:color w:val="auto"/>
          <w:highlight w:val="none"/>
          <w:lang w:val="en-US" w:eastAsia="zh-CN"/>
        </w:rPr>
        <w:t>根据对类似施工现场及周边的TSP监测，距离施工场地不同距离处空气中的TSP浓度变化见表5.1.1-1。</w:t>
      </w:r>
    </w:p>
    <w:p>
      <w:pPr>
        <w:pStyle w:val="40"/>
        <w:bidi w:val="0"/>
        <w:rPr>
          <w:rFonts w:hint="eastAsia"/>
          <w:color w:val="auto"/>
          <w:lang w:val="en-US" w:eastAsia="zh-CN"/>
        </w:rPr>
      </w:pPr>
      <w:r>
        <w:rPr>
          <w:rFonts w:hint="eastAsia"/>
          <w:color w:val="auto"/>
          <w:lang w:val="en-US" w:eastAsia="zh-CN"/>
        </w:rPr>
        <w:t>表5.1.1-1  施工近场空气中TSP浓度监测值</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vAlign w:val="center"/>
          </w:tcPr>
          <w:p>
            <w:pPr>
              <w:pStyle w:val="42"/>
              <w:bidi w:val="0"/>
              <w:rPr>
                <w:rFonts w:hint="default"/>
                <w:color w:val="auto"/>
                <w:lang w:val="en-US" w:eastAsia="zh-CN"/>
              </w:rPr>
            </w:pPr>
          </w:p>
        </w:tc>
        <w:tc>
          <w:tcPr>
            <w:tcW w:w="2130" w:type="dxa"/>
            <w:vAlign w:val="center"/>
          </w:tcPr>
          <w:p>
            <w:pPr>
              <w:pStyle w:val="42"/>
              <w:bidi w:val="0"/>
              <w:rPr>
                <w:rFonts w:hint="default"/>
                <w:color w:val="auto"/>
                <w:lang w:val="en-US" w:eastAsia="zh-CN"/>
              </w:rPr>
            </w:pPr>
            <w:r>
              <w:rPr>
                <w:rFonts w:hint="eastAsia"/>
                <w:color w:val="auto"/>
                <w:lang w:val="en-US" w:eastAsia="zh-CN"/>
              </w:rPr>
              <w:t>监测点位置</w:t>
            </w:r>
          </w:p>
        </w:tc>
        <w:tc>
          <w:tcPr>
            <w:tcW w:w="2131" w:type="dxa"/>
            <w:vAlign w:val="center"/>
          </w:tcPr>
          <w:p>
            <w:pPr>
              <w:pStyle w:val="42"/>
              <w:bidi w:val="0"/>
              <w:rPr>
                <w:rFonts w:hint="default"/>
                <w:color w:val="auto"/>
                <w:lang w:val="en-US" w:eastAsia="zh-CN"/>
              </w:rPr>
            </w:pPr>
            <w:r>
              <w:rPr>
                <w:rFonts w:hint="eastAsia"/>
                <w:color w:val="auto"/>
                <w:lang w:val="en-US" w:eastAsia="zh-CN"/>
              </w:rPr>
              <w:t>场地不洒水</w:t>
            </w:r>
          </w:p>
        </w:tc>
        <w:tc>
          <w:tcPr>
            <w:tcW w:w="2131" w:type="dxa"/>
            <w:vAlign w:val="center"/>
          </w:tcPr>
          <w:p>
            <w:pPr>
              <w:pStyle w:val="42"/>
              <w:bidi w:val="0"/>
              <w:rPr>
                <w:rFonts w:hint="default"/>
                <w:color w:val="auto"/>
                <w:lang w:val="en-US" w:eastAsia="zh-CN"/>
              </w:rPr>
            </w:pPr>
            <w:r>
              <w:rPr>
                <w:rFonts w:hint="eastAsia"/>
                <w:color w:val="auto"/>
                <w:lang w:val="en-US" w:eastAsia="zh-CN"/>
              </w:rPr>
              <w:t>场地洒水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vMerge w:val="restart"/>
            <w:vAlign w:val="center"/>
          </w:tcPr>
          <w:p>
            <w:pPr>
              <w:pStyle w:val="42"/>
              <w:bidi w:val="0"/>
              <w:rPr>
                <w:rFonts w:hint="default"/>
                <w:color w:val="auto"/>
                <w:lang w:val="en-US" w:eastAsia="zh-CN"/>
              </w:rPr>
            </w:pPr>
            <w:r>
              <w:rPr>
                <w:rFonts w:hint="eastAsia"/>
                <w:color w:val="auto"/>
                <w:lang w:val="en-US" w:eastAsia="zh-CN"/>
              </w:rPr>
              <w:t>距离场地不同距离处TSP的浓度值（mg/m</w:t>
            </w:r>
            <w:r>
              <w:rPr>
                <w:rFonts w:hint="eastAsia"/>
                <w:color w:val="auto"/>
                <w:vertAlign w:val="superscript"/>
                <w:lang w:val="en-US" w:eastAsia="zh-CN"/>
              </w:rPr>
              <w:t>3</w:t>
            </w:r>
            <w:r>
              <w:rPr>
                <w:rFonts w:hint="eastAsia"/>
                <w:color w:val="auto"/>
                <w:lang w:val="en-US" w:eastAsia="zh-CN"/>
              </w:rPr>
              <w:t>）</w:t>
            </w:r>
          </w:p>
        </w:tc>
        <w:tc>
          <w:tcPr>
            <w:tcW w:w="2130" w:type="dxa"/>
            <w:vAlign w:val="center"/>
          </w:tcPr>
          <w:p>
            <w:pPr>
              <w:pStyle w:val="42"/>
              <w:bidi w:val="0"/>
              <w:rPr>
                <w:rFonts w:hint="default"/>
                <w:color w:val="auto"/>
                <w:lang w:val="en-US" w:eastAsia="zh-CN"/>
              </w:rPr>
            </w:pPr>
            <w:r>
              <w:rPr>
                <w:rFonts w:hint="eastAsia"/>
                <w:color w:val="auto"/>
                <w:lang w:val="en-US" w:eastAsia="zh-CN"/>
              </w:rPr>
              <w:t>10m</w:t>
            </w:r>
          </w:p>
        </w:tc>
        <w:tc>
          <w:tcPr>
            <w:tcW w:w="2131" w:type="dxa"/>
            <w:vAlign w:val="center"/>
          </w:tcPr>
          <w:p>
            <w:pPr>
              <w:pStyle w:val="42"/>
              <w:bidi w:val="0"/>
              <w:rPr>
                <w:rFonts w:hint="default"/>
                <w:color w:val="auto"/>
                <w:lang w:val="en-US" w:eastAsia="zh-CN"/>
              </w:rPr>
            </w:pPr>
            <w:r>
              <w:rPr>
                <w:rFonts w:hint="eastAsia"/>
                <w:color w:val="auto"/>
                <w:lang w:val="en-US" w:eastAsia="zh-CN"/>
              </w:rPr>
              <w:t>1.75</w:t>
            </w:r>
          </w:p>
        </w:tc>
        <w:tc>
          <w:tcPr>
            <w:tcW w:w="2131" w:type="dxa"/>
            <w:vAlign w:val="center"/>
          </w:tcPr>
          <w:p>
            <w:pPr>
              <w:pStyle w:val="42"/>
              <w:bidi w:val="0"/>
              <w:rPr>
                <w:rFonts w:hint="default"/>
                <w:color w:val="auto"/>
                <w:lang w:val="en-US" w:eastAsia="zh-CN"/>
              </w:rPr>
            </w:pPr>
            <w:r>
              <w:rPr>
                <w:rFonts w:hint="eastAsia"/>
                <w:color w:val="auto"/>
                <w:lang w:val="en-US" w:eastAsia="zh-CN"/>
              </w:rPr>
              <w:t>0.437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vMerge w:val="continue"/>
            <w:vAlign w:val="center"/>
          </w:tcPr>
          <w:p>
            <w:pPr>
              <w:pStyle w:val="42"/>
              <w:bidi w:val="0"/>
              <w:rPr>
                <w:rFonts w:hint="default"/>
                <w:color w:val="auto"/>
                <w:lang w:val="en-US" w:eastAsia="zh-CN"/>
              </w:rPr>
            </w:pPr>
          </w:p>
        </w:tc>
        <w:tc>
          <w:tcPr>
            <w:tcW w:w="2130" w:type="dxa"/>
            <w:vAlign w:val="center"/>
          </w:tcPr>
          <w:p>
            <w:pPr>
              <w:pStyle w:val="42"/>
              <w:bidi w:val="0"/>
              <w:rPr>
                <w:rFonts w:hint="default"/>
                <w:color w:val="auto"/>
                <w:lang w:val="en-US" w:eastAsia="zh-CN"/>
              </w:rPr>
            </w:pPr>
            <w:r>
              <w:rPr>
                <w:rFonts w:hint="eastAsia"/>
                <w:color w:val="auto"/>
                <w:lang w:val="en-US" w:eastAsia="zh-CN"/>
              </w:rPr>
              <w:t>20m</w:t>
            </w:r>
          </w:p>
        </w:tc>
        <w:tc>
          <w:tcPr>
            <w:tcW w:w="2131" w:type="dxa"/>
            <w:vAlign w:val="center"/>
          </w:tcPr>
          <w:p>
            <w:pPr>
              <w:pStyle w:val="42"/>
              <w:bidi w:val="0"/>
              <w:rPr>
                <w:rFonts w:hint="default"/>
                <w:color w:val="auto"/>
                <w:lang w:val="en-US" w:eastAsia="zh-CN"/>
              </w:rPr>
            </w:pPr>
            <w:r>
              <w:rPr>
                <w:rFonts w:hint="eastAsia"/>
                <w:color w:val="auto"/>
                <w:lang w:val="en-US" w:eastAsia="zh-CN"/>
              </w:rPr>
              <w:t>1.30</w:t>
            </w:r>
          </w:p>
        </w:tc>
        <w:tc>
          <w:tcPr>
            <w:tcW w:w="2131" w:type="dxa"/>
            <w:vAlign w:val="center"/>
          </w:tcPr>
          <w:p>
            <w:pPr>
              <w:pStyle w:val="42"/>
              <w:bidi w:val="0"/>
              <w:rPr>
                <w:rFonts w:hint="default"/>
                <w:color w:val="auto"/>
                <w:lang w:val="en-US" w:eastAsia="zh-CN"/>
              </w:rPr>
            </w:pPr>
            <w:r>
              <w:rPr>
                <w:rFonts w:hint="eastAsia"/>
                <w:color w:val="auto"/>
                <w:lang w:val="en-US" w:eastAsia="zh-CN"/>
              </w:rPr>
              <w:t>0.350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vMerge w:val="continue"/>
            <w:vAlign w:val="center"/>
          </w:tcPr>
          <w:p>
            <w:pPr>
              <w:pStyle w:val="42"/>
              <w:bidi w:val="0"/>
              <w:rPr>
                <w:rFonts w:hint="default"/>
                <w:color w:val="auto"/>
                <w:lang w:val="en-US" w:eastAsia="zh-CN"/>
              </w:rPr>
            </w:pPr>
          </w:p>
        </w:tc>
        <w:tc>
          <w:tcPr>
            <w:tcW w:w="2130" w:type="dxa"/>
            <w:vAlign w:val="center"/>
          </w:tcPr>
          <w:p>
            <w:pPr>
              <w:pStyle w:val="42"/>
              <w:bidi w:val="0"/>
              <w:rPr>
                <w:rFonts w:hint="default"/>
                <w:color w:val="auto"/>
                <w:lang w:val="en-US" w:eastAsia="zh-CN"/>
              </w:rPr>
            </w:pPr>
            <w:r>
              <w:rPr>
                <w:rFonts w:hint="eastAsia"/>
                <w:color w:val="auto"/>
                <w:lang w:val="en-US" w:eastAsia="zh-CN"/>
              </w:rPr>
              <w:t>30m</w:t>
            </w:r>
          </w:p>
        </w:tc>
        <w:tc>
          <w:tcPr>
            <w:tcW w:w="2131" w:type="dxa"/>
            <w:vAlign w:val="center"/>
          </w:tcPr>
          <w:p>
            <w:pPr>
              <w:pStyle w:val="42"/>
              <w:bidi w:val="0"/>
              <w:rPr>
                <w:rFonts w:hint="default"/>
                <w:color w:val="auto"/>
                <w:lang w:val="en-US" w:eastAsia="zh-CN"/>
              </w:rPr>
            </w:pPr>
            <w:r>
              <w:rPr>
                <w:rFonts w:hint="eastAsia"/>
                <w:color w:val="auto"/>
                <w:lang w:val="en-US" w:eastAsia="zh-CN"/>
              </w:rPr>
              <w:t>0.78</w:t>
            </w:r>
          </w:p>
        </w:tc>
        <w:tc>
          <w:tcPr>
            <w:tcW w:w="2131" w:type="dxa"/>
            <w:vAlign w:val="center"/>
          </w:tcPr>
          <w:p>
            <w:pPr>
              <w:pStyle w:val="42"/>
              <w:bidi w:val="0"/>
              <w:rPr>
                <w:rFonts w:hint="default"/>
                <w:color w:val="auto"/>
                <w:lang w:val="en-US" w:eastAsia="zh-CN"/>
              </w:rPr>
            </w:pPr>
            <w:r>
              <w:rPr>
                <w:rFonts w:hint="eastAsia"/>
                <w:color w:val="auto"/>
                <w:lang w:val="en-US" w:eastAsia="zh-CN"/>
              </w:rPr>
              <w:t>0.310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vMerge w:val="continue"/>
            <w:vAlign w:val="center"/>
          </w:tcPr>
          <w:p>
            <w:pPr>
              <w:pStyle w:val="42"/>
              <w:bidi w:val="0"/>
              <w:rPr>
                <w:rFonts w:hint="default"/>
                <w:color w:val="auto"/>
                <w:lang w:val="en-US" w:eastAsia="zh-CN"/>
              </w:rPr>
            </w:pPr>
          </w:p>
        </w:tc>
        <w:tc>
          <w:tcPr>
            <w:tcW w:w="2130" w:type="dxa"/>
            <w:vAlign w:val="center"/>
          </w:tcPr>
          <w:p>
            <w:pPr>
              <w:pStyle w:val="42"/>
              <w:bidi w:val="0"/>
              <w:rPr>
                <w:rFonts w:hint="default"/>
                <w:color w:val="auto"/>
                <w:lang w:val="en-US" w:eastAsia="zh-CN"/>
              </w:rPr>
            </w:pPr>
            <w:r>
              <w:rPr>
                <w:rFonts w:hint="eastAsia"/>
                <w:color w:val="auto"/>
                <w:lang w:val="en-US" w:eastAsia="zh-CN"/>
              </w:rPr>
              <w:t>40m</w:t>
            </w:r>
          </w:p>
        </w:tc>
        <w:tc>
          <w:tcPr>
            <w:tcW w:w="2131" w:type="dxa"/>
            <w:vAlign w:val="center"/>
          </w:tcPr>
          <w:p>
            <w:pPr>
              <w:pStyle w:val="42"/>
              <w:bidi w:val="0"/>
              <w:rPr>
                <w:rFonts w:hint="default"/>
                <w:color w:val="auto"/>
                <w:lang w:val="en-US" w:eastAsia="zh-CN"/>
              </w:rPr>
            </w:pPr>
            <w:r>
              <w:rPr>
                <w:rFonts w:hint="eastAsia"/>
                <w:color w:val="auto"/>
                <w:lang w:val="en-US" w:eastAsia="zh-CN"/>
              </w:rPr>
              <w:t>0.365</w:t>
            </w:r>
          </w:p>
        </w:tc>
        <w:tc>
          <w:tcPr>
            <w:tcW w:w="2131" w:type="dxa"/>
            <w:vAlign w:val="center"/>
          </w:tcPr>
          <w:p>
            <w:pPr>
              <w:pStyle w:val="42"/>
              <w:bidi w:val="0"/>
              <w:rPr>
                <w:rFonts w:hint="default"/>
                <w:color w:val="auto"/>
                <w:lang w:val="en-US" w:eastAsia="zh-CN"/>
              </w:rPr>
            </w:pPr>
            <w:r>
              <w:rPr>
                <w:rFonts w:hint="eastAsia"/>
                <w:color w:val="auto"/>
                <w:lang w:val="en-US" w:eastAsia="zh-CN"/>
              </w:rPr>
              <w:t>0.265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vMerge w:val="continue"/>
            <w:vAlign w:val="center"/>
          </w:tcPr>
          <w:p>
            <w:pPr>
              <w:pStyle w:val="42"/>
              <w:bidi w:val="0"/>
              <w:rPr>
                <w:rFonts w:hint="default"/>
                <w:color w:val="auto"/>
                <w:lang w:val="en-US" w:eastAsia="zh-CN"/>
              </w:rPr>
            </w:pPr>
          </w:p>
        </w:tc>
        <w:tc>
          <w:tcPr>
            <w:tcW w:w="2130" w:type="dxa"/>
            <w:vAlign w:val="center"/>
          </w:tcPr>
          <w:p>
            <w:pPr>
              <w:pStyle w:val="42"/>
              <w:bidi w:val="0"/>
              <w:rPr>
                <w:rFonts w:hint="default"/>
                <w:color w:val="auto"/>
                <w:lang w:val="en-US" w:eastAsia="zh-CN"/>
              </w:rPr>
            </w:pPr>
            <w:r>
              <w:rPr>
                <w:rFonts w:hint="eastAsia"/>
                <w:color w:val="auto"/>
                <w:lang w:val="en-US" w:eastAsia="zh-CN"/>
              </w:rPr>
              <w:t>50m</w:t>
            </w:r>
          </w:p>
        </w:tc>
        <w:tc>
          <w:tcPr>
            <w:tcW w:w="2131" w:type="dxa"/>
            <w:vAlign w:val="center"/>
          </w:tcPr>
          <w:p>
            <w:pPr>
              <w:pStyle w:val="42"/>
              <w:bidi w:val="0"/>
              <w:rPr>
                <w:rFonts w:hint="default"/>
                <w:color w:val="auto"/>
                <w:lang w:val="en-US" w:eastAsia="zh-CN"/>
              </w:rPr>
            </w:pPr>
            <w:r>
              <w:rPr>
                <w:rFonts w:hint="eastAsia"/>
                <w:color w:val="auto"/>
                <w:lang w:val="en-US" w:eastAsia="zh-CN"/>
              </w:rPr>
              <w:t>0.345</w:t>
            </w:r>
          </w:p>
        </w:tc>
        <w:tc>
          <w:tcPr>
            <w:tcW w:w="2131" w:type="dxa"/>
            <w:vAlign w:val="center"/>
          </w:tcPr>
          <w:p>
            <w:pPr>
              <w:pStyle w:val="42"/>
              <w:bidi w:val="0"/>
              <w:rPr>
                <w:rFonts w:hint="default"/>
                <w:color w:val="auto"/>
                <w:lang w:val="en-US" w:eastAsia="zh-CN"/>
              </w:rPr>
            </w:pPr>
            <w:r>
              <w:rPr>
                <w:rFonts w:hint="eastAsia"/>
                <w:color w:val="auto"/>
                <w:lang w:val="en-US" w:eastAsia="zh-CN"/>
              </w:rPr>
              <w:t>0.250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vMerge w:val="continue"/>
            <w:vAlign w:val="center"/>
          </w:tcPr>
          <w:p>
            <w:pPr>
              <w:pStyle w:val="42"/>
              <w:bidi w:val="0"/>
              <w:rPr>
                <w:rFonts w:hint="default"/>
                <w:color w:val="auto"/>
                <w:lang w:val="en-US" w:eastAsia="zh-CN"/>
              </w:rPr>
            </w:pPr>
          </w:p>
        </w:tc>
        <w:tc>
          <w:tcPr>
            <w:tcW w:w="2130" w:type="dxa"/>
            <w:vAlign w:val="center"/>
          </w:tcPr>
          <w:p>
            <w:pPr>
              <w:pStyle w:val="42"/>
              <w:bidi w:val="0"/>
              <w:rPr>
                <w:rFonts w:hint="default"/>
                <w:color w:val="auto"/>
                <w:lang w:val="en-US" w:eastAsia="zh-CN"/>
              </w:rPr>
            </w:pPr>
            <w:r>
              <w:rPr>
                <w:rFonts w:hint="eastAsia"/>
                <w:color w:val="auto"/>
                <w:lang w:val="en-US" w:eastAsia="zh-CN"/>
              </w:rPr>
              <w:t>100m</w:t>
            </w:r>
          </w:p>
        </w:tc>
        <w:tc>
          <w:tcPr>
            <w:tcW w:w="2131" w:type="dxa"/>
            <w:vAlign w:val="center"/>
          </w:tcPr>
          <w:p>
            <w:pPr>
              <w:pStyle w:val="42"/>
              <w:bidi w:val="0"/>
              <w:rPr>
                <w:rFonts w:hint="default"/>
                <w:color w:val="auto"/>
                <w:lang w:val="en-US" w:eastAsia="zh-CN"/>
              </w:rPr>
            </w:pPr>
            <w:r>
              <w:rPr>
                <w:rFonts w:hint="eastAsia"/>
                <w:color w:val="auto"/>
                <w:lang w:val="en-US" w:eastAsia="zh-CN"/>
              </w:rPr>
              <w:t>0.330</w:t>
            </w:r>
          </w:p>
        </w:tc>
        <w:tc>
          <w:tcPr>
            <w:tcW w:w="2131" w:type="dxa"/>
            <w:vAlign w:val="center"/>
          </w:tcPr>
          <w:p>
            <w:pPr>
              <w:pStyle w:val="42"/>
              <w:bidi w:val="0"/>
              <w:rPr>
                <w:rFonts w:hint="default"/>
                <w:color w:val="auto"/>
                <w:lang w:val="en-US" w:eastAsia="zh-CN"/>
              </w:rPr>
            </w:pPr>
            <w:r>
              <w:rPr>
                <w:rFonts w:hint="eastAsia"/>
                <w:color w:val="auto"/>
                <w:lang w:val="en-US" w:eastAsia="zh-CN"/>
              </w:rPr>
              <w:t>0.238</w:t>
            </w:r>
          </w:p>
        </w:tc>
      </w:tr>
    </w:tbl>
    <w:p>
      <w:pPr>
        <w:ind w:firstLine="480" w:firstLineChars="200"/>
        <w:rPr>
          <w:color w:val="auto"/>
          <w:highlight w:val="none"/>
        </w:rPr>
      </w:pPr>
      <w:r>
        <w:rPr>
          <w:rFonts w:hint="eastAsia"/>
          <w:color w:val="auto"/>
          <w:highlight w:val="none"/>
          <w:lang w:val="en-US" w:eastAsia="zh-CN"/>
        </w:rPr>
        <w:t>由监测数据可知，施工场地周边地区TSP浓度值在50m范围内呈明显下降趋势，50m以外，TSP浓度变化基本稳定。采用</w:t>
      </w:r>
      <w:r>
        <w:rPr>
          <w:rFonts w:hint="eastAsia"/>
          <w:color w:val="auto"/>
          <w:highlight w:val="none"/>
        </w:rPr>
        <w:t>粉粒物料堆放</w:t>
      </w:r>
      <w:r>
        <w:rPr>
          <w:rFonts w:hint="eastAsia"/>
          <w:color w:val="auto"/>
          <w:highlight w:val="none"/>
          <w:lang w:eastAsia="zh-CN"/>
        </w:rPr>
        <w:t>、</w:t>
      </w:r>
      <w:r>
        <w:rPr>
          <w:rFonts w:hint="eastAsia"/>
          <w:color w:val="auto"/>
          <w:highlight w:val="none"/>
        </w:rPr>
        <w:t>运输进行覆盖和遮挡，施工区及道路采取洒水降尘后施工扬尘对环境空气的影响较小，可将扬尘污染基本控制在施工区范围内，对外环境影响较小。</w:t>
      </w:r>
    </w:p>
    <w:p>
      <w:pPr>
        <w:numPr>
          <w:ilvl w:val="0"/>
          <w:numId w:val="0"/>
        </w:numPr>
        <w:tabs>
          <w:tab w:val="left" w:pos="420"/>
        </w:tabs>
        <w:bidi w:val="0"/>
        <w:ind w:leftChars="200"/>
        <w:rPr>
          <w:b/>
          <w:bCs/>
          <w:color w:val="auto"/>
        </w:rPr>
      </w:pPr>
      <w:r>
        <w:rPr>
          <w:rFonts w:hint="eastAsia"/>
          <w:b/>
          <w:bCs/>
          <w:color w:val="auto"/>
          <w:lang w:val="en-US" w:eastAsia="zh-CN"/>
        </w:rPr>
        <w:t>2、</w:t>
      </w:r>
      <w:r>
        <w:rPr>
          <w:b/>
          <w:bCs/>
          <w:color w:val="auto"/>
        </w:rPr>
        <w:t>车辆运输粉尘影响分析</w:t>
      </w:r>
    </w:p>
    <w:p>
      <w:pPr>
        <w:bidi w:val="0"/>
        <w:ind w:firstLine="480" w:firstLineChars="200"/>
        <w:rPr>
          <w:rFonts w:hint="eastAsia" w:eastAsia="宋体"/>
          <w:color w:val="auto"/>
          <w:highlight w:val="none"/>
          <w:lang w:eastAsia="zh-CN"/>
        </w:rPr>
      </w:pPr>
      <w:r>
        <w:rPr>
          <w:rFonts w:hint="eastAsia"/>
          <w:color w:val="auto"/>
          <w:highlight w:val="none"/>
        </w:rPr>
        <w:t>据有关资料，干燥路面在距离路边下风向50m时，TSP浓度约10mg/m</w:t>
      </w:r>
      <w:r>
        <w:rPr>
          <w:rFonts w:hint="eastAsia"/>
          <w:color w:val="auto"/>
          <w:highlight w:val="none"/>
          <w:vertAlign w:val="superscript"/>
        </w:rPr>
        <w:t>3</w:t>
      </w:r>
      <w:r>
        <w:rPr>
          <w:rFonts w:hint="eastAsia"/>
          <w:color w:val="auto"/>
          <w:highlight w:val="none"/>
        </w:rPr>
        <w:t>，距离路边下风向150m时，TSP浓度约为5mg/m</w:t>
      </w:r>
      <w:r>
        <w:rPr>
          <w:rFonts w:hint="eastAsia"/>
          <w:color w:val="auto"/>
          <w:highlight w:val="none"/>
          <w:vertAlign w:val="superscript"/>
        </w:rPr>
        <w:t>3</w:t>
      </w:r>
      <w:r>
        <w:rPr>
          <w:rFonts w:hint="eastAsia"/>
          <w:color w:val="auto"/>
          <w:highlight w:val="none"/>
        </w:rPr>
        <w:t>。道路若在修建期间，扬尘总量还与开挖及其它施工活动有关，路面扬尘总量大大高于一般路面的扬尘量，路面TSP浓度预计可达到20mg/m</w:t>
      </w:r>
      <w:r>
        <w:rPr>
          <w:rFonts w:hint="eastAsia"/>
          <w:color w:val="auto"/>
          <w:highlight w:val="none"/>
          <w:vertAlign w:val="superscript"/>
        </w:rPr>
        <w:t>3</w:t>
      </w:r>
      <w:r>
        <w:rPr>
          <w:rFonts w:hint="eastAsia"/>
          <w:color w:val="auto"/>
          <w:highlight w:val="none"/>
        </w:rPr>
        <w:t>以上，有些路段甚至在车辆经过后的短时间内能见度仅在5m以内。</w:t>
      </w:r>
    </w:p>
    <w:p>
      <w:pPr>
        <w:ind w:firstLine="480" w:firstLineChars="200"/>
        <w:rPr>
          <w:color w:val="auto"/>
          <w:highlight w:val="none"/>
        </w:rPr>
      </w:pPr>
      <w:r>
        <w:rPr>
          <w:rFonts w:hint="eastAsia"/>
          <w:color w:val="auto"/>
          <w:highlight w:val="none"/>
        </w:rPr>
        <w:t>项目输水线路沿线、永久（临时）道路、生产生活区周边分布有</w:t>
      </w:r>
      <w:r>
        <w:rPr>
          <w:rFonts w:hint="eastAsia"/>
          <w:color w:val="auto"/>
          <w:highlight w:val="none"/>
          <w:lang w:val="en-US" w:eastAsia="zh-CN"/>
        </w:rPr>
        <w:t>9</w:t>
      </w:r>
      <w:r>
        <w:rPr>
          <w:rFonts w:hint="eastAsia"/>
          <w:color w:val="auto"/>
          <w:highlight w:val="none"/>
        </w:rPr>
        <w:t>个村小组。施工期施工机械运作，施工道路开挖建设和运输过程中伴随着粉尘和废气的产生，工程区及施工道路影响范围内的居民将会受到一定的空气污染影响，粉尘和废气的吸入不利于人体健康，可能会引起呼吸道疾病。本工程输水线路沿线、永久（临时）道路、生产生活区周边的大气环境保护目标在输水管线建设、生产生活区搭建、施工道路使用过程中将会受到大气、粉尘的影响，但由于生产生活区仅前期进行搭建，村小组附近输水管线主要采用埋管形式，不涉及大量开挖，且输水线路呈长线形，为非定点施工，位于村寨附近的管线段施工工期相对较短，而周围的环境容量较大，在施工过程中施工机械尽量布置在远离居民点的地方且定期洒水降尘后，对周围居民的影响较小。</w:t>
      </w:r>
    </w:p>
    <w:p>
      <w:pPr>
        <w:numPr>
          <w:ilvl w:val="0"/>
          <w:numId w:val="0"/>
        </w:numPr>
        <w:tabs>
          <w:tab w:val="left" w:pos="420"/>
        </w:tabs>
        <w:bidi w:val="0"/>
        <w:ind w:leftChars="200"/>
        <w:rPr>
          <w:rFonts w:hint="default"/>
          <w:b/>
          <w:bCs/>
          <w:color w:val="auto"/>
        </w:rPr>
      </w:pPr>
      <w:r>
        <w:rPr>
          <w:rFonts w:hint="eastAsia"/>
          <w:b/>
          <w:bCs/>
          <w:color w:val="auto"/>
          <w:lang w:val="en-US" w:eastAsia="zh-CN"/>
        </w:rPr>
        <w:t>3、</w:t>
      </w:r>
      <w:r>
        <w:rPr>
          <w:rFonts w:hint="default"/>
          <w:b/>
          <w:bCs/>
          <w:color w:val="auto"/>
        </w:rPr>
        <w:t>弃渣场扬尘影响分析</w:t>
      </w:r>
    </w:p>
    <w:p>
      <w:pPr>
        <w:widowControl w:val="0"/>
        <w:kinsoku/>
        <w:autoSpaceDE/>
        <w:autoSpaceDN/>
        <w:adjustRightInd/>
        <w:spacing w:line="360" w:lineRule="auto"/>
        <w:ind w:firstLine="480" w:firstLineChars="200"/>
        <w:jc w:val="both"/>
        <w:textAlignment w:val="auto"/>
        <w:rPr>
          <w:rFonts w:hint="default"/>
          <w:color w:val="auto"/>
          <w:highlight w:val="none"/>
        </w:rPr>
      </w:pPr>
      <w:r>
        <w:rPr>
          <w:rFonts w:hint="default"/>
          <w:color w:val="auto"/>
          <w:highlight w:val="none"/>
        </w:rPr>
        <w:t>项目建设时间约为约720天，</w:t>
      </w:r>
      <w:r>
        <w:rPr>
          <w:rFonts w:hint="default" w:ascii="Times New Roman" w:hAnsi="Times New Roman" w:eastAsia="宋体" w:cs="Times New Roman"/>
          <w:bCs/>
          <w:snapToGrid/>
          <w:color w:val="0000FF"/>
          <w:kern w:val="2"/>
          <w:sz w:val="24"/>
          <w:highlight w:val="none"/>
          <w:lang w:eastAsia="zh-CN" w:bidi="ar"/>
        </w:rPr>
        <w:t>起尘天数（堆存天数）旱季</w:t>
      </w:r>
      <w:r>
        <w:rPr>
          <w:rFonts w:hint="eastAsia" w:ascii="Times New Roman" w:hAnsi="Times New Roman" w:eastAsia="宋体" w:cs="Times New Roman"/>
          <w:bCs/>
          <w:snapToGrid/>
          <w:color w:val="0000FF"/>
          <w:kern w:val="2"/>
          <w:sz w:val="24"/>
          <w:highlight w:val="none"/>
          <w:lang w:val="en-US" w:eastAsia="zh-CN" w:bidi="ar"/>
        </w:rPr>
        <w:t>堆放天数按300</w:t>
      </w:r>
      <w:r>
        <w:rPr>
          <w:rFonts w:hint="default" w:ascii="Times New Roman" w:hAnsi="Times New Roman" w:eastAsia="宋体" w:cs="Times New Roman"/>
          <w:bCs/>
          <w:snapToGrid/>
          <w:color w:val="0000FF"/>
          <w:kern w:val="2"/>
          <w:sz w:val="24"/>
          <w:highlight w:val="none"/>
          <w:lang w:eastAsia="zh-CN" w:bidi="ar"/>
        </w:rPr>
        <w:t>天</w:t>
      </w:r>
      <w:r>
        <w:rPr>
          <w:rFonts w:hint="eastAsia" w:ascii="Times New Roman" w:hAnsi="Times New Roman" w:eastAsia="宋体" w:cs="Times New Roman"/>
          <w:bCs/>
          <w:snapToGrid/>
          <w:color w:val="0000FF"/>
          <w:kern w:val="2"/>
          <w:sz w:val="24"/>
          <w:highlight w:val="none"/>
          <w:lang w:val="en-US" w:eastAsia="zh-CN" w:bidi="ar"/>
        </w:rPr>
        <w:t>计</w:t>
      </w:r>
      <w:r>
        <w:rPr>
          <w:rFonts w:hint="default" w:ascii="Times New Roman" w:hAnsi="Times New Roman" w:eastAsia="宋体" w:cs="Times New Roman"/>
          <w:bCs/>
          <w:snapToGrid/>
          <w:color w:val="0000FF"/>
          <w:kern w:val="2"/>
          <w:sz w:val="24"/>
          <w:highlight w:val="none"/>
          <w:lang w:eastAsia="zh-CN" w:bidi="ar"/>
        </w:rPr>
        <w:t>，计算得弃渣场起尘量为</w:t>
      </w:r>
      <w:r>
        <w:rPr>
          <w:rFonts w:hint="eastAsia" w:ascii="Times New Roman" w:hAnsi="Times New Roman" w:eastAsia="宋体" w:cs="Times New Roman"/>
          <w:bCs/>
          <w:snapToGrid/>
          <w:color w:val="0000FF"/>
          <w:kern w:val="2"/>
          <w:sz w:val="24"/>
          <w:highlight w:val="none"/>
          <w:lang w:val="en-US" w:eastAsia="zh-CN" w:bidi="ar"/>
        </w:rPr>
        <w:t>31.13</w:t>
      </w:r>
      <w:r>
        <w:rPr>
          <w:rFonts w:hint="default" w:ascii="Times New Roman" w:hAnsi="Times New Roman" w:eastAsia="宋体" w:cs="Times New Roman"/>
          <w:bCs/>
          <w:snapToGrid/>
          <w:color w:val="0000FF"/>
          <w:kern w:val="2"/>
          <w:sz w:val="24"/>
          <w:highlight w:val="none"/>
          <w:lang w:eastAsia="zh-CN" w:bidi="ar"/>
        </w:rPr>
        <w:t>1t，在采取分层压实堆放，洒水抑尘措施的前提下，扬尘可降低80%，则排放量为弃渣场起尘量为</w:t>
      </w:r>
      <w:r>
        <w:rPr>
          <w:rFonts w:hint="eastAsia" w:ascii="Times New Roman" w:hAnsi="Times New Roman" w:eastAsia="宋体" w:cs="Times New Roman"/>
          <w:bCs/>
          <w:snapToGrid/>
          <w:color w:val="0000FF"/>
          <w:kern w:val="2"/>
          <w:sz w:val="24"/>
          <w:highlight w:val="none"/>
          <w:lang w:val="en-US" w:eastAsia="zh-CN" w:bidi="ar"/>
        </w:rPr>
        <w:t>6.23</w:t>
      </w:r>
      <w:r>
        <w:rPr>
          <w:rFonts w:hint="default" w:ascii="Times New Roman" w:hAnsi="Times New Roman" w:eastAsia="宋体" w:cs="Times New Roman"/>
          <w:bCs/>
          <w:snapToGrid/>
          <w:color w:val="0000FF"/>
          <w:kern w:val="2"/>
          <w:sz w:val="24"/>
          <w:highlight w:val="none"/>
          <w:lang w:eastAsia="zh-CN" w:bidi="ar"/>
        </w:rPr>
        <w:t>t</w:t>
      </w:r>
      <w:r>
        <w:rPr>
          <w:rFonts w:hint="default"/>
          <w:color w:val="auto"/>
          <w:highlight w:val="none"/>
        </w:rPr>
        <w:t>。</w:t>
      </w:r>
    </w:p>
    <w:p>
      <w:pPr>
        <w:ind w:firstLine="480" w:firstLineChars="200"/>
        <w:rPr>
          <w:rFonts w:hint="default"/>
          <w:color w:val="auto"/>
          <w:highlight w:val="none"/>
        </w:rPr>
      </w:pPr>
      <w:r>
        <w:rPr>
          <w:rFonts w:hint="default"/>
          <w:color w:val="auto"/>
          <w:highlight w:val="none"/>
        </w:rPr>
        <w:t>减少露天堆放和保证一定的含水率及减少裸露地面是减少风力起尘的有效手段。粉尘在空气中的扩散稀释和风速等气象条件有关，也与粉尘本身的沉降速度有关，不同粒径粉尘的沉降速度详见下表。</w:t>
      </w:r>
    </w:p>
    <w:p>
      <w:pPr>
        <w:pStyle w:val="40"/>
        <w:bidi w:val="0"/>
        <w:rPr>
          <w:rFonts w:hint="default"/>
          <w:color w:val="auto"/>
          <w:highlight w:val="none"/>
        </w:rPr>
      </w:pPr>
      <w:r>
        <w:rPr>
          <w:rFonts w:hint="default"/>
          <w:color w:val="auto"/>
          <w:highlight w:val="none"/>
        </w:rPr>
        <w:t>表</w:t>
      </w:r>
      <w:r>
        <w:rPr>
          <w:rFonts w:hint="eastAsia"/>
          <w:color w:val="auto"/>
          <w:highlight w:val="none"/>
          <w:lang w:val="en-US" w:eastAsia="zh-CN"/>
        </w:rPr>
        <w:t>5.1.1</w:t>
      </w:r>
      <w:r>
        <w:rPr>
          <w:rFonts w:hint="default"/>
          <w:color w:val="auto"/>
          <w:highlight w:val="none"/>
        </w:rPr>
        <w:t>-</w:t>
      </w:r>
      <w:r>
        <w:rPr>
          <w:rFonts w:hint="eastAsia"/>
          <w:color w:val="auto"/>
          <w:highlight w:val="none"/>
          <w:lang w:val="en-US" w:eastAsia="zh-CN"/>
        </w:rPr>
        <w:t>2</w:t>
      </w:r>
      <w:r>
        <w:rPr>
          <w:rFonts w:hint="default"/>
          <w:color w:val="auto"/>
          <w:highlight w:val="none"/>
        </w:rPr>
        <w:t xml:space="preserve">  不同粒径粉尘的沉降速度</w:t>
      </w:r>
    </w:p>
    <w:tbl>
      <w:tblPr>
        <w:tblStyle w:val="57"/>
        <w:tblW w:w="5003"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41"/>
        <w:gridCol w:w="1039"/>
        <w:gridCol w:w="1039"/>
        <w:gridCol w:w="1036"/>
        <w:gridCol w:w="1039"/>
        <w:gridCol w:w="1039"/>
        <w:gridCol w:w="1040"/>
        <w:gridCol w:w="104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40" w:type="dxa"/>
            <w:vAlign w:val="center"/>
          </w:tcPr>
          <w:p>
            <w:pPr>
              <w:pStyle w:val="42"/>
              <w:bidi w:val="0"/>
              <w:rPr>
                <w:color w:val="auto"/>
                <w:highlight w:val="none"/>
              </w:rPr>
            </w:pPr>
            <w:r>
              <w:rPr>
                <w:color w:val="auto"/>
                <w:highlight w:val="none"/>
              </w:rPr>
              <w:t>粉尘粒径（um）</w:t>
            </w:r>
          </w:p>
        </w:tc>
        <w:tc>
          <w:tcPr>
            <w:tcW w:w="1038" w:type="dxa"/>
            <w:vAlign w:val="center"/>
          </w:tcPr>
          <w:p>
            <w:pPr>
              <w:pStyle w:val="42"/>
              <w:bidi w:val="0"/>
              <w:rPr>
                <w:color w:val="auto"/>
                <w:highlight w:val="none"/>
              </w:rPr>
            </w:pPr>
            <w:r>
              <w:rPr>
                <w:color w:val="auto"/>
                <w:highlight w:val="none"/>
              </w:rPr>
              <w:t>10</w:t>
            </w:r>
          </w:p>
        </w:tc>
        <w:tc>
          <w:tcPr>
            <w:tcW w:w="1038" w:type="dxa"/>
            <w:vAlign w:val="center"/>
          </w:tcPr>
          <w:p>
            <w:pPr>
              <w:pStyle w:val="42"/>
              <w:bidi w:val="0"/>
              <w:rPr>
                <w:color w:val="auto"/>
                <w:highlight w:val="none"/>
              </w:rPr>
            </w:pPr>
            <w:r>
              <w:rPr>
                <w:color w:val="auto"/>
                <w:highlight w:val="none"/>
              </w:rPr>
              <w:t>20</w:t>
            </w:r>
          </w:p>
        </w:tc>
        <w:tc>
          <w:tcPr>
            <w:tcW w:w="1035" w:type="dxa"/>
            <w:vAlign w:val="center"/>
          </w:tcPr>
          <w:p>
            <w:pPr>
              <w:pStyle w:val="42"/>
              <w:bidi w:val="0"/>
              <w:rPr>
                <w:color w:val="auto"/>
                <w:highlight w:val="none"/>
              </w:rPr>
            </w:pPr>
            <w:r>
              <w:rPr>
                <w:color w:val="auto"/>
                <w:highlight w:val="none"/>
              </w:rPr>
              <w:t>30</w:t>
            </w:r>
          </w:p>
        </w:tc>
        <w:tc>
          <w:tcPr>
            <w:tcW w:w="1038" w:type="dxa"/>
            <w:vAlign w:val="center"/>
          </w:tcPr>
          <w:p>
            <w:pPr>
              <w:pStyle w:val="42"/>
              <w:bidi w:val="0"/>
              <w:rPr>
                <w:color w:val="auto"/>
                <w:highlight w:val="none"/>
              </w:rPr>
            </w:pPr>
            <w:r>
              <w:rPr>
                <w:color w:val="auto"/>
                <w:highlight w:val="none"/>
              </w:rPr>
              <w:t>40</w:t>
            </w:r>
          </w:p>
        </w:tc>
        <w:tc>
          <w:tcPr>
            <w:tcW w:w="1038" w:type="dxa"/>
            <w:vAlign w:val="center"/>
          </w:tcPr>
          <w:p>
            <w:pPr>
              <w:pStyle w:val="42"/>
              <w:bidi w:val="0"/>
              <w:rPr>
                <w:color w:val="auto"/>
                <w:highlight w:val="none"/>
              </w:rPr>
            </w:pPr>
            <w:r>
              <w:rPr>
                <w:color w:val="auto"/>
                <w:highlight w:val="none"/>
              </w:rPr>
              <w:t>50</w:t>
            </w:r>
          </w:p>
        </w:tc>
        <w:tc>
          <w:tcPr>
            <w:tcW w:w="1039" w:type="dxa"/>
            <w:vAlign w:val="center"/>
          </w:tcPr>
          <w:p>
            <w:pPr>
              <w:pStyle w:val="42"/>
              <w:bidi w:val="0"/>
              <w:rPr>
                <w:color w:val="auto"/>
                <w:highlight w:val="none"/>
              </w:rPr>
            </w:pPr>
            <w:r>
              <w:rPr>
                <w:color w:val="auto"/>
                <w:highlight w:val="none"/>
              </w:rPr>
              <w:t>60</w:t>
            </w:r>
          </w:p>
        </w:tc>
        <w:tc>
          <w:tcPr>
            <w:tcW w:w="1046" w:type="dxa"/>
            <w:vAlign w:val="center"/>
          </w:tcPr>
          <w:p>
            <w:pPr>
              <w:pStyle w:val="42"/>
              <w:bidi w:val="0"/>
              <w:rPr>
                <w:color w:val="auto"/>
                <w:highlight w:val="none"/>
              </w:rPr>
            </w:pPr>
            <w:r>
              <w:rPr>
                <w:color w:val="auto"/>
                <w:highlight w:val="none"/>
              </w:rPr>
              <w:t>70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40" w:type="dxa"/>
            <w:vAlign w:val="center"/>
          </w:tcPr>
          <w:p>
            <w:pPr>
              <w:pStyle w:val="42"/>
              <w:bidi w:val="0"/>
              <w:rPr>
                <w:color w:val="auto"/>
                <w:highlight w:val="none"/>
              </w:rPr>
            </w:pPr>
            <w:r>
              <w:rPr>
                <w:color w:val="auto"/>
                <w:highlight w:val="none"/>
              </w:rPr>
              <w:t>沉降速度（m/s）</w:t>
            </w:r>
          </w:p>
        </w:tc>
        <w:tc>
          <w:tcPr>
            <w:tcW w:w="1038" w:type="dxa"/>
            <w:vAlign w:val="center"/>
          </w:tcPr>
          <w:p>
            <w:pPr>
              <w:pStyle w:val="42"/>
              <w:bidi w:val="0"/>
              <w:rPr>
                <w:color w:val="auto"/>
                <w:highlight w:val="none"/>
              </w:rPr>
            </w:pPr>
            <w:r>
              <w:rPr>
                <w:color w:val="auto"/>
                <w:highlight w:val="none"/>
              </w:rPr>
              <w:t>0.003</w:t>
            </w:r>
          </w:p>
        </w:tc>
        <w:tc>
          <w:tcPr>
            <w:tcW w:w="1038" w:type="dxa"/>
            <w:vAlign w:val="center"/>
          </w:tcPr>
          <w:p>
            <w:pPr>
              <w:pStyle w:val="42"/>
              <w:bidi w:val="0"/>
              <w:rPr>
                <w:color w:val="auto"/>
                <w:highlight w:val="none"/>
              </w:rPr>
            </w:pPr>
            <w:r>
              <w:rPr>
                <w:color w:val="auto"/>
                <w:highlight w:val="none"/>
              </w:rPr>
              <w:t>0.012</w:t>
            </w:r>
          </w:p>
        </w:tc>
        <w:tc>
          <w:tcPr>
            <w:tcW w:w="1035" w:type="dxa"/>
            <w:vAlign w:val="center"/>
          </w:tcPr>
          <w:p>
            <w:pPr>
              <w:pStyle w:val="42"/>
              <w:bidi w:val="0"/>
              <w:rPr>
                <w:color w:val="auto"/>
                <w:highlight w:val="none"/>
              </w:rPr>
            </w:pPr>
            <w:r>
              <w:rPr>
                <w:color w:val="auto"/>
                <w:highlight w:val="none"/>
              </w:rPr>
              <w:t>0.027</w:t>
            </w:r>
          </w:p>
        </w:tc>
        <w:tc>
          <w:tcPr>
            <w:tcW w:w="1038" w:type="dxa"/>
            <w:vAlign w:val="center"/>
          </w:tcPr>
          <w:p>
            <w:pPr>
              <w:pStyle w:val="42"/>
              <w:bidi w:val="0"/>
              <w:rPr>
                <w:color w:val="auto"/>
                <w:highlight w:val="none"/>
              </w:rPr>
            </w:pPr>
            <w:r>
              <w:rPr>
                <w:color w:val="auto"/>
                <w:highlight w:val="none"/>
              </w:rPr>
              <w:t>0.048</w:t>
            </w:r>
          </w:p>
        </w:tc>
        <w:tc>
          <w:tcPr>
            <w:tcW w:w="1038" w:type="dxa"/>
            <w:vAlign w:val="center"/>
          </w:tcPr>
          <w:p>
            <w:pPr>
              <w:pStyle w:val="42"/>
              <w:bidi w:val="0"/>
              <w:rPr>
                <w:color w:val="auto"/>
                <w:highlight w:val="none"/>
              </w:rPr>
            </w:pPr>
            <w:r>
              <w:rPr>
                <w:color w:val="auto"/>
                <w:highlight w:val="none"/>
              </w:rPr>
              <w:t>0.075</w:t>
            </w:r>
          </w:p>
        </w:tc>
        <w:tc>
          <w:tcPr>
            <w:tcW w:w="1039" w:type="dxa"/>
            <w:vAlign w:val="center"/>
          </w:tcPr>
          <w:p>
            <w:pPr>
              <w:pStyle w:val="42"/>
              <w:bidi w:val="0"/>
              <w:rPr>
                <w:color w:val="auto"/>
                <w:highlight w:val="none"/>
              </w:rPr>
            </w:pPr>
            <w:r>
              <w:rPr>
                <w:color w:val="auto"/>
                <w:highlight w:val="none"/>
              </w:rPr>
              <w:t>0.108</w:t>
            </w:r>
          </w:p>
        </w:tc>
        <w:tc>
          <w:tcPr>
            <w:tcW w:w="1046" w:type="dxa"/>
            <w:vAlign w:val="center"/>
          </w:tcPr>
          <w:p>
            <w:pPr>
              <w:pStyle w:val="42"/>
              <w:bidi w:val="0"/>
              <w:rPr>
                <w:color w:val="auto"/>
                <w:highlight w:val="none"/>
              </w:rPr>
            </w:pPr>
            <w:r>
              <w:rPr>
                <w:color w:val="auto"/>
                <w:highlight w:val="none"/>
              </w:rPr>
              <w:t>0.147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40" w:type="dxa"/>
            <w:tcBorders>
              <w:top w:val="single" w:color="000000" w:sz="4" w:space="0"/>
            </w:tcBorders>
            <w:vAlign w:val="center"/>
          </w:tcPr>
          <w:p>
            <w:pPr>
              <w:pStyle w:val="42"/>
              <w:bidi w:val="0"/>
              <w:rPr>
                <w:color w:val="auto"/>
                <w:highlight w:val="none"/>
              </w:rPr>
            </w:pPr>
            <w:r>
              <w:rPr>
                <w:color w:val="auto"/>
                <w:highlight w:val="none"/>
              </w:rPr>
              <w:t>粉尘粒径（um）</w:t>
            </w:r>
          </w:p>
        </w:tc>
        <w:tc>
          <w:tcPr>
            <w:tcW w:w="1038" w:type="dxa"/>
            <w:tcBorders>
              <w:top w:val="single" w:color="000000" w:sz="4" w:space="0"/>
            </w:tcBorders>
            <w:vAlign w:val="center"/>
          </w:tcPr>
          <w:p>
            <w:pPr>
              <w:pStyle w:val="42"/>
              <w:bidi w:val="0"/>
              <w:rPr>
                <w:color w:val="auto"/>
                <w:highlight w:val="none"/>
              </w:rPr>
            </w:pPr>
            <w:r>
              <w:rPr>
                <w:color w:val="auto"/>
                <w:highlight w:val="none"/>
              </w:rPr>
              <w:t>80</w:t>
            </w:r>
          </w:p>
        </w:tc>
        <w:tc>
          <w:tcPr>
            <w:tcW w:w="1038" w:type="dxa"/>
            <w:tcBorders>
              <w:top w:val="single" w:color="000000" w:sz="4" w:space="0"/>
            </w:tcBorders>
            <w:vAlign w:val="center"/>
          </w:tcPr>
          <w:p>
            <w:pPr>
              <w:pStyle w:val="42"/>
              <w:bidi w:val="0"/>
              <w:rPr>
                <w:color w:val="auto"/>
                <w:highlight w:val="none"/>
              </w:rPr>
            </w:pPr>
            <w:r>
              <w:rPr>
                <w:color w:val="auto"/>
                <w:highlight w:val="none"/>
              </w:rPr>
              <w:t>90</w:t>
            </w:r>
          </w:p>
        </w:tc>
        <w:tc>
          <w:tcPr>
            <w:tcW w:w="1035" w:type="dxa"/>
            <w:tcBorders>
              <w:top w:val="single" w:color="000000" w:sz="4" w:space="0"/>
            </w:tcBorders>
            <w:vAlign w:val="center"/>
          </w:tcPr>
          <w:p>
            <w:pPr>
              <w:pStyle w:val="42"/>
              <w:bidi w:val="0"/>
              <w:rPr>
                <w:color w:val="auto"/>
                <w:highlight w:val="none"/>
              </w:rPr>
            </w:pPr>
            <w:r>
              <w:rPr>
                <w:color w:val="auto"/>
                <w:highlight w:val="none"/>
              </w:rPr>
              <w:t>100</w:t>
            </w:r>
          </w:p>
        </w:tc>
        <w:tc>
          <w:tcPr>
            <w:tcW w:w="1038" w:type="dxa"/>
            <w:tcBorders>
              <w:top w:val="single" w:color="000000" w:sz="4" w:space="0"/>
            </w:tcBorders>
            <w:vAlign w:val="center"/>
          </w:tcPr>
          <w:p>
            <w:pPr>
              <w:pStyle w:val="42"/>
              <w:bidi w:val="0"/>
              <w:rPr>
                <w:color w:val="auto"/>
                <w:highlight w:val="none"/>
              </w:rPr>
            </w:pPr>
            <w:r>
              <w:rPr>
                <w:color w:val="auto"/>
                <w:highlight w:val="none"/>
              </w:rPr>
              <w:t>150</w:t>
            </w:r>
          </w:p>
        </w:tc>
        <w:tc>
          <w:tcPr>
            <w:tcW w:w="1038" w:type="dxa"/>
            <w:tcBorders>
              <w:top w:val="single" w:color="000000" w:sz="4" w:space="0"/>
            </w:tcBorders>
            <w:vAlign w:val="center"/>
          </w:tcPr>
          <w:p>
            <w:pPr>
              <w:pStyle w:val="42"/>
              <w:bidi w:val="0"/>
              <w:rPr>
                <w:color w:val="auto"/>
                <w:highlight w:val="none"/>
              </w:rPr>
            </w:pPr>
            <w:r>
              <w:rPr>
                <w:color w:val="auto"/>
                <w:highlight w:val="none"/>
              </w:rPr>
              <w:t>200</w:t>
            </w:r>
          </w:p>
        </w:tc>
        <w:tc>
          <w:tcPr>
            <w:tcW w:w="1039" w:type="dxa"/>
            <w:tcBorders>
              <w:top w:val="single" w:color="000000" w:sz="4" w:space="0"/>
            </w:tcBorders>
            <w:vAlign w:val="center"/>
          </w:tcPr>
          <w:p>
            <w:pPr>
              <w:pStyle w:val="42"/>
              <w:bidi w:val="0"/>
              <w:rPr>
                <w:color w:val="auto"/>
                <w:highlight w:val="none"/>
              </w:rPr>
            </w:pPr>
            <w:r>
              <w:rPr>
                <w:color w:val="auto"/>
                <w:highlight w:val="none"/>
              </w:rPr>
              <w:t>250</w:t>
            </w:r>
          </w:p>
        </w:tc>
        <w:tc>
          <w:tcPr>
            <w:tcW w:w="1046" w:type="dxa"/>
            <w:tcBorders>
              <w:top w:val="single" w:color="000000" w:sz="4" w:space="0"/>
            </w:tcBorders>
            <w:vAlign w:val="center"/>
          </w:tcPr>
          <w:p>
            <w:pPr>
              <w:pStyle w:val="42"/>
              <w:bidi w:val="0"/>
              <w:rPr>
                <w:color w:val="auto"/>
                <w:highlight w:val="none"/>
              </w:rPr>
            </w:pPr>
            <w:r>
              <w:rPr>
                <w:color w:val="auto"/>
                <w:highlight w:val="none"/>
              </w:rPr>
              <w:t>350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40" w:type="dxa"/>
            <w:vAlign w:val="center"/>
          </w:tcPr>
          <w:p>
            <w:pPr>
              <w:pStyle w:val="42"/>
              <w:bidi w:val="0"/>
              <w:rPr>
                <w:color w:val="auto"/>
                <w:highlight w:val="none"/>
              </w:rPr>
            </w:pPr>
            <w:r>
              <w:rPr>
                <w:color w:val="auto"/>
                <w:highlight w:val="none"/>
              </w:rPr>
              <w:t>沉降速度（m/s）</w:t>
            </w:r>
          </w:p>
        </w:tc>
        <w:tc>
          <w:tcPr>
            <w:tcW w:w="1038" w:type="dxa"/>
            <w:vAlign w:val="center"/>
          </w:tcPr>
          <w:p>
            <w:pPr>
              <w:pStyle w:val="42"/>
              <w:bidi w:val="0"/>
              <w:rPr>
                <w:color w:val="auto"/>
                <w:highlight w:val="none"/>
              </w:rPr>
            </w:pPr>
            <w:r>
              <w:rPr>
                <w:color w:val="auto"/>
                <w:highlight w:val="none"/>
              </w:rPr>
              <w:t>0.158</w:t>
            </w:r>
          </w:p>
        </w:tc>
        <w:tc>
          <w:tcPr>
            <w:tcW w:w="1038" w:type="dxa"/>
            <w:vAlign w:val="center"/>
          </w:tcPr>
          <w:p>
            <w:pPr>
              <w:pStyle w:val="42"/>
              <w:bidi w:val="0"/>
              <w:rPr>
                <w:color w:val="auto"/>
                <w:highlight w:val="none"/>
              </w:rPr>
            </w:pPr>
            <w:r>
              <w:rPr>
                <w:color w:val="auto"/>
                <w:highlight w:val="none"/>
              </w:rPr>
              <w:t>0.170</w:t>
            </w:r>
          </w:p>
        </w:tc>
        <w:tc>
          <w:tcPr>
            <w:tcW w:w="1035" w:type="dxa"/>
            <w:vAlign w:val="center"/>
          </w:tcPr>
          <w:p>
            <w:pPr>
              <w:pStyle w:val="42"/>
              <w:bidi w:val="0"/>
              <w:rPr>
                <w:color w:val="auto"/>
                <w:highlight w:val="none"/>
              </w:rPr>
            </w:pPr>
            <w:r>
              <w:rPr>
                <w:color w:val="auto"/>
                <w:highlight w:val="none"/>
              </w:rPr>
              <w:t>0.182</w:t>
            </w:r>
          </w:p>
        </w:tc>
        <w:tc>
          <w:tcPr>
            <w:tcW w:w="1038" w:type="dxa"/>
            <w:vAlign w:val="center"/>
          </w:tcPr>
          <w:p>
            <w:pPr>
              <w:pStyle w:val="42"/>
              <w:bidi w:val="0"/>
              <w:rPr>
                <w:color w:val="auto"/>
                <w:highlight w:val="none"/>
              </w:rPr>
            </w:pPr>
            <w:r>
              <w:rPr>
                <w:color w:val="auto"/>
                <w:highlight w:val="none"/>
              </w:rPr>
              <w:t>0.239</w:t>
            </w:r>
          </w:p>
        </w:tc>
        <w:tc>
          <w:tcPr>
            <w:tcW w:w="1038" w:type="dxa"/>
            <w:vAlign w:val="center"/>
          </w:tcPr>
          <w:p>
            <w:pPr>
              <w:pStyle w:val="42"/>
              <w:bidi w:val="0"/>
              <w:rPr>
                <w:color w:val="auto"/>
                <w:highlight w:val="none"/>
              </w:rPr>
            </w:pPr>
            <w:r>
              <w:rPr>
                <w:color w:val="auto"/>
                <w:highlight w:val="none"/>
              </w:rPr>
              <w:t>0.804</w:t>
            </w:r>
          </w:p>
        </w:tc>
        <w:tc>
          <w:tcPr>
            <w:tcW w:w="1039" w:type="dxa"/>
            <w:vAlign w:val="center"/>
          </w:tcPr>
          <w:p>
            <w:pPr>
              <w:pStyle w:val="42"/>
              <w:bidi w:val="0"/>
              <w:rPr>
                <w:color w:val="auto"/>
                <w:highlight w:val="none"/>
              </w:rPr>
            </w:pPr>
            <w:r>
              <w:rPr>
                <w:color w:val="auto"/>
                <w:highlight w:val="none"/>
              </w:rPr>
              <w:t>1.005</w:t>
            </w:r>
          </w:p>
        </w:tc>
        <w:tc>
          <w:tcPr>
            <w:tcW w:w="1046" w:type="dxa"/>
            <w:vAlign w:val="center"/>
          </w:tcPr>
          <w:p>
            <w:pPr>
              <w:pStyle w:val="42"/>
              <w:bidi w:val="0"/>
              <w:rPr>
                <w:color w:val="auto"/>
                <w:highlight w:val="none"/>
              </w:rPr>
            </w:pPr>
            <w:r>
              <w:rPr>
                <w:color w:val="auto"/>
                <w:highlight w:val="none"/>
              </w:rPr>
              <w:t>1.829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40" w:type="dxa"/>
            <w:vAlign w:val="center"/>
          </w:tcPr>
          <w:p>
            <w:pPr>
              <w:pStyle w:val="42"/>
              <w:bidi w:val="0"/>
              <w:rPr>
                <w:color w:val="auto"/>
                <w:highlight w:val="none"/>
              </w:rPr>
            </w:pPr>
            <w:r>
              <w:rPr>
                <w:color w:val="auto"/>
                <w:highlight w:val="none"/>
              </w:rPr>
              <w:t>粉尘粒径（um）</w:t>
            </w:r>
          </w:p>
        </w:tc>
        <w:tc>
          <w:tcPr>
            <w:tcW w:w="1038" w:type="dxa"/>
            <w:vAlign w:val="center"/>
          </w:tcPr>
          <w:p>
            <w:pPr>
              <w:pStyle w:val="42"/>
              <w:bidi w:val="0"/>
              <w:rPr>
                <w:color w:val="auto"/>
                <w:highlight w:val="none"/>
              </w:rPr>
            </w:pPr>
            <w:r>
              <w:rPr>
                <w:color w:val="auto"/>
                <w:highlight w:val="none"/>
              </w:rPr>
              <w:t>450</w:t>
            </w:r>
          </w:p>
        </w:tc>
        <w:tc>
          <w:tcPr>
            <w:tcW w:w="1038" w:type="dxa"/>
            <w:vAlign w:val="center"/>
          </w:tcPr>
          <w:p>
            <w:pPr>
              <w:pStyle w:val="42"/>
              <w:bidi w:val="0"/>
              <w:rPr>
                <w:color w:val="auto"/>
                <w:highlight w:val="none"/>
              </w:rPr>
            </w:pPr>
            <w:r>
              <w:rPr>
                <w:color w:val="auto"/>
                <w:highlight w:val="none"/>
              </w:rPr>
              <w:t>550</w:t>
            </w:r>
          </w:p>
        </w:tc>
        <w:tc>
          <w:tcPr>
            <w:tcW w:w="1035" w:type="dxa"/>
            <w:vAlign w:val="center"/>
          </w:tcPr>
          <w:p>
            <w:pPr>
              <w:pStyle w:val="42"/>
              <w:bidi w:val="0"/>
              <w:rPr>
                <w:color w:val="auto"/>
                <w:highlight w:val="none"/>
              </w:rPr>
            </w:pPr>
            <w:r>
              <w:rPr>
                <w:color w:val="auto"/>
                <w:highlight w:val="none"/>
              </w:rPr>
              <w:t>650</w:t>
            </w:r>
          </w:p>
        </w:tc>
        <w:tc>
          <w:tcPr>
            <w:tcW w:w="1038" w:type="dxa"/>
            <w:vAlign w:val="center"/>
          </w:tcPr>
          <w:p>
            <w:pPr>
              <w:pStyle w:val="42"/>
              <w:bidi w:val="0"/>
              <w:rPr>
                <w:color w:val="auto"/>
                <w:highlight w:val="none"/>
              </w:rPr>
            </w:pPr>
            <w:r>
              <w:rPr>
                <w:color w:val="auto"/>
                <w:highlight w:val="none"/>
              </w:rPr>
              <w:t>750</w:t>
            </w:r>
          </w:p>
        </w:tc>
        <w:tc>
          <w:tcPr>
            <w:tcW w:w="1038" w:type="dxa"/>
            <w:vAlign w:val="center"/>
          </w:tcPr>
          <w:p>
            <w:pPr>
              <w:pStyle w:val="42"/>
              <w:bidi w:val="0"/>
              <w:rPr>
                <w:color w:val="auto"/>
                <w:highlight w:val="none"/>
              </w:rPr>
            </w:pPr>
            <w:r>
              <w:rPr>
                <w:color w:val="auto"/>
                <w:highlight w:val="none"/>
              </w:rPr>
              <w:t>850</w:t>
            </w:r>
          </w:p>
        </w:tc>
        <w:tc>
          <w:tcPr>
            <w:tcW w:w="1039" w:type="dxa"/>
            <w:vAlign w:val="center"/>
          </w:tcPr>
          <w:p>
            <w:pPr>
              <w:pStyle w:val="42"/>
              <w:bidi w:val="0"/>
              <w:rPr>
                <w:color w:val="auto"/>
                <w:highlight w:val="none"/>
              </w:rPr>
            </w:pPr>
            <w:r>
              <w:rPr>
                <w:color w:val="auto"/>
                <w:highlight w:val="none"/>
              </w:rPr>
              <w:t>950</w:t>
            </w:r>
          </w:p>
        </w:tc>
        <w:tc>
          <w:tcPr>
            <w:tcW w:w="1046" w:type="dxa"/>
            <w:vAlign w:val="center"/>
          </w:tcPr>
          <w:p>
            <w:pPr>
              <w:pStyle w:val="42"/>
              <w:bidi w:val="0"/>
              <w:rPr>
                <w:color w:val="auto"/>
                <w:highlight w:val="none"/>
              </w:rPr>
            </w:pPr>
            <w:r>
              <w:rPr>
                <w:color w:val="auto"/>
                <w:highlight w:val="none"/>
              </w:rPr>
              <w:t>1050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040" w:type="dxa"/>
            <w:vAlign w:val="center"/>
          </w:tcPr>
          <w:p>
            <w:pPr>
              <w:pStyle w:val="42"/>
              <w:bidi w:val="0"/>
              <w:rPr>
                <w:color w:val="auto"/>
                <w:highlight w:val="none"/>
              </w:rPr>
            </w:pPr>
            <w:r>
              <w:rPr>
                <w:color w:val="auto"/>
                <w:highlight w:val="none"/>
              </w:rPr>
              <w:t>沉降速度（m/s）</w:t>
            </w:r>
          </w:p>
        </w:tc>
        <w:tc>
          <w:tcPr>
            <w:tcW w:w="1038" w:type="dxa"/>
            <w:vAlign w:val="center"/>
          </w:tcPr>
          <w:p>
            <w:pPr>
              <w:pStyle w:val="42"/>
              <w:bidi w:val="0"/>
              <w:rPr>
                <w:color w:val="auto"/>
                <w:highlight w:val="none"/>
              </w:rPr>
            </w:pPr>
            <w:r>
              <w:rPr>
                <w:color w:val="auto"/>
                <w:highlight w:val="none"/>
              </w:rPr>
              <w:t>2.211</w:t>
            </w:r>
          </w:p>
        </w:tc>
        <w:tc>
          <w:tcPr>
            <w:tcW w:w="1038" w:type="dxa"/>
            <w:vAlign w:val="center"/>
          </w:tcPr>
          <w:p>
            <w:pPr>
              <w:pStyle w:val="42"/>
              <w:bidi w:val="0"/>
              <w:rPr>
                <w:color w:val="auto"/>
                <w:highlight w:val="none"/>
              </w:rPr>
            </w:pPr>
            <w:r>
              <w:rPr>
                <w:color w:val="auto"/>
                <w:highlight w:val="none"/>
              </w:rPr>
              <w:t>2.614</w:t>
            </w:r>
          </w:p>
        </w:tc>
        <w:tc>
          <w:tcPr>
            <w:tcW w:w="1035" w:type="dxa"/>
            <w:vAlign w:val="center"/>
          </w:tcPr>
          <w:p>
            <w:pPr>
              <w:pStyle w:val="42"/>
              <w:bidi w:val="0"/>
              <w:rPr>
                <w:color w:val="auto"/>
                <w:highlight w:val="none"/>
              </w:rPr>
            </w:pPr>
            <w:r>
              <w:rPr>
                <w:color w:val="auto"/>
                <w:highlight w:val="none"/>
              </w:rPr>
              <w:t>3.016</w:t>
            </w:r>
          </w:p>
        </w:tc>
        <w:tc>
          <w:tcPr>
            <w:tcW w:w="1038" w:type="dxa"/>
            <w:vAlign w:val="center"/>
          </w:tcPr>
          <w:p>
            <w:pPr>
              <w:pStyle w:val="42"/>
              <w:bidi w:val="0"/>
              <w:rPr>
                <w:color w:val="auto"/>
                <w:highlight w:val="none"/>
              </w:rPr>
            </w:pPr>
            <w:r>
              <w:rPr>
                <w:color w:val="auto"/>
                <w:highlight w:val="none"/>
              </w:rPr>
              <w:t>3.418</w:t>
            </w:r>
          </w:p>
        </w:tc>
        <w:tc>
          <w:tcPr>
            <w:tcW w:w="1038" w:type="dxa"/>
            <w:vAlign w:val="center"/>
          </w:tcPr>
          <w:p>
            <w:pPr>
              <w:pStyle w:val="42"/>
              <w:bidi w:val="0"/>
              <w:rPr>
                <w:color w:val="auto"/>
                <w:highlight w:val="none"/>
              </w:rPr>
            </w:pPr>
            <w:r>
              <w:rPr>
                <w:color w:val="auto"/>
                <w:highlight w:val="none"/>
              </w:rPr>
              <w:t>3.820</w:t>
            </w:r>
          </w:p>
        </w:tc>
        <w:tc>
          <w:tcPr>
            <w:tcW w:w="1039" w:type="dxa"/>
            <w:vAlign w:val="center"/>
          </w:tcPr>
          <w:p>
            <w:pPr>
              <w:pStyle w:val="42"/>
              <w:bidi w:val="0"/>
              <w:rPr>
                <w:color w:val="auto"/>
                <w:highlight w:val="none"/>
              </w:rPr>
            </w:pPr>
            <w:r>
              <w:rPr>
                <w:color w:val="auto"/>
                <w:highlight w:val="none"/>
              </w:rPr>
              <w:t>4.222</w:t>
            </w:r>
          </w:p>
        </w:tc>
        <w:tc>
          <w:tcPr>
            <w:tcW w:w="1046" w:type="dxa"/>
            <w:vAlign w:val="center"/>
          </w:tcPr>
          <w:p>
            <w:pPr>
              <w:pStyle w:val="42"/>
              <w:bidi w:val="0"/>
              <w:rPr>
                <w:color w:val="auto"/>
                <w:highlight w:val="none"/>
              </w:rPr>
            </w:pPr>
            <w:r>
              <w:rPr>
                <w:color w:val="auto"/>
                <w:highlight w:val="none"/>
              </w:rPr>
              <w:t>4.624</w:t>
            </w:r>
          </w:p>
        </w:tc>
      </w:tr>
    </w:tbl>
    <w:p>
      <w:pPr>
        <w:bidi w:val="0"/>
        <w:ind w:firstLine="480" w:firstLineChars="200"/>
        <w:rPr>
          <w:color w:val="auto"/>
          <w:highlight w:val="none"/>
        </w:rPr>
      </w:pPr>
      <w:r>
        <w:rPr>
          <w:color w:val="auto"/>
          <w:highlight w:val="none"/>
        </w:rPr>
        <w:t>由上表可见，粉尘的沉降速度随粒径的増大而迅速增大。当粒径为250um时，沉降速度为1.005m/s，因此可以认为当粉尘粒径大于250um时，主要影响范围在扬尘点下风向近距离范围内，而真正对外环境产生影响的是一些微小粒径的粉尘。</w:t>
      </w:r>
    </w:p>
    <w:p>
      <w:pPr>
        <w:bidi w:val="0"/>
        <w:ind w:firstLine="480" w:firstLineChars="200"/>
        <w:rPr>
          <w:color w:val="auto"/>
          <w:highlight w:val="none"/>
        </w:rPr>
      </w:pPr>
      <w:r>
        <w:rPr>
          <w:color w:val="auto"/>
          <w:highlight w:val="none"/>
        </w:rPr>
        <w:t>由于扬尘的源强较低，根据类比调查，扬尘的影响范围主要在施工现场附近，一般情况下，施工工地、道路在自然风的作用下产生的扬尘所影响的范围在100m以内。如果施工期间对车辆行驶的路面实施洒水抑尘(每天4-5次)，可使扬尘减少70％左右。相关洒水降尘的试验资料如下表所示。</w:t>
      </w:r>
    </w:p>
    <w:p>
      <w:pPr>
        <w:pStyle w:val="40"/>
        <w:bidi w:val="0"/>
        <w:rPr>
          <w:color w:val="auto"/>
          <w:highlight w:val="none"/>
        </w:rPr>
      </w:pPr>
      <w:r>
        <w:rPr>
          <w:color w:val="auto"/>
          <w:highlight w:val="none"/>
        </w:rPr>
        <w:t>表</w:t>
      </w:r>
      <w:r>
        <w:rPr>
          <w:rFonts w:hint="eastAsia"/>
          <w:color w:val="auto"/>
          <w:highlight w:val="none"/>
          <w:lang w:val="en-US" w:eastAsia="zh-CN"/>
        </w:rPr>
        <w:t>5.1.1-3</w:t>
      </w:r>
      <w:r>
        <w:rPr>
          <w:color w:val="auto"/>
          <w:highlight w:val="none"/>
        </w:rPr>
        <w:t xml:space="preserve">  施工场地洒水抑尘试验结果一览表</w:t>
      </w:r>
    </w:p>
    <w:p>
      <w:pPr>
        <w:spacing w:line="89" w:lineRule="exact"/>
        <w:rPr>
          <w:color w:val="auto"/>
          <w:highlight w:val="none"/>
        </w:rPr>
      </w:pPr>
    </w:p>
    <w:tbl>
      <w:tblPr>
        <w:tblStyle w:val="57"/>
        <w:tblW w:w="5006" w:type="pct"/>
        <w:tblInd w:w="10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09"/>
        <w:gridCol w:w="3680"/>
        <w:gridCol w:w="892"/>
        <w:gridCol w:w="825"/>
        <w:gridCol w:w="827"/>
        <w:gridCol w:w="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rPr>
        <w:tc>
          <w:tcPr>
            <w:tcW w:w="4884" w:type="dxa"/>
            <w:gridSpan w:val="2"/>
            <w:vAlign w:val="top"/>
          </w:tcPr>
          <w:p>
            <w:pPr>
              <w:pStyle w:val="42"/>
              <w:bidi w:val="0"/>
              <w:rPr>
                <w:color w:val="auto"/>
              </w:rPr>
            </w:pPr>
            <w:r>
              <w:rPr>
                <w:color w:val="auto"/>
              </w:rPr>
              <w:t>距施工源的距离/m</w:t>
            </w:r>
          </w:p>
        </w:tc>
        <w:tc>
          <w:tcPr>
            <w:tcW w:w="891" w:type="dxa"/>
            <w:vAlign w:val="top"/>
          </w:tcPr>
          <w:p>
            <w:pPr>
              <w:pStyle w:val="42"/>
              <w:bidi w:val="0"/>
              <w:rPr>
                <w:color w:val="auto"/>
              </w:rPr>
            </w:pPr>
            <w:r>
              <w:rPr>
                <w:color w:val="auto"/>
              </w:rPr>
              <w:t>5</w:t>
            </w:r>
          </w:p>
        </w:tc>
        <w:tc>
          <w:tcPr>
            <w:tcW w:w="824" w:type="dxa"/>
            <w:vAlign w:val="top"/>
          </w:tcPr>
          <w:p>
            <w:pPr>
              <w:pStyle w:val="42"/>
              <w:bidi w:val="0"/>
              <w:rPr>
                <w:color w:val="auto"/>
              </w:rPr>
            </w:pPr>
            <w:r>
              <w:rPr>
                <w:color w:val="auto"/>
              </w:rPr>
              <w:t>20</w:t>
            </w:r>
          </w:p>
        </w:tc>
        <w:tc>
          <w:tcPr>
            <w:tcW w:w="826" w:type="dxa"/>
            <w:vAlign w:val="top"/>
          </w:tcPr>
          <w:p>
            <w:pPr>
              <w:pStyle w:val="42"/>
              <w:bidi w:val="0"/>
              <w:rPr>
                <w:color w:val="auto"/>
              </w:rPr>
            </w:pPr>
            <w:r>
              <w:rPr>
                <w:color w:val="auto"/>
              </w:rPr>
              <w:t>50</w:t>
            </w:r>
          </w:p>
        </w:tc>
        <w:tc>
          <w:tcPr>
            <w:tcW w:w="891" w:type="dxa"/>
            <w:vAlign w:val="top"/>
          </w:tcPr>
          <w:p>
            <w:pPr>
              <w:pStyle w:val="42"/>
              <w:bidi w:val="0"/>
              <w:rPr>
                <w:color w:val="auto"/>
              </w:rPr>
            </w:pPr>
            <w:r>
              <w:rPr>
                <w:color w:val="auto"/>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1208" w:type="dxa"/>
            <w:vMerge w:val="restart"/>
            <w:vAlign w:val="top"/>
          </w:tcPr>
          <w:p>
            <w:pPr>
              <w:pStyle w:val="42"/>
              <w:bidi w:val="0"/>
              <w:rPr>
                <w:color w:val="auto"/>
              </w:rPr>
            </w:pPr>
            <w:r>
              <w:rPr>
                <w:color w:val="auto"/>
              </w:rPr>
              <w:t>TSP 浓度值</w:t>
            </w:r>
          </w:p>
          <w:p>
            <w:pPr>
              <w:pStyle w:val="42"/>
              <w:bidi w:val="0"/>
              <w:rPr>
                <w:color w:val="auto"/>
              </w:rPr>
            </w:pPr>
            <w:r>
              <w:rPr>
                <w:color w:val="auto"/>
              </w:rPr>
              <w:t>（小时平均）</w:t>
            </w:r>
          </w:p>
          <w:p>
            <w:pPr>
              <w:pStyle w:val="42"/>
              <w:bidi w:val="0"/>
              <w:rPr>
                <w:color w:val="auto"/>
              </w:rPr>
            </w:pPr>
            <w:r>
              <w:rPr>
                <w:color w:val="auto"/>
              </w:rPr>
              <w:t>/mg/m³</w:t>
            </w:r>
          </w:p>
        </w:tc>
        <w:tc>
          <w:tcPr>
            <w:tcW w:w="3676" w:type="dxa"/>
            <w:vAlign w:val="top"/>
          </w:tcPr>
          <w:p>
            <w:pPr>
              <w:pStyle w:val="42"/>
              <w:bidi w:val="0"/>
              <w:rPr>
                <w:color w:val="auto"/>
              </w:rPr>
            </w:pPr>
            <w:r>
              <w:rPr>
                <w:color w:val="auto"/>
              </w:rPr>
              <w:t>不洒水</w:t>
            </w:r>
          </w:p>
        </w:tc>
        <w:tc>
          <w:tcPr>
            <w:tcW w:w="891" w:type="dxa"/>
            <w:vAlign w:val="top"/>
          </w:tcPr>
          <w:p>
            <w:pPr>
              <w:pStyle w:val="42"/>
              <w:bidi w:val="0"/>
              <w:rPr>
                <w:color w:val="auto"/>
              </w:rPr>
            </w:pPr>
            <w:r>
              <w:rPr>
                <w:color w:val="auto"/>
              </w:rPr>
              <w:t>10.14</w:t>
            </w:r>
          </w:p>
        </w:tc>
        <w:tc>
          <w:tcPr>
            <w:tcW w:w="824" w:type="dxa"/>
            <w:vAlign w:val="top"/>
          </w:tcPr>
          <w:p>
            <w:pPr>
              <w:pStyle w:val="42"/>
              <w:bidi w:val="0"/>
              <w:rPr>
                <w:color w:val="auto"/>
              </w:rPr>
            </w:pPr>
            <w:r>
              <w:rPr>
                <w:color w:val="auto"/>
              </w:rPr>
              <w:t>2.89</w:t>
            </w:r>
          </w:p>
        </w:tc>
        <w:tc>
          <w:tcPr>
            <w:tcW w:w="826" w:type="dxa"/>
            <w:vAlign w:val="top"/>
          </w:tcPr>
          <w:p>
            <w:pPr>
              <w:pStyle w:val="42"/>
              <w:bidi w:val="0"/>
              <w:rPr>
                <w:color w:val="auto"/>
              </w:rPr>
            </w:pPr>
            <w:r>
              <w:rPr>
                <w:color w:val="auto"/>
              </w:rPr>
              <w:t>1.15</w:t>
            </w:r>
          </w:p>
        </w:tc>
        <w:tc>
          <w:tcPr>
            <w:tcW w:w="891" w:type="dxa"/>
            <w:vAlign w:val="top"/>
          </w:tcPr>
          <w:p>
            <w:pPr>
              <w:pStyle w:val="42"/>
              <w:bidi w:val="0"/>
              <w:rPr>
                <w:color w:val="auto"/>
              </w:rPr>
            </w:pPr>
            <w:r>
              <w:rPr>
                <w:color w:val="auto"/>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trPr>
        <w:tc>
          <w:tcPr>
            <w:tcW w:w="1208" w:type="dxa"/>
            <w:vMerge w:val="continue"/>
            <w:vAlign w:val="top"/>
          </w:tcPr>
          <w:p>
            <w:pPr>
              <w:pStyle w:val="42"/>
              <w:bidi w:val="0"/>
              <w:rPr>
                <w:color w:val="auto"/>
              </w:rPr>
            </w:pPr>
          </w:p>
        </w:tc>
        <w:tc>
          <w:tcPr>
            <w:tcW w:w="3676" w:type="dxa"/>
            <w:vAlign w:val="top"/>
          </w:tcPr>
          <w:p>
            <w:pPr>
              <w:pStyle w:val="42"/>
              <w:bidi w:val="0"/>
              <w:rPr>
                <w:color w:val="auto"/>
              </w:rPr>
            </w:pPr>
            <w:r>
              <w:rPr>
                <w:color w:val="auto"/>
              </w:rPr>
              <w:t>洒水</w:t>
            </w:r>
          </w:p>
        </w:tc>
        <w:tc>
          <w:tcPr>
            <w:tcW w:w="891" w:type="dxa"/>
            <w:vAlign w:val="top"/>
          </w:tcPr>
          <w:p>
            <w:pPr>
              <w:pStyle w:val="42"/>
              <w:bidi w:val="0"/>
              <w:rPr>
                <w:color w:val="auto"/>
              </w:rPr>
            </w:pPr>
            <w:r>
              <w:rPr>
                <w:color w:val="auto"/>
              </w:rPr>
              <w:t>2.01</w:t>
            </w:r>
          </w:p>
        </w:tc>
        <w:tc>
          <w:tcPr>
            <w:tcW w:w="824" w:type="dxa"/>
            <w:vAlign w:val="top"/>
          </w:tcPr>
          <w:p>
            <w:pPr>
              <w:pStyle w:val="42"/>
              <w:bidi w:val="0"/>
              <w:rPr>
                <w:color w:val="auto"/>
              </w:rPr>
            </w:pPr>
            <w:r>
              <w:rPr>
                <w:color w:val="auto"/>
              </w:rPr>
              <w:t>1.40</w:t>
            </w:r>
          </w:p>
        </w:tc>
        <w:tc>
          <w:tcPr>
            <w:tcW w:w="826" w:type="dxa"/>
            <w:vAlign w:val="top"/>
          </w:tcPr>
          <w:p>
            <w:pPr>
              <w:pStyle w:val="42"/>
              <w:bidi w:val="0"/>
              <w:rPr>
                <w:color w:val="auto"/>
              </w:rPr>
            </w:pPr>
            <w:r>
              <w:rPr>
                <w:color w:val="auto"/>
              </w:rPr>
              <w:t>0.67</w:t>
            </w:r>
          </w:p>
        </w:tc>
        <w:tc>
          <w:tcPr>
            <w:tcW w:w="891" w:type="dxa"/>
            <w:vAlign w:val="top"/>
          </w:tcPr>
          <w:p>
            <w:pPr>
              <w:pStyle w:val="42"/>
              <w:bidi w:val="0"/>
              <w:rPr>
                <w:color w:val="auto"/>
              </w:rPr>
            </w:pPr>
            <w:r>
              <w:rPr>
                <w:color w:val="auto"/>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5" w:hRule="atLeast"/>
        </w:trPr>
        <w:tc>
          <w:tcPr>
            <w:tcW w:w="1208" w:type="dxa"/>
            <w:vMerge w:val="continue"/>
            <w:vAlign w:val="top"/>
          </w:tcPr>
          <w:p>
            <w:pPr>
              <w:pStyle w:val="42"/>
              <w:bidi w:val="0"/>
              <w:rPr>
                <w:color w:val="auto"/>
              </w:rPr>
            </w:pPr>
          </w:p>
        </w:tc>
        <w:tc>
          <w:tcPr>
            <w:tcW w:w="3676" w:type="dxa"/>
            <w:vAlign w:val="top"/>
          </w:tcPr>
          <w:p>
            <w:pPr>
              <w:pStyle w:val="42"/>
              <w:bidi w:val="0"/>
              <w:rPr>
                <w:color w:val="auto"/>
              </w:rPr>
            </w:pPr>
            <w:r>
              <w:rPr>
                <w:color w:val="auto"/>
              </w:rPr>
              <w:t>《环境空气质量标准》（GB3095-2012） 二级标准</w:t>
            </w:r>
          </w:p>
        </w:tc>
        <w:tc>
          <w:tcPr>
            <w:tcW w:w="3432" w:type="dxa"/>
            <w:gridSpan w:val="4"/>
            <w:vAlign w:val="top"/>
          </w:tcPr>
          <w:p>
            <w:pPr>
              <w:pStyle w:val="42"/>
              <w:bidi w:val="0"/>
              <w:rPr>
                <w:color w:val="auto"/>
              </w:rPr>
            </w:pPr>
            <w:r>
              <w:rPr>
                <w:color w:val="auto"/>
              </w:rPr>
              <w:t>日均值的3倍：0.90</w:t>
            </w:r>
          </w:p>
        </w:tc>
      </w:tr>
    </w:tbl>
    <w:p>
      <w:pPr>
        <w:bidi w:val="0"/>
        <w:ind w:firstLine="480" w:firstLineChars="200"/>
        <w:rPr>
          <w:color w:val="auto"/>
          <w:highlight w:val="none"/>
        </w:rPr>
      </w:pPr>
      <w:r>
        <w:rPr>
          <w:color w:val="auto"/>
          <w:highlight w:val="none"/>
        </w:rPr>
        <w:t>结果表明，每天实施洒水，保证渣场表面湿润，可有效地控制弃渣场扬尘，将TSP污染距离缩小至20～50m范围内。</w:t>
      </w:r>
    </w:p>
    <w:p>
      <w:pPr>
        <w:bidi w:val="0"/>
        <w:ind w:firstLine="480" w:firstLineChars="200"/>
        <w:rPr>
          <w:color w:val="auto"/>
          <w:highlight w:val="none"/>
        </w:rPr>
      </w:pPr>
      <w:r>
        <w:rPr>
          <w:color w:val="auto"/>
          <w:highlight w:val="none"/>
        </w:rPr>
        <w:t>因此，为尽量减少施工扬尘对周围环境的影响，工程施工期间，应及时对建筑材料运输车辆经过的道路路面以及运输车辆表面进行清理；建筑材料不应敞开堆放，且堆体覆盖避免在大风干燥天气条件下进行易起尘作业；非雨日实施洒水抑尘，洒水次数和洒水量可视具体情况而定。</w:t>
      </w:r>
    </w:p>
    <w:p>
      <w:pPr>
        <w:bidi w:val="0"/>
        <w:ind w:firstLine="480" w:firstLineChars="200"/>
        <w:rPr>
          <w:color w:val="auto"/>
          <w:highlight w:val="none"/>
        </w:rPr>
      </w:pPr>
      <w:r>
        <w:rPr>
          <w:color w:val="auto"/>
          <w:highlight w:val="none"/>
        </w:rPr>
        <w:t>本工程施工作业场地沿渠道呈线性分布，由于单项工程的作业量不大，对大气环境和大气环境保护目标影响不大。</w:t>
      </w:r>
    </w:p>
    <w:p>
      <w:pPr>
        <w:pStyle w:val="4"/>
        <w:numPr>
          <w:ilvl w:val="2"/>
          <w:numId w:val="2"/>
        </w:numPr>
        <w:tabs>
          <w:tab w:val="left" w:pos="420"/>
        </w:tabs>
        <w:bidi w:val="0"/>
        <w:rPr>
          <w:rFonts w:hint="eastAsia"/>
          <w:color w:val="auto"/>
          <w:lang w:val="en-US" w:eastAsia="zh-CN"/>
        </w:rPr>
      </w:pPr>
      <w:bookmarkStart w:id="566" w:name="_Toc15735"/>
      <w:bookmarkStart w:id="567" w:name="_Toc3434"/>
      <w:bookmarkStart w:id="568" w:name="_Toc30245"/>
      <w:r>
        <w:rPr>
          <w:rFonts w:hint="eastAsia"/>
          <w:color w:val="auto"/>
          <w:lang w:val="en-US" w:eastAsia="zh-CN"/>
        </w:rPr>
        <w:t>地表水环境影响分析</w:t>
      </w:r>
      <w:bookmarkEnd w:id="566"/>
      <w:bookmarkEnd w:id="567"/>
      <w:bookmarkEnd w:id="568"/>
    </w:p>
    <w:p>
      <w:pPr>
        <w:pStyle w:val="5"/>
        <w:numPr>
          <w:ilvl w:val="3"/>
          <w:numId w:val="2"/>
        </w:numPr>
        <w:bidi w:val="0"/>
        <w:ind w:left="480" w:leftChars="0" w:firstLineChars="0"/>
        <w:rPr>
          <w:rFonts w:hint="default"/>
          <w:color w:val="auto"/>
          <w:lang w:val="en-US" w:eastAsia="zh-CN"/>
        </w:rPr>
      </w:pPr>
      <w:r>
        <w:rPr>
          <w:rFonts w:hint="eastAsia"/>
          <w:color w:val="auto"/>
          <w:lang w:val="en-US" w:eastAsia="zh-CN"/>
        </w:rPr>
        <w:t>跨河管段施工对地表水环境的影响分析</w:t>
      </w:r>
    </w:p>
    <w:p>
      <w:pPr>
        <w:keepNext w:val="0"/>
        <w:keepLines w:val="0"/>
        <w:pageBreakBefore w:val="0"/>
        <w:widowControl w:val="0"/>
        <w:kinsoku/>
        <w:wordWrap/>
        <w:overflowPunct/>
        <w:topLinePunct w:val="0"/>
        <w:autoSpaceDE/>
        <w:autoSpaceDN/>
        <w:bidi w:val="0"/>
        <w:adjustRightInd w:val="0"/>
        <w:snapToGrid w:val="0"/>
        <w:ind w:firstLine="520"/>
        <w:textAlignment w:val="auto"/>
        <w:rPr>
          <w:rStyle w:val="61"/>
          <w:rFonts w:hint="default" w:ascii="Times New Roman" w:hAnsi="Times New Roman" w:eastAsia="宋体" w:cs="Times New Roman"/>
          <w:b w:val="0"/>
          <w:i w:val="0"/>
          <w:caps w:val="0"/>
          <w:color w:val="auto"/>
          <w:spacing w:val="0"/>
          <w:w w:val="100"/>
          <w:kern w:val="2"/>
          <w:sz w:val="24"/>
          <w:szCs w:val="24"/>
          <w:lang w:val="en-US" w:eastAsia="zh-CN" w:bidi="ar-SA"/>
        </w:rPr>
      </w:pPr>
      <w:r>
        <w:rPr>
          <w:rStyle w:val="61"/>
          <w:rFonts w:hint="default" w:ascii="Times New Roman" w:hAnsi="Times New Roman" w:eastAsia="宋体" w:cs="Times New Roman"/>
          <w:b w:val="0"/>
          <w:i w:val="0"/>
          <w:caps w:val="0"/>
          <w:color w:val="auto"/>
          <w:spacing w:val="0"/>
          <w:w w:val="100"/>
          <w:kern w:val="2"/>
          <w:sz w:val="24"/>
          <w:szCs w:val="24"/>
          <w:lang w:val="en-US" w:eastAsia="zh-CN" w:bidi="ar-SA"/>
        </w:rPr>
        <w:t>本项目管道共有</w:t>
      </w:r>
      <w:r>
        <w:rPr>
          <w:rStyle w:val="61"/>
          <w:rFonts w:hint="eastAsia" w:ascii="Times New Roman" w:hAnsi="Times New Roman" w:cs="Times New Roman"/>
          <w:b w:val="0"/>
          <w:i w:val="0"/>
          <w:caps w:val="0"/>
          <w:color w:val="auto"/>
          <w:spacing w:val="0"/>
          <w:w w:val="100"/>
          <w:kern w:val="2"/>
          <w:sz w:val="24"/>
          <w:szCs w:val="24"/>
          <w:lang w:val="en-US" w:eastAsia="zh-CN" w:bidi="ar-SA"/>
        </w:rPr>
        <w:t>2</w:t>
      </w:r>
      <w:r>
        <w:rPr>
          <w:rStyle w:val="61"/>
          <w:rFonts w:hint="default" w:ascii="Times New Roman" w:hAnsi="Times New Roman" w:eastAsia="宋体" w:cs="Times New Roman"/>
          <w:b w:val="0"/>
          <w:i w:val="0"/>
          <w:caps w:val="0"/>
          <w:color w:val="auto"/>
          <w:spacing w:val="0"/>
          <w:w w:val="100"/>
          <w:kern w:val="2"/>
          <w:sz w:val="24"/>
          <w:szCs w:val="24"/>
          <w:lang w:val="en-US" w:eastAsia="zh-CN" w:bidi="ar-SA"/>
        </w:rPr>
        <w:t>处跨越河流</w:t>
      </w:r>
      <w:r>
        <w:rPr>
          <w:rStyle w:val="61"/>
          <w:rFonts w:hint="eastAsia" w:ascii="Times New Roman" w:hAnsi="Times New Roman" w:cs="Times New Roman"/>
          <w:b w:val="0"/>
          <w:i w:val="0"/>
          <w:caps w:val="0"/>
          <w:color w:val="auto"/>
          <w:spacing w:val="0"/>
          <w:w w:val="100"/>
          <w:kern w:val="2"/>
          <w:sz w:val="24"/>
          <w:szCs w:val="24"/>
          <w:lang w:val="en-US" w:eastAsia="zh-CN" w:bidi="ar-SA"/>
        </w:rPr>
        <w:t>：</w:t>
      </w:r>
      <w:r>
        <w:rPr>
          <w:rFonts w:hint="default"/>
          <w:color w:val="auto"/>
          <w:highlight w:val="none"/>
          <w:lang w:val="en-US" w:eastAsia="zh-CN"/>
        </w:rPr>
        <w:t>北干管K7+845~K7+</w:t>
      </w:r>
      <w:r>
        <w:rPr>
          <w:rFonts w:hint="eastAsia"/>
          <w:color w:val="auto"/>
          <w:highlight w:val="none"/>
          <w:lang w:val="en-US" w:eastAsia="zh-CN"/>
        </w:rPr>
        <w:t>855</w:t>
      </w:r>
      <w:r>
        <w:rPr>
          <w:rFonts w:hint="default"/>
          <w:color w:val="auto"/>
          <w:highlight w:val="none"/>
          <w:lang w:val="en-US" w:eastAsia="zh-CN"/>
        </w:rPr>
        <w:t>管段跨姜驿河；金马分干管K1+711~K1+720段跨沙沟箐</w:t>
      </w:r>
      <w:r>
        <w:rPr>
          <w:rStyle w:val="61"/>
          <w:rFonts w:hint="eastAsia" w:ascii="Times New Roman" w:hAnsi="Times New Roman" w:cs="Times New Roman"/>
          <w:b w:val="0"/>
          <w:i w:val="0"/>
          <w:caps w:val="0"/>
          <w:color w:val="auto"/>
          <w:spacing w:val="0"/>
          <w:w w:val="100"/>
          <w:kern w:val="2"/>
          <w:sz w:val="24"/>
          <w:szCs w:val="24"/>
          <w:lang w:val="en-US" w:eastAsia="zh-CN" w:bidi="ar-SA"/>
        </w:rPr>
        <w:t>。</w:t>
      </w:r>
      <w:r>
        <w:rPr>
          <w:rStyle w:val="61"/>
          <w:rFonts w:hint="default" w:ascii="Times New Roman" w:hAnsi="Times New Roman" w:eastAsia="宋体" w:cs="Times New Roman"/>
          <w:b w:val="0"/>
          <w:i w:val="0"/>
          <w:caps w:val="0"/>
          <w:color w:val="auto"/>
          <w:spacing w:val="0"/>
          <w:w w:val="100"/>
          <w:kern w:val="2"/>
          <w:sz w:val="24"/>
          <w:szCs w:val="24"/>
          <w:lang w:val="en-US" w:eastAsia="zh-CN" w:bidi="ar-SA"/>
        </w:rPr>
        <w:t>采用DN300钢管跨越。</w:t>
      </w:r>
      <w:r>
        <w:rPr>
          <w:rStyle w:val="61"/>
          <w:rFonts w:hint="eastAsia" w:ascii="Times New Roman" w:hAnsi="Times New Roman" w:eastAsia="宋体" w:cs="Times New Roman"/>
          <w:b w:val="0"/>
          <w:i w:val="0"/>
          <w:caps w:val="0"/>
          <w:color w:val="auto"/>
          <w:spacing w:val="0"/>
          <w:w w:val="100"/>
          <w:kern w:val="2"/>
          <w:sz w:val="24"/>
          <w:szCs w:val="24"/>
          <w:lang w:val="en-US" w:eastAsia="zh-CN" w:bidi="ar-SA"/>
        </w:rPr>
        <w:t>采用高空管架桥架空方式</w:t>
      </w:r>
      <w:r>
        <w:rPr>
          <w:rStyle w:val="61"/>
          <w:rFonts w:hint="default" w:ascii="Times New Roman" w:hAnsi="Times New Roman" w:eastAsia="宋体" w:cs="Times New Roman"/>
          <w:b w:val="0"/>
          <w:i w:val="0"/>
          <w:caps w:val="0"/>
          <w:color w:val="auto"/>
          <w:spacing w:val="0"/>
          <w:w w:val="100"/>
          <w:kern w:val="2"/>
          <w:sz w:val="24"/>
          <w:szCs w:val="24"/>
          <w:lang w:val="en-US" w:eastAsia="zh-CN" w:bidi="ar-SA"/>
        </w:rPr>
        <w:t>，在河岸岸堤两侧设置支墩，其上设置钢结构支柱，在支柱上方设置钢架，管道沿</w:t>
      </w:r>
      <w:r>
        <w:rPr>
          <w:rStyle w:val="61"/>
          <w:rFonts w:hint="eastAsia" w:ascii="Times New Roman" w:hAnsi="Times New Roman" w:cs="Times New Roman"/>
          <w:b w:val="0"/>
          <w:i w:val="0"/>
          <w:caps w:val="0"/>
          <w:color w:val="auto"/>
          <w:spacing w:val="0"/>
          <w:w w:val="100"/>
          <w:kern w:val="2"/>
          <w:sz w:val="24"/>
          <w:szCs w:val="24"/>
          <w:lang w:val="en-US" w:eastAsia="zh-CN" w:bidi="ar-SA"/>
        </w:rPr>
        <w:t>钢</w:t>
      </w:r>
      <w:r>
        <w:rPr>
          <w:rStyle w:val="61"/>
          <w:rFonts w:hint="default" w:ascii="Times New Roman" w:hAnsi="Times New Roman" w:eastAsia="宋体" w:cs="Times New Roman"/>
          <w:b w:val="0"/>
          <w:i w:val="0"/>
          <w:caps w:val="0"/>
          <w:color w:val="auto"/>
          <w:spacing w:val="0"/>
          <w:w w:val="100"/>
          <w:kern w:val="2"/>
          <w:sz w:val="24"/>
          <w:szCs w:val="24"/>
          <w:lang w:val="en-US" w:eastAsia="zh-CN" w:bidi="ar-SA"/>
        </w:rPr>
        <w:t>架布设。</w:t>
      </w:r>
    </w:p>
    <w:p>
      <w:pPr>
        <w:keepNext w:val="0"/>
        <w:keepLines w:val="0"/>
        <w:pageBreakBefore w:val="0"/>
        <w:widowControl w:val="0"/>
        <w:kinsoku/>
        <w:wordWrap/>
        <w:overflowPunct/>
        <w:topLinePunct w:val="0"/>
        <w:autoSpaceDE/>
        <w:autoSpaceDN/>
        <w:bidi w:val="0"/>
        <w:adjustRightInd w:val="0"/>
        <w:snapToGrid w:val="0"/>
        <w:ind w:firstLine="52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施工中跨越段两端需进行河岸岸堤开挖，在河提上设置支墩，跨管施工过程中不建设水中墩及桥梁。因临河施工，该区域施工中易造成开挖土石方、建筑垃圾等落入河流造成污染及阻塞，或遇雨天受雨水冲刷施工区，形成水土流失，从而造成河道受污染。为防止此地段施工对河道的影响，环评提出以下措施：</w:t>
      </w:r>
    </w:p>
    <w:p>
      <w:pPr>
        <w:keepNext w:val="0"/>
        <w:keepLines w:val="0"/>
        <w:pageBreakBefore w:val="0"/>
        <w:widowControl w:val="0"/>
        <w:kinsoku/>
        <w:wordWrap/>
        <w:overflowPunct/>
        <w:topLinePunct w:val="0"/>
        <w:autoSpaceDE/>
        <w:autoSpaceDN/>
        <w:bidi w:val="0"/>
        <w:adjustRightInd w:val="0"/>
        <w:snapToGrid w:val="0"/>
        <w:ind w:firstLine="52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①河堤开挖因设置临时围挡措施，避免废土石及建筑垃圾等落入河道；</w:t>
      </w:r>
    </w:p>
    <w:p>
      <w:pPr>
        <w:keepNext w:val="0"/>
        <w:keepLines w:val="0"/>
        <w:pageBreakBefore w:val="0"/>
        <w:widowControl w:val="0"/>
        <w:kinsoku/>
        <w:wordWrap/>
        <w:overflowPunct/>
        <w:topLinePunct w:val="0"/>
        <w:autoSpaceDE/>
        <w:autoSpaceDN/>
        <w:bidi w:val="0"/>
        <w:adjustRightInd w:val="0"/>
        <w:snapToGrid w:val="0"/>
        <w:ind w:firstLine="52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②该地段施工尽可能避让雨天，缩短工期，如遇雨天应采用对临时废土石及细质材料进行遮盖；</w:t>
      </w:r>
    </w:p>
    <w:p>
      <w:pPr>
        <w:keepNext w:val="0"/>
        <w:keepLines w:val="0"/>
        <w:pageBreakBefore w:val="0"/>
        <w:widowControl w:val="0"/>
        <w:kinsoku/>
        <w:wordWrap/>
        <w:overflowPunct/>
        <w:topLinePunct w:val="0"/>
        <w:autoSpaceDE/>
        <w:autoSpaceDN/>
        <w:bidi w:val="0"/>
        <w:adjustRightInd w:val="0"/>
        <w:snapToGrid w:val="0"/>
        <w:ind w:firstLine="52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③废弃土石方及建筑垃圾远离河道堆置，同时及时清运，减少临时堆存量，减轻水土流失。</w:t>
      </w:r>
    </w:p>
    <w:p>
      <w:pPr>
        <w:keepNext w:val="0"/>
        <w:keepLines w:val="0"/>
        <w:pageBreakBefore w:val="0"/>
        <w:widowControl w:val="0"/>
        <w:kinsoku/>
        <w:wordWrap/>
        <w:overflowPunct/>
        <w:topLinePunct w:val="0"/>
        <w:autoSpaceDE/>
        <w:autoSpaceDN/>
        <w:bidi w:val="0"/>
        <w:adjustRightInd w:val="0"/>
        <w:snapToGrid w:val="0"/>
        <w:ind w:firstLine="52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采取以上措施的情况下，可避免或减缓因管道跨河施工对</w:t>
      </w:r>
      <w:r>
        <w:rPr>
          <w:rFonts w:hint="eastAsia" w:cs="Times New Roman"/>
          <w:color w:val="auto"/>
          <w:lang w:val="en-US" w:eastAsia="zh-CN"/>
        </w:rPr>
        <w:t>沙沟箐、姜驿河</w:t>
      </w:r>
      <w:r>
        <w:rPr>
          <w:rFonts w:hint="default" w:ascii="Times New Roman" w:hAnsi="Times New Roman" w:cs="Times New Roman"/>
          <w:color w:val="auto"/>
          <w:lang w:val="en-US" w:eastAsia="zh-CN"/>
        </w:rPr>
        <w:t>造成的影响。总体而言，跨河管道施工不建设水中墩及桥梁，采用架空铺设的方式进行，对</w:t>
      </w:r>
      <w:r>
        <w:rPr>
          <w:rFonts w:hint="eastAsia" w:cs="Times New Roman"/>
          <w:color w:val="auto"/>
          <w:lang w:val="en-US" w:eastAsia="zh-CN"/>
        </w:rPr>
        <w:t>河道</w:t>
      </w:r>
      <w:r>
        <w:rPr>
          <w:rFonts w:hint="default" w:ascii="Times New Roman" w:hAnsi="Times New Roman" w:cs="Times New Roman"/>
          <w:color w:val="auto"/>
          <w:lang w:val="en-US" w:eastAsia="zh-CN"/>
        </w:rPr>
        <w:t>总体较小。</w:t>
      </w:r>
    </w:p>
    <w:p>
      <w:pPr>
        <w:pStyle w:val="5"/>
        <w:numPr>
          <w:ilvl w:val="3"/>
          <w:numId w:val="2"/>
        </w:numPr>
        <w:bidi w:val="0"/>
        <w:ind w:left="480" w:leftChars="0" w:firstLineChars="0"/>
        <w:rPr>
          <w:rFonts w:hint="default"/>
          <w:color w:val="auto"/>
          <w:lang w:val="en-US" w:eastAsia="zh-CN"/>
        </w:rPr>
      </w:pPr>
      <w:r>
        <w:rPr>
          <w:rFonts w:hint="eastAsia"/>
          <w:color w:val="auto"/>
          <w:lang w:val="en-US" w:eastAsia="zh-CN"/>
        </w:rPr>
        <w:t>施工废水影响</w:t>
      </w:r>
    </w:p>
    <w:p>
      <w:pPr>
        <w:keepNext w:val="0"/>
        <w:keepLines w:val="0"/>
        <w:pageBreakBefore w:val="0"/>
        <w:widowControl w:val="0"/>
        <w:kinsoku/>
        <w:wordWrap/>
        <w:overflowPunct/>
        <w:topLinePunct w:val="0"/>
        <w:autoSpaceDE/>
        <w:autoSpaceDN/>
        <w:bidi w:val="0"/>
        <w:adjustRightInd/>
        <w:snapToGrid w:val="0"/>
        <w:ind w:firstLine="482" w:firstLineChars="200"/>
        <w:textAlignment w:val="auto"/>
        <w:rPr>
          <w:rFonts w:hint="eastAsia"/>
          <w:b/>
          <w:bCs/>
          <w:color w:val="auto"/>
          <w:lang w:val="en-US" w:eastAsia="zh-CN"/>
        </w:rPr>
      </w:pPr>
      <w:r>
        <w:rPr>
          <w:rFonts w:hint="eastAsia"/>
          <w:b/>
          <w:bCs/>
          <w:color w:val="auto"/>
          <w:lang w:val="en-US" w:eastAsia="zh-CN"/>
        </w:rPr>
        <w:t>1、混凝土拌合机冲洗废水</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rFonts w:hint="default"/>
          <w:color w:val="auto"/>
          <w:lang w:val="en-US" w:eastAsia="zh-CN"/>
        </w:rPr>
      </w:pPr>
      <w:r>
        <w:rPr>
          <w:rFonts w:hint="eastAsia"/>
          <w:color w:val="auto"/>
          <w:lang w:val="en-US" w:eastAsia="zh-CN"/>
        </w:rPr>
        <w:t>根据工程分析，</w:t>
      </w:r>
      <w:r>
        <w:rPr>
          <w:rFonts w:hint="default"/>
          <w:color w:val="auto"/>
          <w:lang w:val="en-US" w:eastAsia="zh-CN"/>
        </w:rPr>
        <w:t>凝土拌合机冲洗废水产生量为1.6m³/d，整个施工期产生量约为1152m³。设置1个2m³沉淀池处理后，回用于施工</w:t>
      </w:r>
      <w:r>
        <w:rPr>
          <w:rFonts w:hint="eastAsia"/>
          <w:color w:val="auto"/>
          <w:lang w:val="en-US" w:eastAsia="zh-CN"/>
        </w:rPr>
        <w:t>，不外排。</w:t>
      </w:r>
    </w:p>
    <w:p>
      <w:pPr>
        <w:keepNext w:val="0"/>
        <w:keepLines w:val="0"/>
        <w:pageBreakBefore w:val="0"/>
        <w:widowControl w:val="0"/>
        <w:kinsoku/>
        <w:wordWrap/>
        <w:overflowPunct/>
        <w:topLinePunct w:val="0"/>
        <w:autoSpaceDE/>
        <w:autoSpaceDN/>
        <w:bidi w:val="0"/>
        <w:adjustRightInd/>
        <w:snapToGrid w:val="0"/>
        <w:ind w:left="0" w:leftChars="0" w:firstLine="482" w:firstLineChars="200"/>
        <w:textAlignment w:val="auto"/>
        <w:rPr>
          <w:rFonts w:hint="eastAsia" w:ascii="Times New Roman" w:hAnsi="Times New Roman" w:cs="Times New Roman"/>
          <w:color w:val="auto"/>
          <w:highlight w:val="none"/>
          <w:lang w:val="en-US" w:eastAsia="zh-CN"/>
        </w:rPr>
      </w:pPr>
      <w:r>
        <w:rPr>
          <w:rFonts w:hint="eastAsia" w:cs="Times New Roman"/>
          <w:b/>
          <w:bCs/>
          <w:color w:val="auto"/>
          <w:highlight w:val="none"/>
          <w:lang w:val="en-US" w:eastAsia="zh-CN"/>
        </w:rPr>
        <w:t>2、施工机械冲洗</w:t>
      </w:r>
      <w:r>
        <w:rPr>
          <w:rFonts w:hint="default" w:ascii="Times New Roman" w:hAnsi="Times New Roman" w:cs="Times New Roman"/>
          <w:b/>
          <w:bCs/>
          <w:color w:val="auto"/>
          <w:highlight w:val="none"/>
          <w:lang w:val="en-US" w:eastAsia="zh-CN"/>
        </w:rPr>
        <w:t>废水</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施工机械冲洗废水产生量为</w:t>
      </w:r>
      <w:r>
        <w:rPr>
          <w:rFonts w:hint="eastAsia" w:cs="Times New Roman"/>
          <w:color w:val="auto"/>
          <w:highlight w:val="none"/>
          <w:lang w:val="en-US" w:eastAsia="zh-CN"/>
        </w:rPr>
        <w:t>3.2</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w:t>
      </w:r>
      <w:r>
        <w:rPr>
          <w:rFonts w:hint="eastAsia" w:cs="Times New Roman"/>
          <w:color w:val="auto"/>
          <w:highlight w:val="none"/>
          <w:lang w:val="en-US" w:eastAsia="zh-CN"/>
        </w:rPr>
        <w:t>2304</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/工期（</w:t>
      </w:r>
      <w:r>
        <w:rPr>
          <w:rFonts w:hint="eastAsia" w:cs="Times New Roman"/>
          <w:color w:val="auto"/>
          <w:highlight w:val="none"/>
          <w:lang w:val="en-US" w:eastAsia="zh-CN"/>
        </w:rPr>
        <w:t>24</w:t>
      </w:r>
      <w:r>
        <w:rPr>
          <w:rFonts w:hint="default" w:ascii="Times New Roman" w:hAnsi="Times New Roman" w:cs="Times New Roman"/>
          <w:color w:val="auto"/>
          <w:highlight w:val="none"/>
          <w:lang w:val="en-US" w:eastAsia="zh-CN"/>
        </w:rPr>
        <w:t>个月，约</w:t>
      </w:r>
      <w:r>
        <w:rPr>
          <w:rFonts w:hint="eastAsia" w:cs="Times New Roman"/>
          <w:color w:val="auto"/>
          <w:highlight w:val="none"/>
          <w:lang w:val="en-US" w:eastAsia="zh-CN"/>
        </w:rPr>
        <w:t>720</w:t>
      </w:r>
      <w:r>
        <w:rPr>
          <w:rFonts w:hint="default" w:ascii="Times New Roman" w:hAnsi="Times New Roman" w:cs="Times New Roman"/>
          <w:color w:val="auto"/>
          <w:highlight w:val="none"/>
          <w:lang w:val="en-US" w:eastAsia="zh-CN"/>
        </w:rPr>
        <w:t>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环评要求在</w:t>
      </w:r>
      <w:r>
        <w:rPr>
          <w:rFonts w:hint="eastAsia" w:cs="Times New Roman"/>
          <w:color w:val="auto"/>
          <w:highlight w:val="none"/>
          <w:lang w:val="en-US" w:eastAsia="zh-CN"/>
        </w:rPr>
        <w:t>施工</w:t>
      </w:r>
      <w:r>
        <w:rPr>
          <w:rFonts w:hint="default" w:ascii="Times New Roman" w:hAnsi="Times New Roman" w:cs="Times New Roman"/>
          <w:color w:val="auto"/>
          <w:highlight w:val="none"/>
          <w:lang w:val="en-US" w:eastAsia="zh-CN"/>
        </w:rPr>
        <w:t>场地设置1个隔油池（容积为</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）和1个沉淀池（容积为</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）处理机修含油废水，经处理后</w:t>
      </w:r>
      <w:r>
        <w:rPr>
          <w:rFonts w:hint="eastAsia" w:cs="Times New Roman"/>
          <w:color w:val="auto"/>
          <w:highlight w:val="none"/>
          <w:lang w:val="en-US" w:eastAsia="zh-CN"/>
        </w:rPr>
        <w:t>用于场地洒水降尘</w:t>
      </w:r>
      <w:r>
        <w:rPr>
          <w:rFonts w:hint="default" w:ascii="Times New Roman" w:hAnsi="Times New Roman" w:cs="Times New Roman"/>
          <w:color w:val="auto"/>
          <w:highlight w:val="none"/>
          <w:lang w:val="en-US" w:eastAsia="zh-CN"/>
        </w:rPr>
        <w:t>。</w:t>
      </w:r>
    </w:p>
    <w:p>
      <w:pPr>
        <w:bidi w:val="0"/>
        <w:rPr>
          <w:rFonts w:hint="default"/>
          <w:b/>
          <w:bCs/>
          <w:color w:val="auto"/>
          <w:lang w:val="en-US" w:eastAsia="zh-CN"/>
        </w:rPr>
      </w:pPr>
      <w:r>
        <w:rPr>
          <w:rFonts w:hint="eastAsia"/>
          <w:b/>
          <w:bCs/>
          <w:color w:val="auto"/>
          <w:lang w:val="en-US" w:eastAsia="zh-CN"/>
        </w:rPr>
        <w:t xml:space="preserve">3、管道试压废水 </w:t>
      </w:r>
    </w:p>
    <w:p>
      <w:pPr>
        <w:bidi w:val="0"/>
        <w:rPr>
          <w:rFonts w:hint="default" w:ascii="Times New Roman" w:hAnsi="Times New Roman" w:cs="Times New Roman"/>
          <w:color w:val="0000FF"/>
          <w:lang w:val="en-US" w:eastAsia="zh-CN"/>
        </w:rPr>
      </w:pPr>
      <w:r>
        <w:rPr>
          <w:rFonts w:hint="default" w:ascii="Times New Roman" w:hAnsi="Times New Roman" w:cs="Times New Roman"/>
          <w:color w:val="auto"/>
          <w:lang w:val="en-US" w:eastAsia="zh-CN"/>
        </w:rPr>
        <w:t>管道安装完成后，进行闭水试验过程中会产生试验废水。本项目闭水试验主要抽取</w:t>
      </w:r>
      <w:r>
        <w:rPr>
          <w:rFonts w:hint="eastAsia" w:ascii="Times New Roman" w:hAnsi="Times New Roman" w:cs="Times New Roman"/>
          <w:color w:val="auto"/>
          <w:lang w:val="en-US" w:eastAsia="zh-CN"/>
        </w:rPr>
        <w:t>水源处高位水池中的水</w:t>
      </w:r>
      <w:r>
        <w:rPr>
          <w:rFonts w:hint="default" w:ascii="Times New Roman" w:hAnsi="Times New Roman" w:cs="Times New Roman"/>
          <w:color w:val="auto"/>
          <w:lang w:val="en-US" w:eastAsia="zh-CN"/>
        </w:rPr>
        <w:t>进行，</w:t>
      </w:r>
      <w:r>
        <w:rPr>
          <w:rFonts w:hint="eastAsia" w:ascii="Times New Roman" w:hAnsi="Times New Roman" w:cs="Times New Roman"/>
          <w:color w:val="auto"/>
          <w:lang w:val="en-US" w:eastAsia="zh-CN"/>
        </w:rPr>
        <w:t>产生的试压废水约1000m³，</w:t>
      </w:r>
      <w:r>
        <w:rPr>
          <w:rFonts w:hint="eastAsia" w:cs="Times New Roman"/>
          <w:color w:val="0000FF"/>
          <w:lang w:val="en-US" w:eastAsia="zh-CN"/>
        </w:rPr>
        <w:t>主要污染物为SS，可回场地洒水降尘</w:t>
      </w:r>
      <w:r>
        <w:rPr>
          <w:rFonts w:hint="default" w:ascii="Times New Roman" w:hAnsi="Times New Roman" w:cs="Times New Roman"/>
          <w:color w:val="0000FF"/>
          <w:lang w:val="en-US" w:eastAsia="zh-CN"/>
        </w:rPr>
        <w:t>。</w:t>
      </w:r>
    </w:p>
    <w:p>
      <w:pPr>
        <w:pStyle w:val="5"/>
        <w:numPr>
          <w:ilvl w:val="3"/>
          <w:numId w:val="2"/>
        </w:numPr>
        <w:bidi w:val="0"/>
        <w:ind w:left="480" w:leftChars="0" w:firstLineChars="0"/>
        <w:rPr>
          <w:rFonts w:hint="default"/>
          <w:color w:val="auto"/>
          <w:lang w:val="en-US" w:eastAsia="zh-CN"/>
        </w:rPr>
      </w:pPr>
      <w:r>
        <w:rPr>
          <w:rFonts w:hint="eastAsia"/>
          <w:color w:val="auto"/>
          <w:lang w:val="en-US" w:eastAsia="zh-CN"/>
        </w:rPr>
        <w:t>施工期生活污水影响</w:t>
      </w:r>
    </w:p>
    <w:p>
      <w:pPr>
        <w:ind w:firstLine="480"/>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根据工程分析，</w:t>
      </w:r>
      <w:r>
        <w:rPr>
          <w:rFonts w:hint="default" w:ascii="Times New Roman" w:hAnsi="Times New Roman" w:cs="Times New Roman"/>
          <w:color w:val="auto"/>
          <w:highlight w:val="none"/>
          <w:lang w:val="en-US" w:eastAsia="zh-CN"/>
        </w:rPr>
        <w:t>施工生活污水产生量为</w:t>
      </w:r>
      <w:r>
        <w:rPr>
          <w:rFonts w:hint="eastAsia" w:cs="Times New Roman"/>
          <w:color w:val="auto"/>
          <w:highlight w:val="none"/>
          <w:lang w:val="en-US" w:eastAsia="zh-CN"/>
        </w:rPr>
        <w:t>0.6</w:t>
      </w:r>
      <w:r>
        <w:rPr>
          <w:rFonts w:hint="default" w:ascii="Times New Roman" w:hAnsi="Times New Roman" w:cs="Times New Roman"/>
          <w:color w:val="auto"/>
          <w:highlight w:val="none"/>
          <w:lang w:eastAsia="en-US"/>
        </w:rPr>
        <w:t>m</w:t>
      </w:r>
      <w:r>
        <w:rPr>
          <w:rFonts w:hint="default" w:ascii="Times New Roman" w:hAnsi="Times New Roman" w:cs="Times New Roman"/>
          <w:color w:val="auto"/>
          <w:highlight w:val="none"/>
          <w:vertAlign w:val="superscript"/>
          <w:lang w:eastAsia="en-US"/>
        </w:rPr>
        <w:t>3</w:t>
      </w:r>
      <w:r>
        <w:rPr>
          <w:rFonts w:hint="default" w:ascii="Times New Roman" w:hAnsi="Times New Roman" w:cs="Times New Roman"/>
          <w:color w:val="auto"/>
          <w:highlight w:val="none"/>
          <w:lang w:eastAsia="en-US"/>
        </w:rPr>
        <w:t>/d</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734.4</w:t>
      </w:r>
      <w:r>
        <w:rPr>
          <w:rFonts w:hint="default" w:ascii="Times New Roman" w:hAnsi="Times New Roman" w:cs="Times New Roman"/>
          <w:color w:val="auto"/>
          <w:highlight w:val="none"/>
          <w:lang w:eastAsia="en-US"/>
        </w:rPr>
        <w:t>m</w:t>
      </w:r>
      <w:r>
        <w:rPr>
          <w:rFonts w:hint="default" w:ascii="Times New Roman" w:hAnsi="Times New Roman" w:cs="Times New Roman"/>
          <w:color w:val="auto"/>
          <w:highlight w:val="none"/>
          <w:vertAlign w:val="superscript"/>
          <w:lang w:eastAsia="en-US"/>
        </w:rPr>
        <w:t>3</w:t>
      </w:r>
      <w:r>
        <w:rPr>
          <w:rFonts w:hint="default" w:ascii="Times New Roman" w:hAnsi="Times New Roman" w:cs="Times New Roman"/>
          <w:color w:val="auto"/>
          <w:highlight w:val="none"/>
          <w:lang w:eastAsia="en-US"/>
        </w:rPr>
        <w:t>/</w:t>
      </w:r>
      <w:r>
        <w:rPr>
          <w:rFonts w:hint="default" w:ascii="Times New Roman" w:hAnsi="Times New Roman" w:cs="Times New Roman"/>
          <w:color w:val="auto"/>
          <w:highlight w:val="none"/>
          <w:lang w:val="en-US" w:eastAsia="zh-CN"/>
        </w:rPr>
        <w:t>工期（24个月，约720天）</w:t>
      </w:r>
      <w:r>
        <w:rPr>
          <w:rFonts w:hint="eastAsia" w:cs="Times New Roman"/>
          <w:color w:val="auto"/>
          <w:highlight w:val="none"/>
          <w:lang w:eastAsia="zh-CN"/>
        </w:rPr>
        <w:t>，</w:t>
      </w:r>
      <w:r>
        <w:rPr>
          <w:rFonts w:hint="eastAsia" w:cs="Times New Roman"/>
          <w:color w:val="0000FF"/>
          <w:highlight w:val="none"/>
          <w:lang w:val="en-US" w:eastAsia="zh-CN"/>
        </w:rPr>
        <w:t>进行分段施工。粪便污水设置设置2座移动式无害化厕所处理后清掏用于附近农田施肥；其余生活污水2</w:t>
      </w:r>
      <w:r>
        <w:rPr>
          <w:rFonts w:hint="default" w:ascii="Times New Roman" w:hAnsi="Times New Roman" w:cs="Times New Roman"/>
          <w:color w:val="0000FF"/>
          <w:highlight w:val="none"/>
          <w:lang w:val="en-US" w:eastAsia="zh-CN"/>
        </w:rPr>
        <w:t>个容积为</w:t>
      </w:r>
      <w:r>
        <w:rPr>
          <w:rFonts w:hint="eastAsia" w:cs="Times New Roman"/>
          <w:color w:val="0000FF"/>
          <w:highlight w:val="none"/>
          <w:lang w:val="en-US" w:eastAsia="zh-CN"/>
        </w:rPr>
        <w:t>1</w:t>
      </w:r>
      <w:r>
        <w:rPr>
          <w:rFonts w:hint="default" w:ascii="Times New Roman" w:hAnsi="Times New Roman" w:cs="Times New Roman"/>
          <w:color w:val="0000FF"/>
          <w:highlight w:val="none"/>
          <w:lang w:val="en-US" w:eastAsia="zh-CN"/>
        </w:rPr>
        <w:t>m</w:t>
      </w:r>
      <w:r>
        <w:rPr>
          <w:rFonts w:hint="default" w:ascii="Times New Roman" w:hAnsi="Times New Roman" w:cs="Times New Roman"/>
          <w:color w:val="0000FF"/>
          <w:highlight w:val="none"/>
          <w:vertAlign w:val="superscript"/>
          <w:lang w:val="en-US" w:eastAsia="zh-CN"/>
        </w:rPr>
        <w:t>3</w:t>
      </w:r>
      <w:r>
        <w:rPr>
          <w:rFonts w:hint="eastAsia" w:cs="Times New Roman"/>
          <w:color w:val="0000FF"/>
          <w:highlight w:val="none"/>
          <w:lang w:val="en-US" w:eastAsia="zh-CN"/>
        </w:rPr>
        <w:t>移动式</w:t>
      </w:r>
      <w:r>
        <w:rPr>
          <w:rFonts w:hint="default" w:ascii="Times New Roman" w:hAnsi="Times New Roman" w:cs="Times New Roman"/>
          <w:color w:val="0000FF"/>
          <w:highlight w:val="none"/>
          <w:lang w:val="en-US" w:eastAsia="zh-CN"/>
        </w:rPr>
        <w:t>的沉淀池处理后用于场地洒水降尘。</w:t>
      </w:r>
    </w:p>
    <w:p>
      <w:pPr>
        <w:pStyle w:val="4"/>
        <w:numPr>
          <w:ilvl w:val="2"/>
          <w:numId w:val="2"/>
        </w:numPr>
        <w:tabs>
          <w:tab w:val="left" w:pos="420"/>
        </w:tabs>
        <w:bidi w:val="0"/>
        <w:rPr>
          <w:rFonts w:hint="eastAsia"/>
          <w:color w:val="auto"/>
          <w:lang w:val="en-US" w:eastAsia="zh-CN"/>
        </w:rPr>
      </w:pPr>
      <w:bookmarkStart w:id="569" w:name="_Toc11276"/>
      <w:bookmarkStart w:id="570" w:name="_Toc18944"/>
      <w:bookmarkStart w:id="571" w:name="_Toc4356"/>
      <w:bookmarkStart w:id="572" w:name="_Toc8206"/>
      <w:r>
        <w:rPr>
          <w:rFonts w:hint="eastAsia"/>
          <w:color w:val="auto"/>
          <w:lang w:val="en-US" w:eastAsia="zh-CN"/>
        </w:rPr>
        <w:t>地下水环境影响分析</w:t>
      </w:r>
      <w:bookmarkEnd w:id="569"/>
      <w:bookmarkEnd w:id="570"/>
      <w:bookmarkEnd w:id="571"/>
      <w:bookmarkEnd w:id="572"/>
    </w:p>
    <w:p>
      <w:pPr>
        <w:bidi w:val="0"/>
        <w:rPr>
          <w:rFonts w:hint="default"/>
          <w:color w:val="auto"/>
          <w:highlight w:val="none"/>
        </w:rPr>
      </w:pPr>
      <w:r>
        <w:rPr>
          <w:rFonts w:hint="eastAsia"/>
          <w:color w:val="auto"/>
          <w:highlight w:val="none"/>
          <w:lang w:val="en-US" w:eastAsia="zh-CN"/>
        </w:rPr>
        <w:t>①</w:t>
      </w:r>
      <w:r>
        <w:rPr>
          <w:rFonts w:hint="default"/>
          <w:color w:val="auto"/>
          <w:highlight w:val="none"/>
        </w:rPr>
        <w:t>工程建设对地下水水质的影响</w:t>
      </w:r>
    </w:p>
    <w:p>
      <w:pPr>
        <w:bidi w:val="0"/>
        <w:ind w:firstLine="480" w:firstLineChars="200"/>
        <w:rPr>
          <w:rFonts w:hint="default"/>
          <w:color w:val="auto"/>
          <w:highlight w:val="none"/>
        </w:rPr>
      </w:pPr>
      <w:r>
        <w:rPr>
          <w:rFonts w:hint="default"/>
          <w:color w:val="auto"/>
          <w:highlight w:val="none"/>
        </w:rPr>
        <w:t>由于本项目</w:t>
      </w:r>
      <w:r>
        <w:rPr>
          <w:rFonts w:hint="eastAsia"/>
          <w:color w:val="auto"/>
          <w:highlight w:val="none"/>
          <w:lang w:val="en-US" w:eastAsia="zh-CN"/>
        </w:rPr>
        <w:t>没有隧洞工程，</w:t>
      </w:r>
      <w:r>
        <w:rPr>
          <w:rFonts w:hint="default"/>
          <w:color w:val="auto"/>
          <w:highlight w:val="none"/>
        </w:rPr>
        <w:t>管道埋深较浅，</w:t>
      </w:r>
      <w:r>
        <w:rPr>
          <w:rFonts w:hint="eastAsia"/>
          <w:color w:val="auto"/>
          <w:highlight w:val="none"/>
          <w:lang w:val="en-US" w:eastAsia="zh-CN"/>
        </w:rPr>
        <w:t>埋深为1m，地下水水位最高为1.5m，</w:t>
      </w:r>
      <w:r>
        <w:rPr>
          <w:rFonts w:hint="default"/>
          <w:color w:val="auto"/>
          <w:highlight w:val="none"/>
        </w:rPr>
        <w:t>不涉及地下水位，</w:t>
      </w:r>
      <w:r>
        <w:rPr>
          <w:rFonts w:hint="eastAsia"/>
          <w:color w:val="auto"/>
          <w:highlight w:val="none"/>
          <w:lang w:val="en-US" w:eastAsia="zh-CN"/>
        </w:rPr>
        <w:t>施工对地下水的水位影响较小；</w:t>
      </w:r>
      <w:r>
        <w:rPr>
          <w:rFonts w:hint="default"/>
          <w:color w:val="auto"/>
          <w:highlight w:val="none"/>
        </w:rPr>
        <w:t>管线工程建设期场地内不设储油罐或存在地下水污染风险的液体物料，无明显的地下水污染源及风险存在，</w:t>
      </w:r>
      <w:r>
        <w:rPr>
          <w:rFonts w:hint="eastAsia"/>
          <w:color w:val="auto"/>
          <w:highlight w:val="none"/>
          <w:lang w:val="en-US" w:eastAsia="zh-CN"/>
        </w:rPr>
        <w:t>对地下水水质影响较小，</w:t>
      </w:r>
      <w:r>
        <w:rPr>
          <w:rFonts w:hint="default"/>
          <w:color w:val="auto"/>
          <w:highlight w:val="none"/>
        </w:rPr>
        <w:t>对工程区周边村庄灌溉、牲畜用水无影响。</w:t>
      </w:r>
    </w:p>
    <w:p>
      <w:pPr>
        <w:bidi w:val="0"/>
        <w:rPr>
          <w:rFonts w:hint="default"/>
          <w:color w:val="auto"/>
          <w:highlight w:val="none"/>
        </w:rPr>
      </w:pPr>
      <w:r>
        <w:rPr>
          <w:rFonts w:hint="eastAsia"/>
          <w:color w:val="auto"/>
          <w:highlight w:val="none"/>
          <w:lang w:val="en-US" w:eastAsia="zh-CN"/>
        </w:rPr>
        <w:t>②</w:t>
      </w:r>
      <w:r>
        <w:rPr>
          <w:rFonts w:hint="eastAsia"/>
          <w:color w:val="auto"/>
          <w:highlight w:val="none"/>
          <w:lang w:eastAsia="zh-CN"/>
        </w:rPr>
        <w:t>弃</w:t>
      </w:r>
      <w:r>
        <w:rPr>
          <w:rFonts w:hint="default"/>
          <w:color w:val="auto"/>
          <w:highlight w:val="none"/>
        </w:rPr>
        <w:t>渣场建设对地下水环境的影响</w:t>
      </w:r>
    </w:p>
    <w:p>
      <w:pPr>
        <w:bidi w:val="0"/>
        <w:ind w:firstLine="480" w:firstLineChars="200"/>
        <w:rPr>
          <w:rFonts w:hint="default"/>
          <w:color w:val="auto"/>
          <w:highlight w:val="none"/>
          <w:lang w:val="en-US" w:eastAsia="zh-CN"/>
        </w:rPr>
      </w:pPr>
      <w:r>
        <w:rPr>
          <w:rFonts w:hint="default"/>
          <w:color w:val="auto"/>
          <w:highlight w:val="none"/>
        </w:rPr>
        <w:t>综上，</w:t>
      </w:r>
      <w:r>
        <w:rPr>
          <w:rFonts w:hint="eastAsia"/>
          <w:color w:val="auto"/>
          <w:highlight w:val="none"/>
          <w:lang w:eastAsia="zh-CN"/>
        </w:rPr>
        <w:t>弃</w:t>
      </w:r>
      <w:r>
        <w:rPr>
          <w:rFonts w:hint="default"/>
          <w:color w:val="auto"/>
          <w:highlight w:val="none"/>
        </w:rPr>
        <w:t>渣场地下水埋深均较深，区域无地下水利用需求，无不良水文地质条件，在采取库底压实措施，做好拦渣坝透排水措施的前提下渣场对区域地下水环境的影响较小。</w:t>
      </w:r>
    </w:p>
    <w:p>
      <w:pPr>
        <w:pStyle w:val="4"/>
        <w:numPr>
          <w:ilvl w:val="2"/>
          <w:numId w:val="2"/>
        </w:numPr>
        <w:tabs>
          <w:tab w:val="left" w:pos="420"/>
        </w:tabs>
        <w:bidi w:val="0"/>
        <w:rPr>
          <w:rFonts w:hint="eastAsia"/>
          <w:color w:val="auto"/>
          <w:lang w:val="en-US" w:eastAsia="zh-CN"/>
        </w:rPr>
      </w:pPr>
      <w:bookmarkStart w:id="573" w:name="_Toc4123"/>
      <w:bookmarkStart w:id="574" w:name="_Toc3670"/>
      <w:bookmarkStart w:id="575" w:name="_Toc28379"/>
      <w:r>
        <w:rPr>
          <w:rFonts w:hint="eastAsia"/>
          <w:color w:val="auto"/>
          <w:lang w:val="en-US" w:eastAsia="zh-CN"/>
        </w:rPr>
        <w:t>土壤环境影响分析</w:t>
      </w:r>
      <w:bookmarkEnd w:id="573"/>
      <w:bookmarkEnd w:id="574"/>
      <w:bookmarkEnd w:id="575"/>
    </w:p>
    <w:p>
      <w:pPr>
        <w:pStyle w:val="37"/>
        <w:ind w:firstLine="480" w:firstLineChars="200"/>
        <w:rPr>
          <w:rFonts w:hint="eastAsia"/>
          <w:color w:val="auto"/>
          <w:highlight w:val="none"/>
          <w:lang w:eastAsia="zh-CN"/>
        </w:rPr>
      </w:pPr>
      <w:r>
        <w:rPr>
          <w:rFonts w:hint="eastAsia"/>
          <w:color w:val="auto"/>
          <w:highlight w:val="none"/>
          <w:lang w:eastAsia="zh-CN"/>
        </w:rPr>
        <w:t>提水泵站工程较为集中，对土壤影响集中在小区域范围内，输水的管道、等工程主要分布于沿线及灌区范围内，对土壤影响呈线性分布。</w:t>
      </w:r>
    </w:p>
    <w:p>
      <w:pPr>
        <w:numPr>
          <w:ilvl w:val="2"/>
          <w:numId w:val="0"/>
        </w:numPr>
        <w:tabs>
          <w:tab w:val="left" w:pos="0"/>
        </w:tabs>
        <w:bidi w:val="0"/>
        <w:ind w:leftChars="0"/>
        <w:outlineLvl w:val="9"/>
        <w:rPr>
          <w:rFonts w:hint="default"/>
          <w:color w:val="auto"/>
          <w:highlight w:val="none"/>
          <w:lang w:val="en-US" w:eastAsia="zh-CN"/>
        </w:rPr>
      </w:pPr>
      <w:r>
        <w:rPr>
          <w:rFonts w:hint="eastAsia"/>
          <w:color w:val="auto"/>
          <w:highlight w:val="none"/>
          <w:lang w:eastAsia="zh-CN"/>
        </w:rPr>
        <w:t>输水工程、配套工程以及施工道路、渣场和生产生活区等临时措施的建设可能造成施工期表土扰动，将导致部分地区土壤紧实度、含水量等性质发生改变，表层土壤环境被破坏，从而影响植物的生长。因此，施工期应对扰动区表土采取相应措施，缓解对土壤环境产生的影响。</w:t>
      </w:r>
    </w:p>
    <w:p>
      <w:pPr>
        <w:pStyle w:val="4"/>
        <w:numPr>
          <w:ilvl w:val="2"/>
          <w:numId w:val="2"/>
        </w:numPr>
        <w:tabs>
          <w:tab w:val="left" w:pos="420"/>
        </w:tabs>
        <w:bidi w:val="0"/>
        <w:rPr>
          <w:rFonts w:hint="eastAsia"/>
          <w:color w:val="auto"/>
          <w:lang w:val="en-US" w:eastAsia="zh-CN"/>
        </w:rPr>
      </w:pPr>
      <w:bookmarkStart w:id="576" w:name="_Toc12207"/>
      <w:bookmarkStart w:id="577" w:name="_Toc8665"/>
      <w:bookmarkStart w:id="578" w:name="_Toc22521"/>
      <w:r>
        <w:rPr>
          <w:rFonts w:hint="eastAsia"/>
          <w:color w:val="auto"/>
          <w:lang w:val="en-US" w:eastAsia="zh-CN"/>
        </w:rPr>
        <w:t>声环境影响分析</w:t>
      </w:r>
      <w:bookmarkEnd w:id="576"/>
      <w:bookmarkEnd w:id="577"/>
      <w:bookmarkEnd w:id="578"/>
    </w:p>
    <w:p>
      <w:pPr>
        <w:pStyle w:val="5"/>
        <w:numPr>
          <w:ilvl w:val="3"/>
          <w:numId w:val="2"/>
        </w:numPr>
        <w:tabs>
          <w:tab w:val="clear" w:pos="0"/>
        </w:tabs>
        <w:bidi w:val="0"/>
        <w:ind w:left="480" w:leftChars="0" w:firstLine="0" w:firstLineChars="0"/>
        <w:rPr>
          <w:rFonts w:hint="default" w:ascii="Times New Roman" w:hAnsi="Times New Roman" w:cs="Times New Roman"/>
          <w:color w:val="auto"/>
          <w:highlight w:val="none"/>
        </w:rPr>
      </w:pPr>
      <w:bookmarkStart w:id="579" w:name="_Toc14918"/>
      <w:r>
        <w:rPr>
          <w:rFonts w:hint="default" w:ascii="Times New Roman" w:hAnsi="Times New Roman" w:cs="Times New Roman"/>
          <w:color w:val="auto"/>
          <w:highlight w:val="none"/>
        </w:rPr>
        <w:t>施工机械噪声影响预测</w:t>
      </w:r>
    </w:p>
    <w:p>
      <w:pPr>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1、施工机械噪声影响</w:t>
      </w:r>
      <w:bookmarkEnd w:id="579"/>
      <w:r>
        <w:rPr>
          <w:rFonts w:hint="default" w:ascii="Times New Roman" w:hAnsi="Times New Roman" w:cs="Times New Roman"/>
          <w:b/>
          <w:bCs/>
          <w:color w:val="auto"/>
          <w:highlight w:val="none"/>
        </w:rPr>
        <w:t>公式</w:t>
      </w:r>
    </w:p>
    <w:p>
      <w:pPr>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施工噪声可按点声源处理，根据点声源噪声衰减模式，估算出离声源不同距离处的噪声值，预测模式如下：</w:t>
      </w:r>
    </w:p>
    <w:p>
      <w:pPr>
        <w:ind w:firstLine="48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143125" cy="476250"/>
            <wp:effectExtent l="0" t="0" r="9525" b="0"/>
            <wp:docPr id="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pic:cNvPicPr>
                      <a:picLocks noChangeAspect="1"/>
                    </pic:cNvPicPr>
                  </pic:nvPicPr>
                  <pic:blipFill>
                    <a:blip r:embed="rId80"/>
                    <a:stretch>
                      <a:fillRect/>
                    </a:stretch>
                  </pic:blipFill>
                  <pic:spPr>
                    <a:xfrm>
                      <a:off x="0" y="0"/>
                      <a:ext cx="2143125" cy="476250"/>
                    </a:xfrm>
                    <a:prstGeom prst="rect">
                      <a:avLst/>
                    </a:prstGeom>
                    <a:noFill/>
                    <a:ln>
                      <a:noFill/>
                    </a:ln>
                  </pic:spPr>
                </pic:pic>
              </a:graphicData>
            </a:graphic>
          </wp:inline>
        </w:drawing>
      </w:r>
    </w:p>
    <w:p>
      <w:pPr>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式中：L</w:t>
      </w:r>
      <w:r>
        <w:rPr>
          <w:rFonts w:hint="default" w:ascii="Times New Roman" w:hAnsi="Times New Roman" w:cs="Times New Roman"/>
          <w:color w:val="auto"/>
          <w:kern w:val="0"/>
          <w:highlight w:val="none"/>
          <w:vertAlign w:val="subscript"/>
        </w:rPr>
        <w:t>A</w:t>
      </w:r>
      <w:r>
        <w:rPr>
          <w:rFonts w:hint="default" w:ascii="Times New Roman" w:hAnsi="Times New Roman" w:cs="Times New Roman"/>
          <w:color w:val="auto"/>
          <w:kern w:val="0"/>
          <w:highlight w:val="none"/>
        </w:rPr>
        <w:t>（r）——距声源r（m）处的A声级，dB；</w:t>
      </w:r>
    </w:p>
    <w:p>
      <w:pPr>
        <w:ind w:firstLine="1080" w:firstLineChars="45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L</w:t>
      </w:r>
      <w:r>
        <w:rPr>
          <w:rFonts w:hint="default" w:ascii="Times New Roman" w:hAnsi="Times New Roman" w:cs="Times New Roman"/>
          <w:color w:val="auto"/>
          <w:kern w:val="0"/>
          <w:highlight w:val="none"/>
          <w:vertAlign w:val="subscript"/>
        </w:rPr>
        <w:t>A</w:t>
      </w:r>
      <w:r>
        <w:rPr>
          <w:rFonts w:hint="default" w:ascii="Times New Roman" w:hAnsi="Times New Roman" w:cs="Times New Roman"/>
          <w:color w:val="auto"/>
          <w:kern w:val="0"/>
          <w:highlight w:val="none"/>
        </w:rPr>
        <w:t>（r</w:t>
      </w:r>
      <w:r>
        <w:rPr>
          <w:rFonts w:hint="default" w:ascii="Times New Roman" w:hAnsi="Times New Roman" w:cs="Times New Roman"/>
          <w:color w:val="auto"/>
          <w:kern w:val="0"/>
          <w:highlight w:val="none"/>
          <w:vertAlign w:val="subscript"/>
        </w:rPr>
        <w:t>o</w:t>
      </w:r>
      <w:r>
        <w:rPr>
          <w:rFonts w:hint="default" w:ascii="Times New Roman" w:hAnsi="Times New Roman" w:cs="Times New Roman"/>
          <w:color w:val="auto"/>
          <w:kern w:val="0"/>
          <w:highlight w:val="none"/>
        </w:rPr>
        <w:t>）——距声源r</w:t>
      </w:r>
      <w:r>
        <w:rPr>
          <w:rFonts w:hint="default" w:ascii="Times New Roman" w:hAnsi="Times New Roman" w:cs="Times New Roman"/>
          <w:color w:val="auto"/>
          <w:kern w:val="0"/>
          <w:sz w:val="16"/>
          <w:szCs w:val="16"/>
          <w:highlight w:val="none"/>
          <w:vertAlign w:val="subscript"/>
        </w:rPr>
        <w:t>0</w:t>
      </w:r>
      <w:r>
        <w:rPr>
          <w:rFonts w:hint="default" w:ascii="Times New Roman" w:hAnsi="Times New Roman" w:cs="Times New Roman"/>
          <w:color w:val="auto"/>
          <w:kern w:val="0"/>
          <w:highlight w:val="none"/>
        </w:rPr>
        <w:t>处的A声级，dB；</w:t>
      </w:r>
    </w:p>
    <w:p>
      <w:pPr>
        <w:ind w:firstLine="1680" w:firstLineChars="7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r——测点与声源的距离，m。</w:t>
      </w:r>
    </w:p>
    <w:p>
      <w:pPr>
        <w:ind w:firstLine="482"/>
        <w:rPr>
          <w:rFonts w:hint="default" w:ascii="Times New Roman" w:hAnsi="Times New Roman" w:cs="Times New Roman"/>
          <w:b/>
          <w:bCs/>
          <w:color w:val="auto"/>
          <w:highlight w:val="none"/>
        </w:rPr>
      </w:pPr>
      <w:bookmarkStart w:id="580" w:name="_Toc2866"/>
      <w:r>
        <w:rPr>
          <w:rFonts w:hint="default" w:ascii="Times New Roman" w:hAnsi="Times New Roman" w:cs="Times New Roman"/>
          <w:b/>
          <w:bCs/>
          <w:color w:val="auto"/>
          <w:highlight w:val="none"/>
        </w:rPr>
        <w:t>2、预测结果</w:t>
      </w:r>
      <w:bookmarkEnd w:id="580"/>
    </w:p>
    <w:p>
      <w:pPr>
        <w:ind w:firstLine="480"/>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cs="Times New Roman"/>
          <w:color w:val="0000FF"/>
          <w:highlight w:val="none"/>
          <w:lang w:val="en-US" w:eastAsia="zh-CN"/>
        </w:rPr>
        <w:t>工程仅昼间进行施工，</w:t>
      </w:r>
      <w:r>
        <w:rPr>
          <w:rFonts w:hint="default" w:ascii="Times New Roman" w:hAnsi="Times New Roman" w:cs="Times New Roman"/>
          <w:color w:val="auto"/>
          <w:highlight w:val="none"/>
        </w:rPr>
        <w:t>在噪声预测过程中，不考虑噪声在传播过程中的几何发散、遮挡、空气吸收和地面效应作用下产生的衰减量，点噪声源贡献值预测结果见表</w:t>
      </w:r>
      <w:r>
        <w:rPr>
          <w:rFonts w:hint="eastAsia" w:cs="Times New Roman"/>
          <w:color w:val="auto"/>
          <w:highlight w:val="none"/>
          <w:lang w:val="en-US" w:eastAsia="zh-CN"/>
        </w:rPr>
        <w:t>5</w:t>
      </w:r>
      <w:r>
        <w:rPr>
          <w:rFonts w:hint="default" w:ascii="Times New Roman" w:hAnsi="Times New Roman" w:cs="Times New Roman"/>
          <w:color w:val="auto"/>
          <w:highlight w:val="none"/>
        </w:rPr>
        <w:t>.</w:t>
      </w:r>
      <w:r>
        <w:rPr>
          <w:rFonts w:hint="eastAsia" w:cs="Times New Roman"/>
          <w:color w:val="auto"/>
          <w:highlight w:val="none"/>
          <w:lang w:val="en-US" w:eastAsia="zh-CN"/>
        </w:rPr>
        <w:t>1</w:t>
      </w:r>
      <w:r>
        <w:rPr>
          <w:rFonts w:hint="default" w:ascii="Times New Roman" w:hAnsi="Times New Roman" w:cs="Times New Roman"/>
          <w:color w:val="auto"/>
          <w:highlight w:val="none"/>
        </w:rPr>
        <w:t>.</w:t>
      </w:r>
      <w:r>
        <w:rPr>
          <w:rFonts w:hint="eastAsia" w:cs="Times New Roman"/>
          <w:color w:val="auto"/>
          <w:highlight w:val="none"/>
          <w:lang w:val="en-US" w:eastAsia="zh-CN"/>
        </w:rPr>
        <w:t>5</w:t>
      </w:r>
      <w:r>
        <w:rPr>
          <w:rFonts w:hint="default" w:ascii="Times New Roman" w:hAnsi="Times New Roman" w:cs="Times New Roman"/>
          <w:color w:val="auto"/>
          <w:highlight w:val="none"/>
        </w:rPr>
        <w:t>-1。</w:t>
      </w:r>
    </w:p>
    <w:p>
      <w:pPr>
        <w:pStyle w:val="40"/>
        <w:ind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cs="Times New Roman"/>
          <w:color w:val="auto"/>
          <w:highlight w:val="none"/>
          <w:lang w:val="en-US" w:eastAsia="zh-CN"/>
        </w:rPr>
        <w:t>5</w:t>
      </w:r>
      <w:r>
        <w:rPr>
          <w:rFonts w:hint="default" w:ascii="Times New Roman" w:hAnsi="Times New Roman" w:cs="Times New Roman"/>
          <w:color w:val="auto"/>
          <w:highlight w:val="none"/>
        </w:rPr>
        <w:t>.</w:t>
      </w:r>
      <w:r>
        <w:rPr>
          <w:rFonts w:hint="eastAsia" w:cs="Times New Roman"/>
          <w:color w:val="auto"/>
          <w:highlight w:val="none"/>
          <w:lang w:val="en-US" w:eastAsia="zh-CN"/>
        </w:rPr>
        <w:t>1</w:t>
      </w:r>
      <w:r>
        <w:rPr>
          <w:rFonts w:hint="default" w:ascii="Times New Roman" w:hAnsi="Times New Roman" w:cs="Times New Roman"/>
          <w:color w:val="auto"/>
          <w:highlight w:val="none"/>
        </w:rPr>
        <w:t>.</w:t>
      </w:r>
      <w:r>
        <w:rPr>
          <w:rFonts w:hint="eastAsia" w:cs="Times New Roman"/>
          <w:color w:val="auto"/>
          <w:highlight w:val="none"/>
          <w:lang w:val="en-US" w:eastAsia="zh-CN"/>
        </w:rPr>
        <w:t>5</w:t>
      </w:r>
      <w:r>
        <w:rPr>
          <w:rFonts w:hint="default" w:ascii="Times New Roman" w:hAnsi="Times New Roman" w:cs="Times New Roman"/>
          <w:color w:val="auto"/>
          <w:highlight w:val="none"/>
        </w:rPr>
        <w:t>-1  施工区主要固定点源噪声源衰减预测表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97"/>
        <w:gridCol w:w="794"/>
        <w:gridCol w:w="1734"/>
        <w:gridCol w:w="654"/>
        <w:gridCol w:w="398"/>
        <w:gridCol w:w="398"/>
        <w:gridCol w:w="398"/>
        <w:gridCol w:w="398"/>
        <w:gridCol w:w="398"/>
        <w:gridCol w:w="398"/>
        <w:gridCol w:w="503"/>
        <w:gridCol w:w="503"/>
        <w:gridCol w:w="503"/>
        <w:gridCol w:w="503"/>
        <w:gridCol w:w="503"/>
        <w:gridCol w:w="2511"/>
        <w:gridCol w:w="2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0" w:type="auto"/>
            <w:vMerge w:val="restart"/>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0" w:type="auto"/>
            <w:vMerge w:val="restart"/>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数量(台)</w:t>
            </w:r>
          </w:p>
        </w:tc>
        <w:tc>
          <w:tcPr>
            <w:tcW w:w="0" w:type="auto"/>
            <w:vMerge w:val="restart"/>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单台源强dB（A）</w:t>
            </w:r>
          </w:p>
        </w:tc>
        <w:tc>
          <w:tcPr>
            <w:tcW w:w="0" w:type="auto"/>
            <w:vMerge w:val="restart"/>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总源强</w:t>
            </w:r>
          </w:p>
        </w:tc>
        <w:tc>
          <w:tcPr>
            <w:tcW w:w="0" w:type="auto"/>
            <w:gridSpan w:val="11"/>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与声源不同距离的噪声值dB（A）</w:t>
            </w:r>
          </w:p>
        </w:tc>
        <w:tc>
          <w:tcPr>
            <w:tcW w:w="0" w:type="auto"/>
            <w:noWrap w:val="0"/>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达到《建筑施工场界环境噪声排放标准》的距离（m）</w:t>
            </w:r>
          </w:p>
        </w:tc>
        <w:tc>
          <w:tcPr>
            <w:tcW w:w="0" w:type="auto"/>
            <w:noWrap w:val="0"/>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达到《声环境质量标准》</w:t>
            </w:r>
            <w:r>
              <w:rPr>
                <w:rFonts w:hint="eastAsia" w:cs="Times New Roman"/>
                <w:color w:val="0000FF"/>
                <w:highlight w:val="none"/>
                <w:lang w:val="en-US" w:eastAsia="zh-CN"/>
              </w:rPr>
              <w:t>1</w:t>
            </w:r>
            <w:r>
              <w:rPr>
                <w:rFonts w:hint="default" w:ascii="Times New Roman" w:hAnsi="Times New Roman" w:cs="Times New Roman"/>
                <w:color w:val="0000FF"/>
                <w:highlight w:val="none"/>
              </w:rPr>
              <w:t>类标准的限值的距离（m）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0" w:type="auto"/>
            <w:vMerge w:val="continue"/>
            <w:noWrap w:val="0"/>
            <w:tcMar>
              <w:top w:w="12" w:type="dxa"/>
              <w:left w:w="12" w:type="dxa"/>
              <w:right w:w="12" w:type="dxa"/>
            </w:tcMar>
            <w:vAlign w:val="center"/>
          </w:tcPr>
          <w:p>
            <w:pPr>
              <w:pStyle w:val="42"/>
              <w:rPr>
                <w:rFonts w:hint="default" w:ascii="Times New Roman" w:hAnsi="Times New Roman" w:cs="Times New Roman"/>
                <w:color w:val="auto"/>
                <w:highlight w:val="none"/>
              </w:rPr>
            </w:pPr>
          </w:p>
        </w:tc>
        <w:tc>
          <w:tcPr>
            <w:tcW w:w="0" w:type="auto"/>
            <w:vMerge w:val="continue"/>
            <w:noWrap w:val="0"/>
            <w:tcMar>
              <w:top w:w="12" w:type="dxa"/>
              <w:left w:w="12" w:type="dxa"/>
              <w:right w:w="12" w:type="dxa"/>
            </w:tcMar>
            <w:vAlign w:val="center"/>
          </w:tcPr>
          <w:p>
            <w:pPr>
              <w:pStyle w:val="42"/>
              <w:rPr>
                <w:rFonts w:hint="default" w:ascii="Times New Roman" w:hAnsi="Times New Roman" w:cs="Times New Roman"/>
                <w:color w:val="auto"/>
                <w:highlight w:val="none"/>
              </w:rPr>
            </w:pPr>
          </w:p>
        </w:tc>
        <w:tc>
          <w:tcPr>
            <w:tcW w:w="0" w:type="auto"/>
            <w:vMerge w:val="continue"/>
            <w:noWrap w:val="0"/>
            <w:tcMar>
              <w:top w:w="12" w:type="dxa"/>
              <w:left w:w="12" w:type="dxa"/>
              <w:right w:w="12" w:type="dxa"/>
            </w:tcMar>
            <w:vAlign w:val="center"/>
          </w:tcPr>
          <w:p>
            <w:pPr>
              <w:pStyle w:val="42"/>
              <w:rPr>
                <w:rFonts w:hint="default" w:ascii="Times New Roman" w:hAnsi="Times New Roman" w:cs="Times New Roman"/>
                <w:color w:val="auto"/>
                <w:highlight w:val="none"/>
              </w:rPr>
            </w:pPr>
          </w:p>
        </w:tc>
        <w:tc>
          <w:tcPr>
            <w:tcW w:w="0" w:type="auto"/>
            <w:vMerge w:val="continue"/>
            <w:noWrap/>
            <w:tcMar>
              <w:top w:w="12" w:type="dxa"/>
              <w:left w:w="12" w:type="dxa"/>
              <w:right w:w="12" w:type="dxa"/>
            </w:tcMar>
            <w:vAlign w:val="center"/>
          </w:tcPr>
          <w:p>
            <w:pPr>
              <w:pStyle w:val="42"/>
              <w:rPr>
                <w:rFonts w:hint="default" w:ascii="Times New Roman" w:hAnsi="Times New Roman" w:cs="Times New Roman"/>
                <w:color w:val="auto"/>
                <w:highlight w:val="none"/>
              </w:rPr>
            </w:pP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10m</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20m</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30m</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40m</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50m</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80m</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100m</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150m</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200m</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250m</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300m</w:t>
            </w:r>
          </w:p>
        </w:tc>
        <w:tc>
          <w:tcPr>
            <w:tcW w:w="0" w:type="auto"/>
            <w:noWrap w:val="0"/>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昼间</w:t>
            </w:r>
          </w:p>
        </w:tc>
        <w:tc>
          <w:tcPr>
            <w:tcW w:w="0" w:type="auto"/>
            <w:noWrap w:val="0"/>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单斗液压挖掘机</w:t>
            </w:r>
          </w:p>
        </w:tc>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99.0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79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73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69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67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65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61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59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56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53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51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49 </w:t>
            </w:r>
          </w:p>
        </w:tc>
        <w:tc>
          <w:tcPr>
            <w:tcW w:w="0" w:type="auto"/>
            <w:noWrap/>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 xml:space="preserve">28 </w:t>
            </w:r>
          </w:p>
        </w:tc>
        <w:tc>
          <w:tcPr>
            <w:tcW w:w="0" w:type="auto"/>
            <w:noWrap/>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 xml:space="preserve">89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装载机</w:t>
            </w:r>
          </w:p>
        </w:tc>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89</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95.0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75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69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65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63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61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57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55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51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49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47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45 </w:t>
            </w:r>
          </w:p>
        </w:tc>
        <w:tc>
          <w:tcPr>
            <w:tcW w:w="0" w:type="auto"/>
            <w:noWrap/>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 xml:space="preserve">18 </w:t>
            </w:r>
          </w:p>
        </w:tc>
        <w:tc>
          <w:tcPr>
            <w:tcW w:w="0" w:type="auto"/>
            <w:noWrap/>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 xml:space="preserve">56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推土机</w:t>
            </w:r>
          </w:p>
        </w:tc>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86</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92.0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72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66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62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60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58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54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52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48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46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44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42 </w:t>
            </w:r>
          </w:p>
        </w:tc>
        <w:tc>
          <w:tcPr>
            <w:tcW w:w="0" w:type="auto"/>
            <w:noWrap/>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 xml:space="preserve">13 </w:t>
            </w:r>
          </w:p>
        </w:tc>
        <w:tc>
          <w:tcPr>
            <w:tcW w:w="0" w:type="auto"/>
            <w:noWrap/>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 xml:space="preserve">40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手持式风钻</w:t>
            </w:r>
          </w:p>
        </w:tc>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97.8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78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72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68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66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64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60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58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54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52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50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48 </w:t>
            </w:r>
          </w:p>
        </w:tc>
        <w:tc>
          <w:tcPr>
            <w:tcW w:w="0" w:type="auto"/>
            <w:noWrap/>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 xml:space="preserve">24 </w:t>
            </w:r>
          </w:p>
        </w:tc>
        <w:tc>
          <w:tcPr>
            <w:tcW w:w="0" w:type="auto"/>
            <w:noWrap/>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 xml:space="preserve">77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潜孔钻</w:t>
            </w:r>
          </w:p>
        </w:tc>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94.8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75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69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65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63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61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57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55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51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49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47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45 </w:t>
            </w:r>
          </w:p>
        </w:tc>
        <w:tc>
          <w:tcPr>
            <w:tcW w:w="0" w:type="auto"/>
            <w:noWrap/>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 xml:space="preserve">17 </w:t>
            </w:r>
          </w:p>
        </w:tc>
        <w:tc>
          <w:tcPr>
            <w:tcW w:w="0" w:type="auto"/>
            <w:noWrap/>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 xml:space="preserve">55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切割机</w:t>
            </w:r>
          </w:p>
        </w:tc>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93.0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73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67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63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61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59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55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53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49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47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45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43 </w:t>
            </w:r>
          </w:p>
        </w:tc>
        <w:tc>
          <w:tcPr>
            <w:tcW w:w="0" w:type="auto"/>
            <w:noWrap/>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 xml:space="preserve">14 </w:t>
            </w:r>
          </w:p>
        </w:tc>
        <w:tc>
          <w:tcPr>
            <w:tcW w:w="0" w:type="auto"/>
            <w:noWrap/>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 xml:space="preserve">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空压机</w:t>
            </w:r>
          </w:p>
        </w:tc>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0" w:type="auto"/>
            <w:noWrap w:val="0"/>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85</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88.0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68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62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58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56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54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50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48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44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42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40 </w:t>
            </w:r>
          </w:p>
        </w:tc>
        <w:tc>
          <w:tcPr>
            <w:tcW w:w="0" w:type="auto"/>
            <w:noWrap/>
            <w:tcMar>
              <w:top w:w="12" w:type="dxa"/>
              <w:left w:w="12" w:type="dxa"/>
              <w:right w:w="12" w:type="dxa"/>
            </w:tcMar>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38 </w:t>
            </w:r>
          </w:p>
        </w:tc>
        <w:tc>
          <w:tcPr>
            <w:tcW w:w="0" w:type="auto"/>
            <w:noWrap/>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 xml:space="preserve">8 </w:t>
            </w:r>
          </w:p>
        </w:tc>
        <w:tc>
          <w:tcPr>
            <w:tcW w:w="0" w:type="auto"/>
            <w:noWrap/>
            <w:tcMar>
              <w:top w:w="12" w:type="dxa"/>
              <w:left w:w="12" w:type="dxa"/>
              <w:right w:w="12" w:type="dxa"/>
            </w:tcMar>
            <w:vAlign w:val="center"/>
          </w:tcPr>
          <w:p>
            <w:pPr>
              <w:pStyle w:val="42"/>
              <w:rPr>
                <w:rFonts w:hint="default" w:ascii="Times New Roman" w:hAnsi="Times New Roman" w:cs="Times New Roman"/>
                <w:color w:val="0000FF"/>
                <w:highlight w:val="none"/>
              </w:rPr>
            </w:pPr>
            <w:r>
              <w:rPr>
                <w:rFonts w:hint="default" w:ascii="Times New Roman" w:hAnsi="Times New Roman" w:cs="Times New Roman"/>
                <w:color w:val="0000FF"/>
                <w:highlight w:val="none"/>
              </w:rPr>
              <w:t xml:space="preserve">25 </w:t>
            </w:r>
          </w:p>
        </w:tc>
      </w:tr>
    </w:tbl>
    <w:p>
      <w:pPr>
        <w:pStyle w:val="13"/>
        <w:rPr>
          <w:rFonts w:hint="default" w:ascii="Times New Roman" w:hAnsi="Times New Roman" w:cs="Times New Roman"/>
          <w:color w:val="auto"/>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ind w:firstLine="48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计算最不利情况，即所有声源同时作用工下在距离处的噪贡献值预测结果见表</w:t>
      </w:r>
      <w:r>
        <w:rPr>
          <w:rFonts w:hint="eastAsia" w:cs="Times New Roman"/>
          <w:color w:val="auto"/>
          <w:kern w:val="0"/>
          <w:highlight w:val="none"/>
          <w:lang w:val="en-US" w:eastAsia="zh-CN"/>
        </w:rPr>
        <w:t>5</w:t>
      </w:r>
      <w:r>
        <w:rPr>
          <w:rFonts w:hint="default" w:ascii="Times New Roman" w:hAnsi="Times New Roman" w:cs="Times New Roman"/>
          <w:color w:val="auto"/>
          <w:kern w:val="0"/>
          <w:highlight w:val="none"/>
        </w:rPr>
        <w:t>.</w:t>
      </w:r>
      <w:r>
        <w:rPr>
          <w:rFonts w:hint="eastAsia" w:cs="Times New Roman"/>
          <w:color w:val="auto"/>
          <w:kern w:val="0"/>
          <w:highlight w:val="none"/>
          <w:lang w:val="en-US" w:eastAsia="zh-CN"/>
        </w:rPr>
        <w:t>1</w:t>
      </w:r>
      <w:r>
        <w:rPr>
          <w:rFonts w:hint="default" w:ascii="Times New Roman" w:hAnsi="Times New Roman" w:cs="Times New Roman"/>
          <w:color w:val="auto"/>
          <w:kern w:val="0"/>
          <w:highlight w:val="none"/>
        </w:rPr>
        <w:t>.</w:t>
      </w:r>
      <w:r>
        <w:rPr>
          <w:rFonts w:hint="eastAsia" w:cs="Times New Roman"/>
          <w:color w:val="auto"/>
          <w:kern w:val="0"/>
          <w:highlight w:val="none"/>
          <w:lang w:val="en-US" w:eastAsia="zh-CN"/>
        </w:rPr>
        <w:t>5</w:t>
      </w:r>
      <w:r>
        <w:rPr>
          <w:rFonts w:hint="default" w:ascii="Times New Roman" w:hAnsi="Times New Roman" w:cs="Times New Roman"/>
          <w:color w:val="auto"/>
          <w:kern w:val="0"/>
          <w:highlight w:val="none"/>
        </w:rPr>
        <w:t>-2。</w:t>
      </w:r>
    </w:p>
    <w:p>
      <w:pPr>
        <w:pStyle w:val="40"/>
        <w:ind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cs="Times New Roman"/>
          <w:color w:val="auto"/>
          <w:highlight w:val="none"/>
          <w:lang w:val="en-US" w:eastAsia="zh-CN"/>
        </w:rPr>
        <w:t>5</w:t>
      </w:r>
      <w:r>
        <w:rPr>
          <w:rFonts w:hint="default" w:ascii="Times New Roman" w:hAnsi="Times New Roman" w:cs="Times New Roman"/>
          <w:color w:val="auto"/>
          <w:highlight w:val="none"/>
        </w:rPr>
        <w:t>.</w:t>
      </w:r>
      <w:r>
        <w:rPr>
          <w:rFonts w:hint="eastAsia" w:cs="Times New Roman"/>
          <w:color w:val="auto"/>
          <w:highlight w:val="none"/>
          <w:lang w:val="en-US" w:eastAsia="zh-CN"/>
        </w:rPr>
        <w:t>1</w:t>
      </w:r>
      <w:r>
        <w:rPr>
          <w:rFonts w:hint="default" w:ascii="Times New Roman" w:hAnsi="Times New Roman" w:cs="Times New Roman"/>
          <w:color w:val="auto"/>
          <w:highlight w:val="none"/>
        </w:rPr>
        <w:t>.</w:t>
      </w:r>
      <w:r>
        <w:rPr>
          <w:rFonts w:hint="eastAsia" w:cs="Times New Roman"/>
          <w:color w:val="auto"/>
          <w:highlight w:val="none"/>
          <w:lang w:val="en-US" w:eastAsia="zh-CN"/>
        </w:rPr>
        <w:t>5</w:t>
      </w:r>
      <w:r>
        <w:rPr>
          <w:rFonts w:hint="default" w:ascii="Times New Roman" w:hAnsi="Times New Roman" w:cs="Times New Roman"/>
          <w:color w:val="auto"/>
          <w:highlight w:val="none"/>
        </w:rPr>
        <w:t>-2  不同施工机械噪声叠加预测值</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54"/>
        <w:gridCol w:w="398"/>
        <w:gridCol w:w="398"/>
        <w:gridCol w:w="398"/>
        <w:gridCol w:w="398"/>
        <w:gridCol w:w="398"/>
        <w:gridCol w:w="398"/>
        <w:gridCol w:w="503"/>
        <w:gridCol w:w="503"/>
        <w:gridCol w:w="503"/>
        <w:gridCol w:w="503"/>
        <w:gridCol w:w="555"/>
        <w:gridCol w:w="1396"/>
        <w:gridCol w:w="1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92" w:type="pct"/>
            <w:vMerge w:val="restart"/>
            <w:noWrap/>
            <w:tcMar>
              <w:top w:w="12" w:type="dxa"/>
              <w:left w:w="12" w:type="dxa"/>
              <w:right w:w="12" w:type="dxa"/>
            </w:tcMar>
            <w:vAlign w:val="center"/>
          </w:tcPr>
          <w:p>
            <w:pPr>
              <w:pStyle w:val="42"/>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总源强</w:t>
            </w:r>
          </w:p>
        </w:tc>
        <w:tc>
          <w:tcPr>
            <w:tcW w:w="2968" w:type="pct"/>
            <w:gridSpan w:val="11"/>
            <w:noWrap/>
            <w:tcMar>
              <w:top w:w="12" w:type="dxa"/>
              <w:left w:w="12" w:type="dxa"/>
              <w:right w:w="12" w:type="dxa"/>
            </w:tcMar>
            <w:vAlign w:val="center"/>
          </w:tcPr>
          <w:p>
            <w:pPr>
              <w:pStyle w:val="42"/>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与声源不同距离的噪声值dB（A）</w:t>
            </w:r>
          </w:p>
        </w:tc>
        <w:tc>
          <w:tcPr>
            <w:tcW w:w="840" w:type="pct"/>
            <w:noWrap w:val="0"/>
            <w:tcMar>
              <w:top w:w="12" w:type="dxa"/>
              <w:left w:w="12" w:type="dxa"/>
              <w:right w:w="12" w:type="dxa"/>
            </w:tcMar>
            <w:vAlign w:val="center"/>
          </w:tcPr>
          <w:p>
            <w:pPr>
              <w:pStyle w:val="42"/>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达到《建筑施工场界环境噪声排放标准》的距离（m）</w:t>
            </w:r>
          </w:p>
        </w:tc>
        <w:tc>
          <w:tcPr>
            <w:tcW w:w="797" w:type="pct"/>
            <w:noWrap w:val="0"/>
            <w:tcMar>
              <w:top w:w="12" w:type="dxa"/>
              <w:left w:w="12" w:type="dxa"/>
              <w:right w:w="12" w:type="dxa"/>
            </w:tcMar>
            <w:vAlign w:val="center"/>
          </w:tcPr>
          <w:p>
            <w:pPr>
              <w:pStyle w:val="42"/>
              <w:spacing w:line="240" w:lineRule="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达到《声环境质量标准》</w:t>
            </w:r>
            <w:r>
              <w:rPr>
                <w:rFonts w:hint="eastAsia" w:cs="Times New Roman"/>
                <w:color w:val="0000FF"/>
                <w:sz w:val="21"/>
                <w:szCs w:val="21"/>
                <w:highlight w:val="none"/>
                <w:lang w:val="en-US" w:eastAsia="zh-CN"/>
              </w:rPr>
              <w:t>1</w:t>
            </w:r>
            <w:r>
              <w:rPr>
                <w:rFonts w:hint="default" w:ascii="Times New Roman" w:hAnsi="Times New Roman" w:cs="Times New Roman"/>
                <w:color w:val="0000FF"/>
                <w:sz w:val="21"/>
                <w:szCs w:val="21"/>
                <w:highlight w:val="none"/>
              </w:rPr>
              <w:t>类标准的距离（m）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92" w:type="pct"/>
            <w:vMerge w:val="continue"/>
            <w:noWrap/>
            <w:tcMar>
              <w:top w:w="12" w:type="dxa"/>
              <w:left w:w="12" w:type="dxa"/>
              <w:right w:w="12" w:type="dxa"/>
            </w:tcMar>
            <w:vAlign w:val="center"/>
          </w:tcPr>
          <w:p>
            <w:pPr>
              <w:pStyle w:val="42"/>
              <w:spacing w:line="240" w:lineRule="auto"/>
              <w:rPr>
                <w:rFonts w:hint="default" w:ascii="Times New Roman" w:hAnsi="Times New Roman" w:cs="Times New Roman"/>
                <w:color w:val="auto"/>
                <w:sz w:val="21"/>
                <w:szCs w:val="21"/>
                <w:highlight w:val="none"/>
              </w:rPr>
            </w:pPr>
          </w:p>
        </w:tc>
        <w:tc>
          <w:tcPr>
            <w:tcW w:w="238" w:type="pct"/>
            <w:noWrap/>
            <w:tcMar>
              <w:top w:w="12" w:type="dxa"/>
              <w:left w:w="12" w:type="dxa"/>
              <w:right w:w="12" w:type="dxa"/>
            </w:tcMar>
            <w:vAlign w:val="center"/>
          </w:tcPr>
          <w:p>
            <w:pPr>
              <w:pStyle w:val="42"/>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10m</w:t>
            </w:r>
          </w:p>
        </w:tc>
        <w:tc>
          <w:tcPr>
            <w:tcW w:w="238" w:type="pct"/>
            <w:noWrap/>
            <w:tcMar>
              <w:top w:w="12" w:type="dxa"/>
              <w:left w:w="12" w:type="dxa"/>
              <w:right w:w="12" w:type="dxa"/>
            </w:tcMar>
            <w:vAlign w:val="center"/>
          </w:tcPr>
          <w:p>
            <w:pPr>
              <w:pStyle w:val="42"/>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20m</w:t>
            </w:r>
          </w:p>
        </w:tc>
        <w:tc>
          <w:tcPr>
            <w:tcW w:w="238" w:type="pct"/>
            <w:noWrap/>
            <w:tcMar>
              <w:top w:w="12" w:type="dxa"/>
              <w:left w:w="12" w:type="dxa"/>
              <w:right w:w="12" w:type="dxa"/>
            </w:tcMar>
            <w:vAlign w:val="center"/>
          </w:tcPr>
          <w:p>
            <w:pPr>
              <w:pStyle w:val="42"/>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30m</w:t>
            </w:r>
          </w:p>
        </w:tc>
        <w:tc>
          <w:tcPr>
            <w:tcW w:w="238" w:type="pct"/>
            <w:noWrap/>
            <w:tcMar>
              <w:top w:w="12" w:type="dxa"/>
              <w:left w:w="12" w:type="dxa"/>
              <w:right w:w="12" w:type="dxa"/>
            </w:tcMar>
            <w:vAlign w:val="center"/>
          </w:tcPr>
          <w:p>
            <w:pPr>
              <w:pStyle w:val="42"/>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40m</w:t>
            </w:r>
          </w:p>
        </w:tc>
        <w:tc>
          <w:tcPr>
            <w:tcW w:w="238" w:type="pct"/>
            <w:noWrap/>
            <w:tcMar>
              <w:top w:w="12" w:type="dxa"/>
              <w:left w:w="12" w:type="dxa"/>
              <w:right w:w="12" w:type="dxa"/>
            </w:tcMar>
            <w:vAlign w:val="center"/>
          </w:tcPr>
          <w:p>
            <w:pPr>
              <w:pStyle w:val="42"/>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50m</w:t>
            </w:r>
          </w:p>
        </w:tc>
        <w:tc>
          <w:tcPr>
            <w:tcW w:w="238" w:type="pct"/>
            <w:noWrap/>
            <w:tcMar>
              <w:top w:w="12" w:type="dxa"/>
              <w:left w:w="12" w:type="dxa"/>
              <w:right w:w="12" w:type="dxa"/>
            </w:tcMar>
            <w:vAlign w:val="center"/>
          </w:tcPr>
          <w:p>
            <w:pPr>
              <w:pStyle w:val="42"/>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80m</w:t>
            </w:r>
          </w:p>
        </w:tc>
        <w:tc>
          <w:tcPr>
            <w:tcW w:w="301" w:type="pct"/>
            <w:noWrap/>
            <w:tcMar>
              <w:top w:w="12" w:type="dxa"/>
              <w:left w:w="12" w:type="dxa"/>
              <w:right w:w="12" w:type="dxa"/>
            </w:tcMar>
            <w:vAlign w:val="center"/>
          </w:tcPr>
          <w:p>
            <w:pPr>
              <w:pStyle w:val="42"/>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100m</w:t>
            </w:r>
          </w:p>
        </w:tc>
        <w:tc>
          <w:tcPr>
            <w:tcW w:w="301" w:type="pct"/>
            <w:noWrap/>
            <w:tcMar>
              <w:top w:w="12" w:type="dxa"/>
              <w:left w:w="12" w:type="dxa"/>
              <w:right w:w="12" w:type="dxa"/>
            </w:tcMar>
            <w:vAlign w:val="center"/>
          </w:tcPr>
          <w:p>
            <w:pPr>
              <w:pStyle w:val="42"/>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150m</w:t>
            </w:r>
          </w:p>
        </w:tc>
        <w:tc>
          <w:tcPr>
            <w:tcW w:w="301" w:type="pct"/>
            <w:noWrap/>
            <w:tcMar>
              <w:top w:w="12" w:type="dxa"/>
              <w:left w:w="12" w:type="dxa"/>
              <w:right w:w="12" w:type="dxa"/>
            </w:tcMar>
            <w:vAlign w:val="center"/>
          </w:tcPr>
          <w:p>
            <w:pPr>
              <w:pStyle w:val="42"/>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200m</w:t>
            </w:r>
          </w:p>
        </w:tc>
        <w:tc>
          <w:tcPr>
            <w:tcW w:w="301" w:type="pct"/>
            <w:noWrap/>
            <w:tcMar>
              <w:top w:w="12" w:type="dxa"/>
              <w:left w:w="12" w:type="dxa"/>
              <w:right w:w="12" w:type="dxa"/>
            </w:tcMar>
            <w:vAlign w:val="center"/>
          </w:tcPr>
          <w:p>
            <w:pPr>
              <w:pStyle w:val="42"/>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250m</w:t>
            </w:r>
          </w:p>
        </w:tc>
        <w:tc>
          <w:tcPr>
            <w:tcW w:w="327" w:type="pct"/>
            <w:noWrap/>
            <w:tcMar>
              <w:top w:w="12" w:type="dxa"/>
              <w:left w:w="12" w:type="dxa"/>
              <w:right w:w="12" w:type="dxa"/>
            </w:tcMar>
            <w:vAlign w:val="center"/>
          </w:tcPr>
          <w:p>
            <w:pPr>
              <w:pStyle w:val="42"/>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300m</w:t>
            </w:r>
          </w:p>
        </w:tc>
        <w:tc>
          <w:tcPr>
            <w:tcW w:w="840" w:type="pct"/>
            <w:noWrap w:val="0"/>
            <w:tcMar>
              <w:top w:w="12" w:type="dxa"/>
              <w:left w:w="12" w:type="dxa"/>
              <w:right w:w="12" w:type="dxa"/>
            </w:tcMar>
            <w:vAlign w:val="center"/>
          </w:tcPr>
          <w:p>
            <w:pPr>
              <w:pStyle w:val="42"/>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797" w:type="pct"/>
            <w:noWrap w:val="0"/>
            <w:tcMar>
              <w:top w:w="12" w:type="dxa"/>
              <w:left w:w="12" w:type="dxa"/>
              <w:right w:w="12" w:type="dxa"/>
            </w:tcMar>
            <w:vAlign w:val="center"/>
          </w:tcPr>
          <w:p>
            <w:pPr>
              <w:pStyle w:val="42"/>
              <w:spacing w:line="240" w:lineRule="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92" w:type="pct"/>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103.87</w:t>
            </w:r>
          </w:p>
        </w:tc>
        <w:tc>
          <w:tcPr>
            <w:tcW w:w="238" w:type="pct"/>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84</w:t>
            </w:r>
          </w:p>
        </w:tc>
        <w:tc>
          <w:tcPr>
            <w:tcW w:w="238" w:type="pct"/>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78</w:t>
            </w:r>
          </w:p>
        </w:tc>
        <w:tc>
          <w:tcPr>
            <w:tcW w:w="238" w:type="pct"/>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74</w:t>
            </w:r>
          </w:p>
        </w:tc>
        <w:tc>
          <w:tcPr>
            <w:tcW w:w="238" w:type="pct"/>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72</w:t>
            </w:r>
          </w:p>
        </w:tc>
        <w:tc>
          <w:tcPr>
            <w:tcW w:w="238" w:type="pct"/>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238" w:type="pct"/>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66</w:t>
            </w:r>
          </w:p>
        </w:tc>
        <w:tc>
          <w:tcPr>
            <w:tcW w:w="301" w:type="pct"/>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64</w:t>
            </w:r>
          </w:p>
        </w:tc>
        <w:tc>
          <w:tcPr>
            <w:tcW w:w="301" w:type="pct"/>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301" w:type="pct"/>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58</w:t>
            </w:r>
          </w:p>
        </w:tc>
        <w:tc>
          <w:tcPr>
            <w:tcW w:w="301" w:type="pct"/>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56</w:t>
            </w:r>
          </w:p>
        </w:tc>
        <w:tc>
          <w:tcPr>
            <w:tcW w:w="327" w:type="pct"/>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54</w:t>
            </w:r>
          </w:p>
        </w:tc>
        <w:tc>
          <w:tcPr>
            <w:tcW w:w="840" w:type="pct"/>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49</w:t>
            </w:r>
          </w:p>
        </w:tc>
        <w:tc>
          <w:tcPr>
            <w:tcW w:w="797" w:type="pct"/>
            <w:noWrap/>
            <w:tcMar>
              <w:top w:w="12" w:type="dxa"/>
              <w:left w:w="12" w:type="dxa"/>
              <w:right w:w="12"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rPr>
            </w:pPr>
            <w:r>
              <w:rPr>
                <w:rFonts w:hint="eastAsia" w:cs="Times New Roman"/>
                <w:i w:val="0"/>
                <w:iCs w:val="0"/>
                <w:color w:val="0000FF"/>
                <w:kern w:val="0"/>
                <w:sz w:val="21"/>
                <w:szCs w:val="21"/>
                <w:highlight w:val="none"/>
                <w:u w:val="none"/>
                <w:lang w:val="en-US" w:eastAsia="zh-CN" w:bidi="ar"/>
              </w:rPr>
              <w:t>300</w:t>
            </w:r>
          </w:p>
        </w:tc>
      </w:tr>
    </w:tbl>
    <w:p>
      <w:pPr>
        <w:keepNext w:val="0"/>
        <w:keepLines w:val="0"/>
        <w:pageBreakBefore w:val="0"/>
        <w:widowControl w:val="0"/>
        <w:kinsoku/>
        <w:wordWrap/>
        <w:overflowPunct/>
        <w:topLinePunct w:val="0"/>
        <w:autoSpaceDE/>
        <w:autoSpaceDN/>
        <w:bidi w:val="0"/>
        <w:adjustRightInd/>
        <w:snapToGrid w:val="0"/>
        <w:ind w:left="0" w:right="0"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根据上述两表计算结果分析，</w:t>
      </w:r>
      <w:r>
        <w:rPr>
          <w:rFonts w:hint="default" w:ascii="Times New Roman" w:hAnsi="Times New Roman" w:cs="Times New Roman"/>
          <w:color w:val="auto"/>
          <w:kern w:val="0"/>
          <w:highlight w:val="none"/>
          <w:lang w:val="en-US" w:eastAsia="zh-CN"/>
        </w:rPr>
        <w:t>对照《建筑施工场界环境噪声排放标准》，</w:t>
      </w:r>
      <w:r>
        <w:rPr>
          <w:rFonts w:hint="default" w:ascii="Times New Roman" w:hAnsi="Times New Roman" w:cs="Times New Roman"/>
          <w:color w:val="auto"/>
          <w:kern w:val="0"/>
          <w:highlight w:val="none"/>
        </w:rPr>
        <w:t>各施工机械</w:t>
      </w:r>
      <w:r>
        <w:rPr>
          <w:rFonts w:hint="default" w:ascii="Times New Roman" w:hAnsi="Times New Roman" w:cs="Times New Roman"/>
          <w:color w:val="auto"/>
          <w:kern w:val="0"/>
          <w:highlight w:val="none"/>
          <w:lang w:val="en-US" w:eastAsia="zh-CN"/>
        </w:rPr>
        <w:t>昼间最远达标距离为28m、夜间最远达标距离为159m；</w:t>
      </w:r>
      <w:r>
        <w:rPr>
          <w:rFonts w:hint="default" w:ascii="Times New Roman" w:hAnsi="Times New Roman" w:cs="Times New Roman"/>
          <w:color w:val="auto"/>
          <w:kern w:val="0"/>
          <w:highlight w:val="none"/>
        </w:rPr>
        <w:t>如果机械</w:t>
      </w:r>
      <w:r>
        <w:rPr>
          <w:rFonts w:hint="default" w:ascii="Times New Roman" w:hAnsi="Times New Roman" w:cs="Times New Roman"/>
          <w:color w:val="auto"/>
          <w:kern w:val="0"/>
          <w:highlight w:val="none"/>
          <w:lang w:val="en-US" w:eastAsia="zh-CN"/>
        </w:rPr>
        <w:t>同时</w:t>
      </w:r>
      <w:r>
        <w:rPr>
          <w:rFonts w:hint="default" w:ascii="Times New Roman" w:hAnsi="Times New Roman" w:cs="Times New Roman"/>
          <w:color w:val="auto"/>
          <w:kern w:val="0"/>
          <w:highlight w:val="none"/>
        </w:rPr>
        <w:t>施工，</w:t>
      </w:r>
      <w:r>
        <w:rPr>
          <w:rFonts w:hint="default" w:ascii="Times New Roman" w:hAnsi="Times New Roman" w:cs="Times New Roman"/>
          <w:color w:val="auto"/>
          <w:kern w:val="0"/>
          <w:highlight w:val="none"/>
          <w:lang w:val="en-US" w:eastAsia="zh-CN"/>
        </w:rPr>
        <w:t>则昼间最远达标距离为49m、夜间最远达标距离为278m</w:t>
      </w:r>
      <w:r>
        <w:rPr>
          <w:rFonts w:hint="default" w:ascii="Times New Roman" w:hAnsi="Times New Roman" w:cs="Times New Roman"/>
          <w:color w:val="auto"/>
          <w:kern w:val="0"/>
          <w:highlight w:val="none"/>
        </w:rPr>
        <w:t>。</w:t>
      </w:r>
    </w:p>
    <w:p>
      <w:pPr>
        <w:keepNext w:val="0"/>
        <w:keepLines w:val="0"/>
        <w:pageBreakBefore w:val="0"/>
        <w:widowControl w:val="0"/>
        <w:kinsoku/>
        <w:wordWrap/>
        <w:overflowPunct/>
        <w:topLinePunct w:val="0"/>
        <w:autoSpaceDE/>
        <w:autoSpaceDN/>
        <w:bidi w:val="0"/>
        <w:adjustRightInd/>
        <w:snapToGrid w:val="0"/>
        <w:ind w:left="0" w:right="0" w:firstLine="482"/>
        <w:textAlignment w:val="auto"/>
        <w:rPr>
          <w:rFonts w:hint="default" w:ascii="Times New Roman" w:hAnsi="Times New Roman" w:cs="Times New Roman"/>
          <w:b/>
          <w:bCs/>
          <w:color w:val="0000FF"/>
          <w:highlight w:val="none"/>
        </w:rPr>
      </w:pPr>
      <w:bookmarkStart w:id="581" w:name="_Toc2904"/>
      <w:r>
        <w:rPr>
          <w:rFonts w:hint="default" w:ascii="Times New Roman" w:hAnsi="Times New Roman" w:cs="Times New Roman"/>
          <w:b/>
          <w:bCs/>
          <w:color w:val="0000FF"/>
          <w:highlight w:val="none"/>
        </w:rPr>
        <w:t>3、声环境敏感点影响分析</w:t>
      </w:r>
      <w:bookmarkEnd w:id="581"/>
    </w:p>
    <w:p>
      <w:pPr>
        <w:keepNext w:val="0"/>
        <w:keepLines w:val="0"/>
        <w:pageBreakBefore w:val="0"/>
        <w:widowControl w:val="0"/>
        <w:kinsoku/>
        <w:wordWrap/>
        <w:overflowPunct/>
        <w:topLinePunct w:val="0"/>
        <w:autoSpaceDE/>
        <w:autoSpaceDN/>
        <w:bidi w:val="0"/>
        <w:adjustRightInd/>
        <w:snapToGrid w:val="0"/>
        <w:spacing w:line="360" w:lineRule="auto"/>
        <w:ind w:left="0" w:right="0" w:firstLine="479"/>
        <w:jc w:val="both"/>
        <w:textAlignment w:val="auto"/>
        <w:rPr>
          <w:rFonts w:hint="eastAsia" w:ascii="宋体" w:hAnsi="宋体" w:eastAsia="宋体" w:cs="宋体"/>
          <w:color w:val="0000FF"/>
          <w:sz w:val="24"/>
          <w:szCs w:val="24"/>
          <w:lang w:val="en-US" w:eastAsia="zh-CN"/>
        </w:rPr>
      </w:pPr>
      <w:r>
        <w:rPr>
          <w:rFonts w:ascii="宋体" w:hAnsi="宋体" w:eastAsia="宋体" w:cs="宋体"/>
          <w:color w:val="0000FF"/>
          <w:spacing w:val="-10"/>
          <w:sz w:val="24"/>
          <w:szCs w:val="24"/>
        </w:rPr>
        <w:t>本工程沿线涉及村庄区域均为管线建设区，包括</w:t>
      </w:r>
      <w:r>
        <w:rPr>
          <w:rFonts w:hint="eastAsia" w:ascii="宋体" w:hAnsi="宋体" w:eastAsia="宋体" w:cs="宋体"/>
          <w:color w:val="0000FF"/>
          <w:spacing w:val="-10"/>
          <w:sz w:val="24"/>
          <w:szCs w:val="24"/>
        </w:rPr>
        <w:t>金马村</w:t>
      </w:r>
      <w:r>
        <w:rPr>
          <w:rFonts w:hint="eastAsia" w:ascii="宋体" w:hAnsi="宋体" w:eastAsia="宋体" w:cs="宋体"/>
          <w:color w:val="0000FF"/>
          <w:spacing w:val="-10"/>
          <w:sz w:val="24"/>
          <w:szCs w:val="24"/>
          <w:lang w:eastAsia="zh-CN"/>
        </w:rPr>
        <w:t>、</w:t>
      </w:r>
      <w:r>
        <w:rPr>
          <w:rFonts w:hint="eastAsia" w:ascii="宋体" w:hAnsi="宋体" w:eastAsia="宋体" w:cs="宋体"/>
          <w:color w:val="0000FF"/>
          <w:spacing w:val="-10"/>
          <w:sz w:val="24"/>
          <w:szCs w:val="24"/>
        </w:rPr>
        <w:t>阿洒姑</w:t>
      </w:r>
      <w:r>
        <w:rPr>
          <w:rFonts w:hint="eastAsia" w:ascii="宋体" w:hAnsi="宋体" w:eastAsia="宋体" w:cs="宋体"/>
          <w:color w:val="0000FF"/>
          <w:spacing w:val="-10"/>
          <w:sz w:val="24"/>
          <w:szCs w:val="24"/>
          <w:lang w:eastAsia="zh-CN"/>
        </w:rPr>
        <w:t>、</w:t>
      </w:r>
      <w:r>
        <w:rPr>
          <w:rFonts w:hint="eastAsia" w:ascii="宋体" w:hAnsi="宋体" w:eastAsia="宋体" w:cs="宋体"/>
          <w:color w:val="0000FF"/>
          <w:spacing w:val="-10"/>
          <w:sz w:val="24"/>
          <w:szCs w:val="24"/>
        </w:rPr>
        <w:t>华峰村</w:t>
      </w:r>
      <w:r>
        <w:rPr>
          <w:rFonts w:hint="eastAsia" w:ascii="宋体" w:hAnsi="宋体" w:eastAsia="宋体" w:cs="宋体"/>
          <w:color w:val="0000FF"/>
          <w:spacing w:val="-10"/>
          <w:sz w:val="24"/>
          <w:szCs w:val="24"/>
          <w:lang w:eastAsia="zh-CN"/>
        </w:rPr>
        <w:t>、</w:t>
      </w:r>
      <w:r>
        <w:rPr>
          <w:rFonts w:hint="eastAsia" w:ascii="宋体" w:hAnsi="宋体" w:eastAsia="宋体" w:cs="宋体"/>
          <w:color w:val="0000FF"/>
          <w:spacing w:val="-10"/>
          <w:sz w:val="24"/>
          <w:szCs w:val="24"/>
        </w:rPr>
        <w:t>羊拉昔</w:t>
      </w:r>
      <w:r>
        <w:rPr>
          <w:rFonts w:hint="eastAsia" w:ascii="宋体" w:hAnsi="宋体" w:eastAsia="宋体" w:cs="宋体"/>
          <w:color w:val="0000FF"/>
          <w:spacing w:val="-10"/>
          <w:sz w:val="24"/>
          <w:szCs w:val="24"/>
          <w:lang w:eastAsia="zh-CN"/>
        </w:rPr>
        <w:t>、</w:t>
      </w:r>
      <w:r>
        <w:rPr>
          <w:rFonts w:hint="eastAsia" w:ascii="宋体" w:hAnsi="宋体" w:eastAsia="宋体" w:cs="宋体"/>
          <w:color w:val="0000FF"/>
          <w:spacing w:val="-10"/>
          <w:sz w:val="24"/>
          <w:szCs w:val="24"/>
        </w:rPr>
        <w:t>姜驿乡</w:t>
      </w:r>
      <w:r>
        <w:rPr>
          <w:rFonts w:hint="eastAsia" w:ascii="宋体" w:hAnsi="宋体" w:eastAsia="宋体" w:cs="宋体"/>
          <w:color w:val="0000FF"/>
          <w:spacing w:val="-10"/>
          <w:sz w:val="24"/>
          <w:szCs w:val="24"/>
          <w:lang w:eastAsia="zh-CN"/>
        </w:rPr>
        <w:t>、</w:t>
      </w:r>
      <w:r>
        <w:rPr>
          <w:rFonts w:hint="eastAsia" w:ascii="宋体" w:hAnsi="宋体" w:eastAsia="宋体" w:cs="宋体"/>
          <w:color w:val="0000FF"/>
          <w:spacing w:val="-10"/>
          <w:sz w:val="24"/>
          <w:szCs w:val="24"/>
        </w:rPr>
        <w:t>红坡村</w:t>
      </w:r>
      <w:r>
        <w:rPr>
          <w:rFonts w:hint="eastAsia" w:ascii="宋体" w:hAnsi="宋体" w:eastAsia="宋体" w:cs="宋体"/>
          <w:color w:val="0000FF"/>
          <w:spacing w:val="-10"/>
          <w:sz w:val="24"/>
          <w:szCs w:val="24"/>
          <w:lang w:eastAsia="zh-CN"/>
        </w:rPr>
        <w:t>、</w:t>
      </w:r>
      <w:r>
        <w:rPr>
          <w:rFonts w:hint="eastAsia" w:ascii="宋体" w:hAnsi="宋体" w:eastAsia="宋体" w:cs="宋体"/>
          <w:color w:val="0000FF"/>
          <w:spacing w:val="-10"/>
          <w:sz w:val="24"/>
          <w:szCs w:val="24"/>
        </w:rPr>
        <w:t>姜驿大村</w:t>
      </w:r>
      <w:r>
        <w:rPr>
          <w:rFonts w:hint="eastAsia" w:ascii="宋体" w:hAnsi="宋体" w:eastAsia="宋体" w:cs="宋体"/>
          <w:color w:val="0000FF"/>
          <w:spacing w:val="-10"/>
          <w:sz w:val="24"/>
          <w:szCs w:val="24"/>
          <w:lang w:eastAsia="zh-CN"/>
        </w:rPr>
        <w:t>、</w:t>
      </w:r>
      <w:r>
        <w:rPr>
          <w:rFonts w:hint="eastAsia" w:ascii="宋体" w:hAnsi="宋体" w:eastAsia="宋体" w:cs="宋体"/>
          <w:color w:val="0000FF"/>
          <w:spacing w:val="-10"/>
          <w:sz w:val="24"/>
          <w:szCs w:val="24"/>
        </w:rPr>
        <w:t>拉黑沟</w:t>
      </w:r>
      <w:r>
        <w:rPr>
          <w:rFonts w:hint="eastAsia" w:ascii="宋体" w:hAnsi="宋体" w:eastAsia="宋体" w:cs="宋体"/>
          <w:color w:val="0000FF"/>
          <w:spacing w:val="-10"/>
          <w:sz w:val="24"/>
          <w:szCs w:val="24"/>
          <w:lang w:eastAsia="zh-CN"/>
        </w:rPr>
        <w:t>、</w:t>
      </w:r>
      <w:r>
        <w:rPr>
          <w:rFonts w:hint="eastAsia" w:ascii="宋体" w:hAnsi="宋体" w:eastAsia="宋体" w:cs="宋体"/>
          <w:color w:val="0000FF"/>
          <w:spacing w:val="-10"/>
          <w:sz w:val="24"/>
          <w:szCs w:val="24"/>
        </w:rPr>
        <w:t>白秧树村</w:t>
      </w:r>
      <w:r>
        <w:rPr>
          <w:rFonts w:hint="eastAsia" w:ascii="宋体" w:hAnsi="宋体" w:eastAsia="宋体" w:cs="宋体"/>
          <w:color w:val="0000FF"/>
          <w:spacing w:val="-10"/>
          <w:sz w:val="24"/>
          <w:szCs w:val="24"/>
          <w:lang w:eastAsia="zh-CN"/>
        </w:rPr>
        <w:t>、</w:t>
      </w:r>
      <w:r>
        <w:rPr>
          <w:rFonts w:hint="eastAsia" w:ascii="宋体" w:hAnsi="宋体" w:eastAsia="宋体" w:cs="宋体"/>
          <w:color w:val="0000FF"/>
          <w:spacing w:val="-10"/>
          <w:sz w:val="24"/>
          <w:szCs w:val="24"/>
        </w:rPr>
        <w:t>坝塘边村</w:t>
      </w:r>
      <w:r>
        <w:rPr>
          <w:rFonts w:hint="eastAsia" w:ascii="宋体" w:hAnsi="宋体" w:eastAsia="宋体" w:cs="宋体"/>
          <w:color w:val="0000FF"/>
          <w:spacing w:val="-10"/>
          <w:sz w:val="24"/>
          <w:szCs w:val="24"/>
          <w:lang w:eastAsia="zh-CN"/>
        </w:rPr>
        <w:t>、</w:t>
      </w:r>
      <w:r>
        <w:rPr>
          <w:rFonts w:hint="eastAsia" w:ascii="宋体" w:hAnsi="宋体" w:eastAsia="宋体" w:cs="宋体"/>
          <w:color w:val="0000FF"/>
          <w:spacing w:val="-10"/>
          <w:sz w:val="24"/>
          <w:szCs w:val="24"/>
        </w:rPr>
        <w:t>红坡村</w:t>
      </w:r>
      <w:r>
        <w:rPr>
          <w:rFonts w:hint="eastAsia" w:ascii="宋体" w:hAnsi="宋体" w:eastAsia="宋体" w:cs="宋体"/>
          <w:color w:val="0000FF"/>
          <w:spacing w:val="-10"/>
          <w:sz w:val="24"/>
          <w:szCs w:val="24"/>
          <w:lang w:val="en-US" w:eastAsia="zh-CN"/>
        </w:rPr>
        <w:t>等，</w:t>
      </w:r>
      <w:r>
        <w:rPr>
          <w:rFonts w:ascii="宋体" w:hAnsi="宋体" w:eastAsia="宋体" w:cs="宋体"/>
          <w:color w:val="0000FF"/>
          <w:spacing w:val="-1"/>
          <w:sz w:val="24"/>
          <w:szCs w:val="24"/>
        </w:rPr>
        <w:t>本</w:t>
      </w:r>
      <w:r>
        <w:rPr>
          <w:rFonts w:hint="eastAsia" w:ascii="宋体" w:hAnsi="宋体" w:eastAsia="宋体" w:cs="宋体"/>
          <w:color w:val="0000FF"/>
          <w:spacing w:val="-1"/>
          <w:sz w:val="24"/>
          <w:szCs w:val="24"/>
          <w:lang w:val="en-US" w:eastAsia="zh-CN"/>
        </w:rPr>
        <w:t>次</w:t>
      </w:r>
      <w:r>
        <w:rPr>
          <w:rFonts w:ascii="宋体" w:hAnsi="宋体" w:eastAsia="宋体" w:cs="宋体"/>
          <w:color w:val="0000FF"/>
          <w:spacing w:val="-1"/>
          <w:sz w:val="24"/>
          <w:szCs w:val="24"/>
        </w:rPr>
        <w:t>环评</w:t>
      </w:r>
      <w:r>
        <w:rPr>
          <w:rFonts w:hint="eastAsia" w:ascii="宋体" w:hAnsi="宋体" w:eastAsia="宋体" w:cs="宋体"/>
          <w:color w:val="0000FF"/>
          <w:spacing w:val="-1"/>
          <w:sz w:val="24"/>
          <w:szCs w:val="24"/>
          <w:lang w:val="en-US" w:eastAsia="zh-CN"/>
        </w:rPr>
        <w:t>选取有代表性的</w:t>
      </w:r>
      <w:r>
        <w:rPr>
          <w:rFonts w:ascii="宋体" w:hAnsi="宋体" w:eastAsia="宋体" w:cs="宋体"/>
          <w:color w:val="0000FF"/>
          <w:spacing w:val="-1"/>
          <w:sz w:val="24"/>
          <w:szCs w:val="24"/>
        </w:rPr>
        <w:t>敏感目标</w:t>
      </w:r>
      <w:r>
        <w:rPr>
          <w:rFonts w:hint="eastAsia" w:ascii="宋体" w:hAnsi="宋体" w:eastAsia="宋体" w:cs="宋体"/>
          <w:color w:val="0000FF"/>
          <w:spacing w:val="-1"/>
          <w:sz w:val="24"/>
          <w:szCs w:val="24"/>
          <w:lang w:val="en-US" w:eastAsia="zh-CN"/>
        </w:rPr>
        <w:t>进行施工期的声环境</w:t>
      </w:r>
      <w:r>
        <w:rPr>
          <w:rFonts w:ascii="宋体" w:hAnsi="宋体" w:eastAsia="宋体" w:cs="宋体"/>
          <w:color w:val="0000FF"/>
          <w:spacing w:val="-1"/>
          <w:sz w:val="24"/>
          <w:szCs w:val="24"/>
        </w:rPr>
        <w:t>影响进行</w:t>
      </w:r>
      <w:r>
        <w:rPr>
          <w:rFonts w:hint="eastAsia" w:ascii="宋体" w:hAnsi="宋体" w:eastAsia="宋体" w:cs="宋体"/>
          <w:color w:val="0000FF"/>
          <w:spacing w:val="-1"/>
          <w:sz w:val="24"/>
          <w:szCs w:val="24"/>
          <w:lang w:val="en-US" w:eastAsia="zh-CN"/>
        </w:rPr>
        <w:t>预测。</w:t>
      </w:r>
    </w:p>
    <w:p>
      <w:pPr>
        <w:ind w:firstLine="480"/>
        <w:rPr>
          <w:rFonts w:hint="eastAsia" w:cs="Times New Roman"/>
          <w:color w:val="0000FF"/>
          <w:kern w:val="0"/>
          <w:highlight w:val="none"/>
          <w:lang w:val="en-US" w:eastAsia="zh-CN"/>
        </w:rPr>
      </w:pPr>
      <w:r>
        <w:rPr>
          <w:rFonts w:hint="eastAsia" w:cs="Times New Roman"/>
          <w:color w:val="0000FF"/>
          <w:kern w:val="0"/>
          <w:highlight w:val="none"/>
          <w:lang w:val="en-US" w:eastAsia="zh-CN"/>
        </w:rPr>
        <w:t>本次工程为分散式施工，临近村庄的施工机械及其噪声源如下表所示：</w:t>
      </w:r>
    </w:p>
    <w:p>
      <w:pPr>
        <w:pStyle w:val="40"/>
        <w:ind w:firstLine="482"/>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表</w:t>
      </w:r>
      <w:r>
        <w:rPr>
          <w:rFonts w:hint="eastAsia" w:cs="Times New Roman"/>
          <w:color w:val="auto"/>
          <w:highlight w:val="none"/>
          <w:lang w:val="en-US" w:eastAsia="zh-CN"/>
        </w:rPr>
        <w:t>5</w:t>
      </w:r>
      <w:r>
        <w:rPr>
          <w:rFonts w:hint="default" w:ascii="Times New Roman" w:hAnsi="Times New Roman" w:cs="Times New Roman"/>
          <w:color w:val="auto"/>
          <w:highlight w:val="none"/>
        </w:rPr>
        <w:t>.</w:t>
      </w:r>
      <w:r>
        <w:rPr>
          <w:rFonts w:hint="eastAsia" w:cs="Times New Roman"/>
          <w:color w:val="auto"/>
          <w:highlight w:val="none"/>
          <w:lang w:val="en-US" w:eastAsia="zh-CN"/>
        </w:rPr>
        <w:t>1</w:t>
      </w:r>
      <w:r>
        <w:rPr>
          <w:rFonts w:hint="default" w:ascii="Times New Roman" w:hAnsi="Times New Roman" w:cs="Times New Roman"/>
          <w:color w:val="auto"/>
          <w:highlight w:val="none"/>
        </w:rPr>
        <w:t>.</w:t>
      </w:r>
      <w:r>
        <w:rPr>
          <w:rFonts w:hint="eastAsia" w:cs="Times New Roman"/>
          <w:color w:val="auto"/>
          <w:highlight w:val="none"/>
          <w:lang w:val="en-US" w:eastAsia="zh-CN"/>
        </w:rPr>
        <w:t>5</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rPr>
        <w:t xml:space="preserve">  </w:t>
      </w:r>
      <w:r>
        <w:rPr>
          <w:rFonts w:hint="eastAsia" w:ascii="Times New Roman" w:hAnsi="Times New Roman" w:cs="Times New Roman"/>
          <w:color w:val="auto"/>
          <w:highlight w:val="none"/>
          <w:lang w:val="en-US" w:eastAsia="zh-CN"/>
        </w:rPr>
        <w:t>邻近声环境保护目标的施工机械源强</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52"/>
        <w:gridCol w:w="1214"/>
        <w:gridCol w:w="1314"/>
        <w:gridCol w:w="1706"/>
        <w:gridCol w:w="26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trPr>
        <w:tc>
          <w:tcPr>
            <w:tcW w:w="872" w:type="pct"/>
            <w:noWrap/>
            <w:tcMar>
              <w:top w:w="12" w:type="dxa"/>
              <w:left w:w="12" w:type="dxa"/>
              <w:right w:w="12" w:type="dxa"/>
            </w:tcMar>
            <w:vAlign w:val="center"/>
          </w:tcPr>
          <w:p>
            <w:pPr>
              <w:pStyle w:val="42"/>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名称</w:t>
            </w:r>
          </w:p>
        </w:tc>
        <w:tc>
          <w:tcPr>
            <w:tcW w:w="728" w:type="pct"/>
            <w:noWrap/>
            <w:tcMar>
              <w:top w:w="12" w:type="dxa"/>
              <w:left w:w="12" w:type="dxa"/>
              <w:right w:w="12" w:type="dxa"/>
            </w:tcMar>
            <w:vAlign w:val="center"/>
          </w:tcPr>
          <w:p>
            <w:pPr>
              <w:pStyle w:val="42"/>
              <w:jc w:val="center"/>
              <w:rPr>
                <w:rFonts w:hint="default" w:ascii="Times New Roman" w:hAnsi="Times New Roman" w:cs="Times New Roman"/>
                <w:color w:val="0000FF"/>
                <w:highlight w:val="none"/>
              </w:rPr>
            </w:pPr>
            <w:r>
              <w:rPr>
                <w:rFonts w:hint="eastAsia" w:ascii="Times New Roman" w:hAnsi="Times New Roman" w:cs="Times New Roman"/>
                <w:color w:val="0000FF"/>
                <w:highlight w:val="none"/>
                <w:lang w:val="en-US" w:eastAsia="zh-CN"/>
              </w:rPr>
              <w:t>地点</w:t>
            </w:r>
            <w:r>
              <w:rPr>
                <w:rFonts w:hint="default" w:ascii="Times New Roman" w:hAnsi="Times New Roman" w:cs="Times New Roman"/>
                <w:color w:val="0000FF"/>
                <w:highlight w:val="none"/>
              </w:rPr>
              <w:t>数量(台)</w:t>
            </w:r>
          </w:p>
        </w:tc>
        <w:tc>
          <w:tcPr>
            <w:tcW w:w="788" w:type="pct"/>
            <w:noWrap/>
            <w:tcMar>
              <w:top w:w="12" w:type="dxa"/>
              <w:left w:w="12" w:type="dxa"/>
              <w:right w:w="12" w:type="dxa"/>
            </w:tcMar>
            <w:vAlign w:val="center"/>
          </w:tcPr>
          <w:p>
            <w:pPr>
              <w:pStyle w:val="42"/>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源强dB（A）</w:t>
            </w:r>
          </w:p>
        </w:tc>
        <w:tc>
          <w:tcPr>
            <w:tcW w:w="1023" w:type="pct"/>
            <w:vMerge w:val="restart"/>
            <w:noWrap/>
            <w:tcMar>
              <w:top w:w="12" w:type="dxa"/>
              <w:left w:w="12" w:type="dxa"/>
              <w:right w:w="12" w:type="dxa"/>
            </w:tcMar>
            <w:vAlign w:val="center"/>
          </w:tcPr>
          <w:p>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rPr>
                <w:rFonts w:hint="default" w:ascii="Times New Roman" w:hAnsi="Times New Roman" w:cs="Times New Roman"/>
                <w:color w:val="0000FF"/>
                <w:highlight w:val="none"/>
              </w:rPr>
            </w:pPr>
            <w:r>
              <w:rPr>
                <w:rFonts w:ascii="宋体" w:hAnsi="宋体" w:eastAsia="宋体" w:cs="宋体"/>
                <w:color w:val="0000FF"/>
                <w:spacing w:val="-3"/>
                <w:sz w:val="21"/>
                <w:szCs w:val="21"/>
              </w:rPr>
              <w:t>治理措施</w:t>
            </w:r>
          </w:p>
        </w:tc>
        <w:tc>
          <w:tcPr>
            <w:tcW w:w="1586" w:type="pct"/>
            <w:noWrap/>
            <w:tcMar>
              <w:top w:w="12" w:type="dxa"/>
              <w:left w:w="12" w:type="dxa"/>
              <w:right w:w="12" w:type="dxa"/>
            </w:tcMar>
            <w:vAlign w:val="center"/>
          </w:tcPr>
          <w:p>
            <w:pPr>
              <w:keepNext w:val="0"/>
              <w:keepLines w:val="0"/>
              <w:pageBreakBefore w:val="0"/>
              <w:kinsoku/>
              <w:wordWrap/>
              <w:overflowPunct/>
              <w:topLinePunct w:val="0"/>
              <w:autoSpaceDE/>
              <w:autoSpaceDN/>
              <w:bidi w:val="0"/>
              <w:adjustRightInd/>
              <w:snapToGrid w:val="0"/>
              <w:spacing w:line="240" w:lineRule="auto"/>
              <w:ind w:left="0" w:leftChars="0" w:firstLine="0" w:firstLineChars="0"/>
              <w:jc w:val="center"/>
              <w:rPr>
                <w:rFonts w:hint="default" w:ascii="宋体" w:hAnsi="宋体" w:eastAsia="宋体" w:cs="宋体"/>
                <w:color w:val="0000FF"/>
                <w:spacing w:val="-3"/>
                <w:sz w:val="21"/>
                <w:szCs w:val="21"/>
                <w:lang w:val="en-US" w:eastAsia="zh-CN"/>
              </w:rPr>
            </w:pPr>
            <w:r>
              <w:rPr>
                <w:rFonts w:hint="eastAsia" w:ascii="宋体" w:hAnsi="宋体" w:eastAsia="宋体" w:cs="宋体"/>
                <w:color w:val="0000FF"/>
                <w:spacing w:val="-3"/>
                <w:sz w:val="21"/>
                <w:szCs w:val="21"/>
                <w:lang w:val="en-US" w:eastAsia="zh-CN"/>
              </w:rPr>
              <w:t>治理后的叠加源强</w:t>
            </w:r>
            <w:r>
              <w:rPr>
                <w:rFonts w:hint="default" w:ascii="Times New Roman" w:hAnsi="Times New Roman" w:cs="Times New Roman"/>
                <w:color w:val="0000FF"/>
                <w:highlight w:val="none"/>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72" w:type="pct"/>
            <w:noWrap w:val="0"/>
            <w:tcMar>
              <w:top w:w="12" w:type="dxa"/>
              <w:left w:w="12" w:type="dxa"/>
              <w:right w:w="12" w:type="dxa"/>
            </w:tcMar>
            <w:vAlign w:val="center"/>
          </w:tcPr>
          <w:p>
            <w:pPr>
              <w:pStyle w:val="42"/>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推土机</w:t>
            </w:r>
          </w:p>
        </w:tc>
        <w:tc>
          <w:tcPr>
            <w:tcW w:w="728" w:type="pct"/>
            <w:noWrap w:val="0"/>
            <w:tcMar>
              <w:top w:w="12" w:type="dxa"/>
              <w:left w:w="12" w:type="dxa"/>
              <w:right w:w="12" w:type="dxa"/>
            </w:tcMar>
            <w:vAlign w:val="center"/>
          </w:tcPr>
          <w:p>
            <w:pPr>
              <w:pStyle w:val="42"/>
              <w:jc w:val="center"/>
              <w:rPr>
                <w:rFonts w:hint="eastAsia" w:ascii="Times New Roman" w:hAnsi="Times New Roman" w:eastAsia="宋体" w:cs="Times New Roman"/>
                <w:color w:val="0000FF"/>
                <w:highlight w:val="none"/>
                <w:lang w:val="en-US" w:eastAsia="zh-CN"/>
              </w:rPr>
            </w:pPr>
            <w:r>
              <w:rPr>
                <w:rFonts w:hint="eastAsia" w:ascii="Times New Roman" w:hAnsi="Times New Roman" w:cs="Times New Roman"/>
                <w:color w:val="0000FF"/>
                <w:highlight w:val="none"/>
                <w:lang w:val="en-US" w:eastAsia="zh-CN"/>
              </w:rPr>
              <w:t>1</w:t>
            </w:r>
          </w:p>
        </w:tc>
        <w:tc>
          <w:tcPr>
            <w:tcW w:w="788" w:type="pct"/>
            <w:noWrap w:val="0"/>
            <w:tcMar>
              <w:top w:w="12" w:type="dxa"/>
              <w:left w:w="12" w:type="dxa"/>
              <w:right w:w="12" w:type="dxa"/>
            </w:tcMar>
            <w:vAlign w:val="center"/>
          </w:tcPr>
          <w:p>
            <w:pPr>
              <w:pStyle w:val="42"/>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86</w:t>
            </w:r>
          </w:p>
        </w:tc>
        <w:tc>
          <w:tcPr>
            <w:tcW w:w="1023" w:type="pct"/>
            <w:vMerge w:val="continue"/>
            <w:noWrap/>
            <w:tcMar>
              <w:top w:w="12" w:type="dxa"/>
              <w:left w:w="12" w:type="dxa"/>
              <w:right w:w="12" w:type="dxa"/>
            </w:tcMar>
            <w:vAlign w:val="center"/>
          </w:tcPr>
          <w:p>
            <w:pPr>
              <w:pStyle w:val="42"/>
              <w:jc w:val="center"/>
              <w:rPr>
                <w:rFonts w:hint="default" w:ascii="Times New Roman" w:hAnsi="Times New Roman" w:cs="Times New Roman"/>
                <w:color w:val="0000FF"/>
                <w:highlight w:val="none"/>
              </w:rPr>
            </w:pPr>
          </w:p>
        </w:tc>
        <w:tc>
          <w:tcPr>
            <w:tcW w:w="1586" w:type="pct"/>
            <w:noWrap/>
            <w:tcMar>
              <w:top w:w="12" w:type="dxa"/>
              <w:left w:w="12" w:type="dxa"/>
              <w:right w:w="12" w:type="dxa"/>
            </w:tcMar>
            <w:vAlign w:val="center"/>
          </w:tcPr>
          <w:p>
            <w:pPr>
              <w:pStyle w:val="42"/>
              <w:jc w:val="center"/>
              <w:rPr>
                <w:rFonts w:hint="default" w:ascii="Times New Roman" w:hAnsi="Times New Roman" w:eastAsia="宋体" w:cs="Times New Roman"/>
                <w:color w:val="0000FF"/>
                <w:highlight w:val="none"/>
                <w:lang w:val="en-US" w:eastAsia="zh-CN"/>
              </w:rPr>
            </w:pPr>
            <w:r>
              <w:rPr>
                <w:rFonts w:hint="eastAsia" w:ascii="Times New Roman" w:hAnsi="Times New Roman" w:cs="Times New Roman"/>
                <w:color w:val="0000FF"/>
                <w:highlight w:val="none"/>
                <w:lang w:val="en-US" w:eastAsia="zh-C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72" w:type="pct"/>
            <w:noWrap w:val="0"/>
            <w:tcMar>
              <w:top w:w="12" w:type="dxa"/>
              <w:left w:w="12" w:type="dxa"/>
              <w:right w:w="12" w:type="dxa"/>
            </w:tcMar>
            <w:vAlign w:val="center"/>
          </w:tcPr>
          <w:p>
            <w:pPr>
              <w:pStyle w:val="42"/>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手持式风钻</w:t>
            </w:r>
          </w:p>
        </w:tc>
        <w:tc>
          <w:tcPr>
            <w:tcW w:w="728" w:type="pct"/>
            <w:noWrap w:val="0"/>
            <w:tcMar>
              <w:top w:w="12" w:type="dxa"/>
              <w:left w:w="12" w:type="dxa"/>
              <w:right w:w="12" w:type="dxa"/>
            </w:tcMar>
            <w:vAlign w:val="center"/>
          </w:tcPr>
          <w:p>
            <w:pPr>
              <w:pStyle w:val="42"/>
              <w:jc w:val="center"/>
              <w:rPr>
                <w:rFonts w:hint="eastAsia" w:ascii="Times New Roman" w:hAnsi="Times New Roman" w:eastAsia="宋体" w:cs="Times New Roman"/>
                <w:color w:val="0000FF"/>
                <w:highlight w:val="none"/>
                <w:lang w:eastAsia="zh-CN"/>
              </w:rPr>
            </w:pPr>
            <w:r>
              <w:rPr>
                <w:rFonts w:hint="eastAsia" w:ascii="Times New Roman" w:hAnsi="Times New Roman" w:cs="Times New Roman"/>
                <w:color w:val="0000FF"/>
                <w:highlight w:val="none"/>
                <w:lang w:val="en-US" w:eastAsia="zh-CN"/>
              </w:rPr>
              <w:t>1</w:t>
            </w:r>
          </w:p>
        </w:tc>
        <w:tc>
          <w:tcPr>
            <w:tcW w:w="788" w:type="pct"/>
            <w:noWrap w:val="0"/>
            <w:tcMar>
              <w:top w:w="12" w:type="dxa"/>
              <w:left w:w="12" w:type="dxa"/>
              <w:right w:w="12" w:type="dxa"/>
            </w:tcMar>
            <w:vAlign w:val="center"/>
          </w:tcPr>
          <w:p>
            <w:pPr>
              <w:pStyle w:val="42"/>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90</w:t>
            </w:r>
          </w:p>
        </w:tc>
        <w:tc>
          <w:tcPr>
            <w:tcW w:w="1023" w:type="pct"/>
            <w:vMerge w:val="continue"/>
            <w:noWrap/>
            <w:tcMar>
              <w:top w:w="12" w:type="dxa"/>
              <w:left w:w="12" w:type="dxa"/>
              <w:right w:w="12" w:type="dxa"/>
            </w:tcMar>
            <w:vAlign w:val="center"/>
          </w:tcPr>
          <w:p>
            <w:pPr>
              <w:pStyle w:val="42"/>
              <w:jc w:val="center"/>
              <w:rPr>
                <w:rFonts w:hint="default" w:ascii="Times New Roman" w:hAnsi="Times New Roman" w:cs="Times New Roman"/>
                <w:color w:val="0000FF"/>
                <w:highlight w:val="none"/>
              </w:rPr>
            </w:pPr>
          </w:p>
        </w:tc>
        <w:tc>
          <w:tcPr>
            <w:tcW w:w="1586" w:type="pct"/>
            <w:noWrap/>
            <w:tcMar>
              <w:top w:w="12" w:type="dxa"/>
              <w:left w:w="12" w:type="dxa"/>
              <w:right w:w="12" w:type="dxa"/>
            </w:tcMar>
            <w:vAlign w:val="center"/>
          </w:tcPr>
          <w:p>
            <w:pPr>
              <w:pStyle w:val="42"/>
              <w:jc w:val="center"/>
              <w:rPr>
                <w:rFonts w:hint="default" w:ascii="Times New Roman" w:hAnsi="Times New Roman" w:eastAsia="宋体" w:cs="Times New Roman"/>
                <w:color w:val="0000FF"/>
                <w:highlight w:val="none"/>
                <w:lang w:val="en-US" w:eastAsia="zh-CN"/>
              </w:rPr>
            </w:pPr>
            <w:r>
              <w:rPr>
                <w:rFonts w:hint="eastAsia" w:ascii="Times New Roman" w:hAnsi="Times New Roman" w:cs="Times New Roman"/>
                <w:color w:val="0000FF"/>
                <w:highlight w:val="none"/>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72" w:type="pct"/>
            <w:noWrap w:val="0"/>
            <w:tcMar>
              <w:top w:w="12" w:type="dxa"/>
              <w:left w:w="12" w:type="dxa"/>
              <w:right w:w="12" w:type="dxa"/>
            </w:tcMar>
            <w:vAlign w:val="center"/>
          </w:tcPr>
          <w:p>
            <w:pPr>
              <w:pStyle w:val="42"/>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切割机</w:t>
            </w:r>
          </w:p>
        </w:tc>
        <w:tc>
          <w:tcPr>
            <w:tcW w:w="728" w:type="pct"/>
            <w:noWrap w:val="0"/>
            <w:tcMar>
              <w:top w:w="12" w:type="dxa"/>
              <w:left w:w="12" w:type="dxa"/>
              <w:right w:w="12" w:type="dxa"/>
            </w:tcMar>
            <w:vAlign w:val="center"/>
          </w:tcPr>
          <w:p>
            <w:pPr>
              <w:pStyle w:val="42"/>
              <w:jc w:val="center"/>
              <w:rPr>
                <w:rFonts w:hint="eastAsia" w:ascii="Times New Roman" w:hAnsi="Times New Roman" w:eastAsia="宋体" w:cs="Times New Roman"/>
                <w:color w:val="0000FF"/>
                <w:highlight w:val="none"/>
                <w:lang w:eastAsia="zh-CN"/>
              </w:rPr>
            </w:pPr>
            <w:r>
              <w:rPr>
                <w:rFonts w:hint="eastAsia" w:ascii="Times New Roman" w:hAnsi="Times New Roman" w:cs="Times New Roman"/>
                <w:color w:val="0000FF"/>
                <w:highlight w:val="none"/>
                <w:lang w:val="en-US" w:eastAsia="zh-CN"/>
              </w:rPr>
              <w:t>1</w:t>
            </w:r>
          </w:p>
        </w:tc>
        <w:tc>
          <w:tcPr>
            <w:tcW w:w="788" w:type="pct"/>
            <w:noWrap w:val="0"/>
            <w:tcMar>
              <w:top w:w="12" w:type="dxa"/>
              <w:left w:w="12" w:type="dxa"/>
              <w:right w:w="12" w:type="dxa"/>
            </w:tcMar>
            <w:vAlign w:val="center"/>
          </w:tcPr>
          <w:p>
            <w:pPr>
              <w:pStyle w:val="42"/>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90</w:t>
            </w:r>
          </w:p>
        </w:tc>
        <w:tc>
          <w:tcPr>
            <w:tcW w:w="1023" w:type="pct"/>
            <w:vMerge w:val="continue"/>
            <w:noWrap/>
            <w:tcMar>
              <w:top w:w="12" w:type="dxa"/>
              <w:left w:w="12" w:type="dxa"/>
              <w:right w:w="12" w:type="dxa"/>
            </w:tcMar>
            <w:vAlign w:val="center"/>
          </w:tcPr>
          <w:p>
            <w:pPr>
              <w:pStyle w:val="42"/>
              <w:jc w:val="center"/>
              <w:rPr>
                <w:rFonts w:hint="default" w:ascii="Times New Roman" w:hAnsi="Times New Roman" w:cs="Times New Roman"/>
                <w:color w:val="0000FF"/>
                <w:highlight w:val="none"/>
              </w:rPr>
            </w:pPr>
          </w:p>
        </w:tc>
        <w:tc>
          <w:tcPr>
            <w:tcW w:w="1586" w:type="pct"/>
            <w:noWrap/>
            <w:tcMar>
              <w:top w:w="12" w:type="dxa"/>
              <w:left w:w="12" w:type="dxa"/>
              <w:right w:w="12" w:type="dxa"/>
            </w:tcMar>
            <w:vAlign w:val="center"/>
          </w:tcPr>
          <w:p>
            <w:pPr>
              <w:pStyle w:val="42"/>
              <w:jc w:val="center"/>
              <w:rPr>
                <w:rFonts w:hint="default" w:ascii="Times New Roman" w:hAnsi="Times New Roman" w:eastAsia="宋体" w:cs="Times New Roman"/>
                <w:color w:val="0000FF"/>
                <w:highlight w:val="none"/>
                <w:lang w:val="en-US" w:eastAsia="zh-CN"/>
              </w:rPr>
            </w:pPr>
            <w:r>
              <w:rPr>
                <w:rFonts w:hint="eastAsia" w:ascii="Times New Roman" w:hAnsi="Times New Roman" w:cs="Times New Roman"/>
                <w:color w:val="0000FF"/>
                <w:highlight w:val="none"/>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72" w:type="pct"/>
            <w:noWrap w:val="0"/>
            <w:tcMar>
              <w:top w:w="12" w:type="dxa"/>
              <w:left w:w="12" w:type="dxa"/>
              <w:right w:w="12" w:type="dxa"/>
            </w:tcMar>
            <w:vAlign w:val="center"/>
          </w:tcPr>
          <w:p>
            <w:pPr>
              <w:pStyle w:val="42"/>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空压机</w:t>
            </w:r>
          </w:p>
        </w:tc>
        <w:tc>
          <w:tcPr>
            <w:tcW w:w="728" w:type="pct"/>
            <w:noWrap w:val="0"/>
            <w:tcMar>
              <w:top w:w="12" w:type="dxa"/>
              <w:left w:w="12" w:type="dxa"/>
              <w:right w:w="12" w:type="dxa"/>
            </w:tcMar>
            <w:vAlign w:val="center"/>
          </w:tcPr>
          <w:p>
            <w:pPr>
              <w:pStyle w:val="42"/>
              <w:jc w:val="center"/>
              <w:rPr>
                <w:rFonts w:hint="eastAsia" w:ascii="Times New Roman" w:hAnsi="Times New Roman" w:eastAsia="宋体" w:cs="Times New Roman"/>
                <w:color w:val="0000FF"/>
                <w:highlight w:val="none"/>
                <w:lang w:eastAsia="zh-CN"/>
              </w:rPr>
            </w:pPr>
            <w:r>
              <w:rPr>
                <w:rFonts w:hint="eastAsia" w:ascii="Times New Roman" w:hAnsi="Times New Roman" w:cs="Times New Roman"/>
                <w:color w:val="0000FF"/>
                <w:highlight w:val="none"/>
                <w:lang w:val="en-US" w:eastAsia="zh-CN"/>
              </w:rPr>
              <w:t>1</w:t>
            </w:r>
          </w:p>
        </w:tc>
        <w:tc>
          <w:tcPr>
            <w:tcW w:w="788" w:type="pct"/>
            <w:noWrap w:val="0"/>
            <w:tcMar>
              <w:top w:w="12" w:type="dxa"/>
              <w:left w:w="12" w:type="dxa"/>
              <w:right w:w="12" w:type="dxa"/>
            </w:tcMar>
            <w:vAlign w:val="center"/>
          </w:tcPr>
          <w:p>
            <w:pPr>
              <w:pStyle w:val="42"/>
              <w:jc w:val="center"/>
              <w:rPr>
                <w:rFonts w:hint="default" w:ascii="Times New Roman" w:hAnsi="Times New Roman" w:cs="Times New Roman"/>
                <w:color w:val="0000FF"/>
                <w:highlight w:val="none"/>
              </w:rPr>
            </w:pPr>
            <w:r>
              <w:rPr>
                <w:rFonts w:hint="default" w:ascii="Times New Roman" w:hAnsi="Times New Roman" w:cs="Times New Roman"/>
                <w:color w:val="0000FF"/>
                <w:highlight w:val="none"/>
              </w:rPr>
              <w:t>85</w:t>
            </w:r>
          </w:p>
        </w:tc>
        <w:tc>
          <w:tcPr>
            <w:tcW w:w="1023" w:type="pct"/>
            <w:vMerge w:val="continue"/>
            <w:noWrap/>
            <w:tcMar>
              <w:top w:w="12" w:type="dxa"/>
              <w:left w:w="12" w:type="dxa"/>
              <w:right w:w="12" w:type="dxa"/>
            </w:tcMar>
            <w:vAlign w:val="center"/>
          </w:tcPr>
          <w:p>
            <w:pPr>
              <w:pStyle w:val="42"/>
              <w:jc w:val="center"/>
              <w:rPr>
                <w:rFonts w:hint="default" w:ascii="Times New Roman" w:hAnsi="Times New Roman" w:cs="Times New Roman"/>
                <w:color w:val="0000FF"/>
                <w:highlight w:val="none"/>
              </w:rPr>
            </w:pPr>
          </w:p>
        </w:tc>
        <w:tc>
          <w:tcPr>
            <w:tcW w:w="1586" w:type="pct"/>
            <w:noWrap/>
            <w:tcMar>
              <w:top w:w="12" w:type="dxa"/>
              <w:left w:w="12" w:type="dxa"/>
              <w:right w:w="12" w:type="dxa"/>
            </w:tcMar>
            <w:vAlign w:val="center"/>
          </w:tcPr>
          <w:p>
            <w:pPr>
              <w:pStyle w:val="42"/>
              <w:jc w:val="center"/>
              <w:rPr>
                <w:rFonts w:hint="default" w:ascii="Times New Roman" w:hAnsi="Times New Roman" w:eastAsia="宋体" w:cs="Times New Roman"/>
                <w:color w:val="0000FF"/>
                <w:highlight w:val="none"/>
                <w:lang w:val="en-US" w:eastAsia="zh-CN"/>
              </w:rPr>
            </w:pPr>
            <w:r>
              <w:rPr>
                <w:rFonts w:hint="eastAsia" w:ascii="Times New Roman" w:hAnsi="Times New Roman" w:cs="Times New Roman"/>
                <w:color w:val="0000FF"/>
                <w:highlight w:val="none"/>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413" w:type="pct"/>
            <w:gridSpan w:val="4"/>
            <w:noWrap w:val="0"/>
            <w:tcMar>
              <w:top w:w="12" w:type="dxa"/>
              <w:left w:w="12" w:type="dxa"/>
              <w:right w:w="12" w:type="dxa"/>
            </w:tcMar>
            <w:vAlign w:val="center"/>
          </w:tcPr>
          <w:p>
            <w:pPr>
              <w:pStyle w:val="42"/>
              <w:jc w:val="center"/>
              <w:rPr>
                <w:rFonts w:hint="default" w:ascii="Times New Roman" w:hAnsi="Times New Roman" w:eastAsia="宋体" w:cs="Times New Roman"/>
                <w:color w:val="0000FF"/>
                <w:highlight w:val="none"/>
                <w:lang w:val="en-US" w:eastAsia="zh-CN"/>
              </w:rPr>
            </w:pPr>
            <w:r>
              <w:rPr>
                <w:rFonts w:hint="eastAsia" w:ascii="Times New Roman" w:hAnsi="Times New Roman" w:cs="Times New Roman"/>
                <w:color w:val="0000FF"/>
                <w:highlight w:val="none"/>
                <w:lang w:val="en-US" w:eastAsia="zh-CN"/>
              </w:rPr>
              <w:t>采取降噪措施后联合作业源强</w:t>
            </w:r>
          </w:p>
        </w:tc>
        <w:tc>
          <w:tcPr>
            <w:tcW w:w="1586" w:type="pct"/>
            <w:noWrap/>
            <w:tcMar>
              <w:top w:w="12" w:type="dxa"/>
              <w:left w:w="12" w:type="dxa"/>
              <w:right w:w="12" w:type="dxa"/>
            </w:tcMar>
            <w:vAlign w:val="center"/>
          </w:tcPr>
          <w:p>
            <w:pPr>
              <w:pStyle w:val="42"/>
              <w:jc w:val="center"/>
              <w:rPr>
                <w:rFonts w:hint="default" w:ascii="Times New Roman" w:hAnsi="Times New Roman" w:cs="Times New Roman"/>
                <w:color w:val="0000FF"/>
                <w:highlight w:val="none"/>
                <w:lang w:val="en-US" w:eastAsia="zh-CN"/>
              </w:rPr>
            </w:pPr>
            <w:r>
              <w:rPr>
                <w:rFonts w:hint="eastAsia" w:ascii="Times New Roman" w:hAnsi="Times New Roman" w:cs="Times New Roman"/>
                <w:color w:val="0000FF"/>
                <w:highlight w:val="none"/>
                <w:lang w:val="en-US" w:eastAsia="zh-CN"/>
              </w:rPr>
              <w:t>74.34</w:t>
            </w:r>
          </w:p>
        </w:tc>
      </w:tr>
    </w:tbl>
    <w:p>
      <w:pPr>
        <w:ind w:firstLine="480"/>
        <w:rPr>
          <w:rFonts w:hint="eastAsia" w:cs="Times New Roman"/>
          <w:color w:val="0000FF"/>
          <w:kern w:val="0"/>
          <w:highlight w:val="none"/>
          <w:lang w:val="en-US" w:eastAsia="zh-CN"/>
        </w:rPr>
      </w:pPr>
      <w:r>
        <w:rPr>
          <w:rFonts w:hint="eastAsia" w:cs="Times New Roman"/>
          <w:color w:val="0000FF"/>
          <w:kern w:val="0"/>
          <w:highlight w:val="none"/>
          <w:lang w:val="en-US" w:eastAsia="zh-CN"/>
        </w:rPr>
        <w:t>本项目仅昼间施工。施工期对敏感点的影响预测表如下表所示：</w:t>
      </w:r>
    </w:p>
    <w:p>
      <w:pPr>
        <w:pStyle w:val="40"/>
        <w:ind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cs="Times New Roman"/>
          <w:color w:val="auto"/>
          <w:highlight w:val="none"/>
          <w:lang w:val="en-US" w:eastAsia="zh-CN"/>
        </w:rPr>
        <w:t>5.1.5-3</w:t>
      </w:r>
      <w:r>
        <w:rPr>
          <w:rFonts w:hint="default" w:ascii="Times New Roman" w:hAnsi="Times New Roman" w:cs="Times New Roman"/>
          <w:color w:val="auto"/>
          <w:highlight w:val="none"/>
        </w:rPr>
        <w:t xml:space="preserve">  施工机械叠加噪声对敏感点影响计算结果表 单位：dB（A）</w:t>
      </w:r>
    </w:p>
    <w:tbl>
      <w:tblPr>
        <w:tblStyle w:val="2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7"/>
        <w:gridCol w:w="1076"/>
        <w:gridCol w:w="1105"/>
        <w:gridCol w:w="1376"/>
        <w:gridCol w:w="1076"/>
        <w:gridCol w:w="1268"/>
        <w:gridCol w:w="17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tblHeader/>
          <w:jc w:val="center"/>
        </w:trPr>
        <w:tc>
          <w:tcPr>
            <w:tcW w:w="515" w:type="pct"/>
            <w:vMerge w:val="restart"/>
            <w:tcBorders>
              <w:top w:val="single" w:color="auto" w:sz="4" w:space="0"/>
              <w:left w:val="single" w:color="auto" w:sz="4" w:space="0"/>
              <w:right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631" w:type="pct"/>
            <w:vMerge w:val="restart"/>
            <w:tcBorders>
              <w:top w:val="single" w:color="auto" w:sz="4" w:space="0"/>
              <w:left w:val="single" w:color="auto" w:sz="4" w:space="0"/>
              <w:right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相对工程方位</w:t>
            </w:r>
          </w:p>
        </w:tc>
        <w:tc>
          <w:tcPr>
            <w:tcW w:w="648" w:type="pct"/>
            <w:vMerge w:val="restart"/>
            <w:tcBorders>
              <w:top w:val="single" w:color="auto" w:sz="4" w:space="0"/>
              <w:left w:val="single" w:color="auto" w:sz="4" w:space="0"/>
              <w:right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相对工程距离（m）</w:t>
            </w:r>
          </w:p>
        </w:tc>
        <w:tc>
          <w:tcPr>
            <w:tcW w:w="807" w:type="pct"/>
            <w:tcBorders>
              <w:top w:val="single" w:color="auto" w:sz="4" w:space="0"/>
              <w:left w:val="single" w:color="auto" w:sz="4" w:space="0"/>
              <w:right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噪声贡献值</w:t>
            </w:r>
          </w:p>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dB（A）</w:t>
            </w:r>
          </w:p>
        </w:tc>
        <w:tc>
          <w:tcPr>
            <w:tcW w:w="631" w:type="pct"/>
            <w:tcBorders>
              <w:top w:val="single" w:color="auto" w:sz="4" w:space="0"/>
              <w:left w:val="single" w:color="auto" w:sz="4" w:space="0"/>
              <w:right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现状值dB（A）</w:t>
            </w:r>
          </w:p>
        </w:tc>
        <w:tc>
          <w:tcPr>
            <w:tcW w:w="744" w:type="pct"/>
            <w:tcBorders>
              <w:top w:val="single" w:color="auto" w:sz="4" w:space="0"/>
              <w:left w:val="single" w:color="auto" w:sz="4" w:space="0"/>
              <w:right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噪声预测值</w:t>
            </w:r>
          </w:p>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dB（A）</w:t>
            </w:r>
          </w:p>
        </w:tc>
        <w:tc>
          <w:tcPr>
            <w:tcW w:w="1020" w:type="pct"/>
            <w:tcBorders>
              <w:top w:val="single" w:color="auto" w:sz="4" w:space="0"/>
              <w:left w:val="single" w:color="auto" w:sz="4" w:space="0"/>
              <w:right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超标分析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tblHeader/>
          <w:jc w:val="center"/>
        </w:trPr>
        <w:tc>
          <w:tcPr>
            <w:tcW w:w="515" w:type="pct"/>
            <w:vMerge w:val="continue"/>
            <w:tcBorders>
              <w:left w:val="single" w:color="auto" w:sz="4" w:space="0"/>
              <w:right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631" w:type="pct"/>
            <w:vMerge w:val="continue"/>
            <w:tcBorders>
              <w:left w:val="single" w:color="auto" w:sz="4" w:space="0"/>
              <w:right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648" w:type="pct"/>
            <w:vMerge w:val="continue"/>
            <w:tcBorders>
              <w:left w:val="single" w:color="auto" w:sz="4" w:space="0"/>
              <w:right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p>
        </w:tc>
        <w:tc>
          <w:tcPr>
            <w:tcW w:w="807" w:type="pct"/>
            <w:tcBorders>
              <w:left w:val="single" w:color="auto" w:sz="4" w:space="0"/>
              <w:right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631" w:type="pct"/>
            <w:tcBorders>
              <w:left w:val="single" w:color="auto" w:sz="4" w:space="0"/>
              <w:right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744" w:type="pct"/>
            <w:tcBorders>
              <w:left w:val="single" w:color="auto" w:sz="4" w:space="0"/>
              <w:right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1020" w:type="pct"/>
            <w:tcBorders>
              <w:left w:val="single" w:color="auto" w:sz="4" w:space="0"/>
              <w:right w:val="single" w:color="auto" w:sz="4" w:space="0"/>
            </w:tcBorders>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tblHeader/>
          <w:jc w:val="center"/>
        </w:trPr>
        <w:tc>
          <w:tcPr>
            <w:tcW w:w="515"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金马村</w:t>
            </w:r>
          </w:p>
        </w:tc>
        <w:tc>
          <w:tcPr>
            <w:tcW w:w="631"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eastAsia="zh-CN"/>
              </w:rPr>
              <w:t>管道东侧</w:t>
            </w:r>
          </w:p>
        </w:tc>
        <w:tc>
          <w:tcPr>
            <w:tcW w:w="648"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30m</w:t>
            </w:r>
          </w:p>
        </w:tc>
        <w:tc>
          <w:tcPr>
            <w:tcW w:w="807"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auto"/>
                <w:sz w:val="21"/>
                <w:szCs w:val="21"/>
                <w:highlight w:val="none"/>
                <w:lang w:val="en-US" w:eastAsia="zh-CN"/>
              </w:rPr>
            </w:pPr>
            <w:r>
              <w:rPr>
                <w:rFonts w:hint="eastAsia" w:eastAsia="宋" w:cs="Times New Roman"/>
                <w:color w:val="0000FF"/>
                <w:sz w:val="21"/>
                <w:szCs w:val="21"/>
                <w:highlight w:val="none"/>
                <w:lang w:val="en-US" w:eastAsia="zh-CN"/>
              </w:rPr>
              <w:t>44.8</w:t>
            </w:r>
          </w:p>
        </w:tc>
        <w:tc>
          <w:tcPr>
            <w:tcW w:w="631"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52</w:t>
            </w:r>
          </w:p>
        </w:tc>
        <w:tc>
          <w:tcPr>
            <w:tcW w:w="744"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0000FF"/>
                <w:sz w:val="21"/>
                <w:szCs w:val="21"/>
                <w:highlight w:val="none"/>
                <w:lang w:val="en-US" w:eastAsia="zh-CN"/>
              </w:rPr>
            </w:pPr>
            <w:r>
              <w:rPr>
                <w:rFonts w:hint="eastAsia" w:cs="Times New Roman"/>
                <w:color w:val="0000FF"/>
                <w:sz w:val="21"/>
                <w:szCs w:val="21"/>
                <w:highlight w:val="none"/>
                <w:lang w:val="en-US" w:eastAsia="zh-CN"/>
              </w:rPr>
              <w:t>52.8</w:t>
            </w:r>
          </w:p>
        </w:tc>
        <w:tc>
          <w:tcPr>
            <w:tcW w:w="1020" w:type="pct"/>
            <w:noWrap w:val="0"/>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color w:val="0000FF"/>
                <w:sz w:val="21"/>
                <w:szCs w:val="21"/>
                <w:highlight w:val="none"/>
                <w:lang w:val="en-US" w:eastAsia="zh-CN"/>
              </w:rPr>
            </w:pPr>
            <w:r>
              <w:rPr>
                <w:rFonts w:hint="eastAsia" w:cs="Times New Roman"/>
                <w:color w:val="0000FF"/>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0" w:hRule="atLeast"/>
          <w:tblHeader/>
          <w:jc w:val="center"/>
        </w:trPr>
        <w:tc>
          <w:tcPr>
            <w:tcW w:w="515"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阿洒姑</w:t>
            </w:r>
          </w:p>
        </w:tc>
        <w:tc>
          <w:tcPr>
            <w:tcW w:w="631"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eastAsia="zh-CN"/>
              </w:rPr>
              <w:t>管道</w:t>
            </w:r>
            <w:r>
              <w:rPr>
                <w:rFonts w:hint="eastAsia" w:cs="Times New Roman"/>
                <w:color w:val="auto"/>
                <w:sz w:val="21"/>
                <w:szCs w:val="21"/>
                <w:highlight w:val="none"/>
                <w:lang w:eastAsia="zh-CN"/>
              </w:rPr>
              <w:t>西北</w:t>
            </w:r>
            <w:r>
              <w:rPr>
                <w:rFonts w:hint="eastAsia" w:ascii="Times New Roman" w:hAnsi="Times New Roman" w:cs="Times New Roman"/>
                <w:color w:val="auto"/>
                <w:sz w:val="21"/>
                <w:szCs w:val="21"/>
                <w:highlight w:val="none"/>
                <w:lang w:eastAsia="zh-CN"/>
              </w:rPr>
              <w:t>侧</w:t>
            </w:r>
          </w:p>
        </w:tc>
        <w:tc>
          <w:tcPr>
            <w:tcW w:w="648"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45</w:t>
            </w:r>
            <w:r>
              <w:rPr>
                <w:rFonts w:hint="eastAsia" w:ascii="Times New Roman" w:hAnsi="Times New Roman" w:cs="Times New Roman"/>
                <w:color w:val="auto"/>
                <w:sz w:val="21"/>
                <w:szCs w:val="21"/>
                <w:highlight w:val="none"/>
                <w:lang w:val="en-US" w:eastAsia="zh-CN"/>
              </w:rPr>
              <w:t>m</w:t>
            </w:r>
          </w:p>
        </w:tc>
        <w:tc>
          <w:tcPr>
            <w:tcW w:w="807"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auto"/>
                <w:sz w:val="21"/>
                <w:szCs w:val="21"/>
                <w:highlight w:val="none"/>
                <w:lang w:val="en-US" w:eastAsia="zh-CN"/>
              </w:rPr>
            </w:pPr>
            <w:r>
              <w:rPr>
                <w:rFonts w:hint="eastAsia" w:eastAsia="宋" w:cs="Times New Roman"/>
                <w:color w:val="0000FF"/>
                <w:sz w:val="21"/>
                <w:szCs w:val="21"/>
                <w:highlight w:val="none"/>
                <w:lang w:val="en-US" w:eastAsia="zh-CN"/>
              </w:rPr>
              <w:t>41.3</w:t>
            </w:r>
          </w:p>
        </w:tc>
        <w:tc>
          <w:tcPr>
            <w:tcW w:w="631"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53</w:t>
            </w:r>
          </w:p>
        </w:tc>
        <w:tc>
          <w:tcPr>
            <w:tcW w:w="74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 w:cs="Times New Roman"/>
                <w:color w:val="0000FF"/>
                <w:sz w:val="21"/>
                <w:szCs w:val="21"/>
                <w:highlight w:val="none"/>
                <w:lang w:val="en-US" w:eastAsia="zh-CN"/>
              </w:rPr>
            </w:pPr>
            <w:r>
              <w:rPr>
                <w:rFonts w:hint="eastAsia" w:cs="Times New Roman"/>
                <w:color w:val="0000FF"/>
                <w:sz w:val="21"/>
                <w:szCs w:val="21"/>
                <w:highlight w:val="none"/>
                <w:lang w:val="en-US" w:eastAsia="zh-CN"/>
              </w:rPr>
              <w:t>53.3</w:t>
            </w:r>
          </w:p>
        </w:tc>
        <w:tc>
          <w:tcPr>
            <w:tcW w:w="1020"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rPr>
            </w:pPr>
            <w:r>
              <w:rPr>
                <w:rFonts w:hint="eastAsia" w:cs="Times New Roman"/>
                <w:color w:val="0000FF"/>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tblHeader/>
          <w:jc w:val="center"/>
        </w:trPr>
        <w:tc>
          <w:tcPr>
            <w:tcW w:w="515"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华峰</w:t>
            </w:r>
            <w:r>
              <w:rPr>
                <w:rFonts w:hint="eastAsia" w:ascii="Times New Roman" w:hAnsi="Times New Roman" w:cs="Times New Roman"/>
                <w:color w:val="auto"/>
                <w:sz w:val="21"/>
                <w:szCs w:val="21"/>
                <w:highlight w:val="none"/>
                <w:lang w:val="en-US" w:eastAsia="zh-CN"/>
              </w:rPr>
              <w:t>村</w:t>
            </w:r>
          </w:p>
        </w:tc>
        <w:tc>
          <w:tcPr>
            <w:tcW w:w="631"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eastAsia="zh-CN"/>
              </w:rPr>
              <w:t>管道</w:t>
            </w:r>
            <w:r>
              <w:rPr>
                <w:rFonts w:hint="eastAsia" w:cs="Times New Roman"/>
                <w:color w:val="auto"/>
                <w:sz w:val="21"/>
                <w:szCs w:val="21"/>
                <w:highlight w:val="none"/>
                <w:lang w:eastAsia="zh-CN"/>
              </w:rPr>
              <w:t>西侧</w:t>
            </w:r>
          </w:p>
        </w:tc>
        <w:tc>
          <w:tcPr>
            <w:tcW w:w="648"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102m</w:t>
            </w:r>
          </w:p>
        </w:tc>
        <w:tc>
          <w:tcPr>
            <w:tcW w:w="807"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auto"/>
                <w:sz w:val="21"/>
                <w:szCs w:val="21"/>
                <w:highlight w:val="none"/>
                <w:lang w:val="en-US" w:eastAsia="zh-CN"/>
              </w:rPr>
            </w:pPr>
            <w:r>
              <w:rPr>
                <w:rFonts w:hint="eastAsia" w:eastAsia="宋" w:cs="Times New Roman"/>
                <w:color w:val="0000FF"/>
                <w:sz w:val="21"/>
                <w:szCs w:val="21"/>
                <w:highlight w:val="none"/>
                <w:lang w:val="en-US" w:eastAsia="zh-CN"/>
              </w:rPr>
              <w:t>34.2</w:t>
            </w:r>
          </w:p>
        </w:tc>
        <w:tc>
          <w:tcPr>
            <w:tcW w:w="631"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54</w:t>
            </w:r>
          </w:p>
        </w:tc>
        <w:tc>
          <w:tcPr>
            <w:tcW w:w="74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 w:cs="Times New Roman"/>
                <w:color w:val="0000FF"/>
                <w:sz w:val="21"/>
                <w:szCs w:val="21"/>
                <w:highlight w:val="none"/>
                <w:lang w:val="en-US" w:eastAsia="zh-CN"/>
              </w:rPr>
            </w:pPr>
            <w:r>
              <w:rPr>
                <w:rFonts w:hint="eastAsia" w:cs="Times New Roman"/>
                <w:color w:val="0000FF"/>
                <w:sz w:val="21"/>
                <w:szCs w:val="21"/>
                <w:highlight w:val="none"/>
                <w:lang w:val="en-US" w:eastAsia="zh-CN"/>
              </w:rPr>
              <w:t>54.1</w:t>
            </w:r>
          </w:p>
        </w:tc>
        <w:tc>
          <w:tcPr>
            <w:tcW w:w="1020"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rPr>
            </w:pPr>
            <w:r>
              <w:rPr>
                <w:rFonts w:hint="eastAsia" w:cs="Times New Roman"/>
                <w:color w:val="0000FF"/>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tblHeader/>
          <w:jc w:val="center"/>
        </w:trPr>
        <w:tc>
          <w:tcPr>
            <w:tcW w:w="515"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羊拉昔</w:t>
            </w:r>
          </w:p>
        </w:tc>
        <w:tc>
          <w:tcPr>
            <w:tcW w:w="631"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eastAsia="zh-CN"/>
              </w:rPr>
              <w:t>管道东侧</w:t>
            </w:r>
          </w:p>
        </w:tc>
        <w:tc>
          <w:tcPr>
            <w:tcW w:w="648"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15m</w:t>
            </w:r>
          </w:p>
        </w:tc>
        <w:tc>
          <w:tcPr>
            <w:tcW w:w="807"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auto"/>
                <w:sz w:val="21"/>
                <w:szCs w:val="21"/>
                <w:highlight w:val="none"/>
                <w:lang w:val="en-US" w:eastAsia="zh-CN"/>
              </w:rPr>
            </w:pPr>
            <w:r>
              <w:rPr>
                <w:rFonts w:hint="eastAsia" w:eastAsia="宋" w:cs="Times New Roman"/>
                <w:color w:val="0000FF"/>
                <w:sz w:val="21"/>
                <w:szCs w:val="21"/>
                <w:highlight w:val="none"/>
                <w:lang w:val="en-US" w:eastAsia="zh-CN"/>
              </w:rPr>
              <w:t>50.8</w:t>
            </w:r>
          </w:p>
        </w:tc>
        <w:tc>
          <w:tcPr>
            <w:tcW w:w="631"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52</w:t>
            </w:r>
          </w:p>
        </w:tc>
        <w:tc>
          <w:tcPr>
            <w:tcW w:w="74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 w:cs="Times New Roman"/>
                <w:color w:val="0000FF"/>
                <w:sz w:val="21"/>
                <w:szCs w:val="21"/>
                <w:highlight w:val="none"/>
                <w:lang w:val="en-US" w:eastAsia="zh-CN"/>
              </w:rPr>
            </w:pPr>
            <w:r>
              <w:rPr>
                <w:rFonts w:hint="eastAsia" w:cs="Times New Roman"/>
                <w:color w:val="0000FF"/>
                <w:sz w:val="21"/>
                <w:szCs w:val="21"/>
                <w:highlight w:val="none"/>
                <w:lang w:val="en-US" w:eastAsia="zh-CN"/>
              </w:rPr>
              <w:t>54.5</w:t>
            </w:r>
          </w:p>
        </w:tc>
        <w:tc>
          <w:tcPr>
            <w:tcW w:w="1020"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rPr>
            </w:pPr>
            <w:r>
              <w:rPr>
                <w:rFonts w:hint="eastAsia" w:cs="Times New Roman"/>
                <w:color w:val="0000FF"/>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tblHeader/>
          <w:jc w:val="center"/>
        </w:trPr>
        <w:tc>
          <w:tcPr>
            <w:tcW w:w="515"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姜驿乡</w:t>
            </w:r>
          </w:p>
        </w:tc>
        <w:tc>
          <w:tcPr>
            <w:tcW w:w="631"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eastAsia="zh-CN"/>
              </w:rPr>
              <w:t>管道东侧</w:t>
            </w:r>
          </w:p>
        </w:tc>
        <w:tc>
          <w:tcPr>
            <w:tcW w:w="648"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26</w:t>
            </w:r>
            <w:r>
              <w:rPr>
                <w:rFonts w:hint="eastAsia" w:ascii="Times New Roman" w:hAnsi="Times New Roman" w:cs="Times New Roman"/>
                <w:color w:val="auto"/>
                <w:sz w:val="21"/>
                <w:szCs w:val="21"/>
                <w:highlight w:val="none"/>
                <w:lang w:val="en-US" w:eastAsia="zh-CN"/>
              </w:rPr>
              <w:t>m</w:t>
            </w:r>
          </w:p>
        </w:tc>
        <w:tc>
          <w:tcPr>
            <w:tcW w:w="807"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auto"/>
                <w:sz w:val="21"/>
                <w:szCs w:val="21"/>
                <w:highlight w:val="none"/>
                <w:lang w:val="en-US" w:eastAsia="zh-CN"/>
              </w:rPr>
            </w:pPr>
            <w:r>
              <w:rPr>
                <w:rFonts w:hint="eastAsia" w:eastAsia="宋" w:cs="Times New Roman"/>
                <w:color w:val="0000FF"/>
                <w:sz w:val="21"/>
                <w:szCs w:val="21"/>
                <w:highlight w:val="none"/>
                <w:lang w:val="en-US" w:eastAsia="zh-CN"/>
              </w:rPr>
              <w:t>46.0</w:t>
            </w:r>
          </w:p>
        </w:tc>
        <w:tc>
          <w:tcPr>
            <w:tcW w:w="631"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54</w:t>
            </w:r>
          </w:p>
        </w:tc>
        <w:tc>
          <w:tcPr>
            <w:tcW w:w="74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 w:cs="Times New Roman"/>
                <w:color w:val="0000FF"/>
                <w:sz w:val="21"/>
                <w:szCs w:val="21"/>
                <w:highlight w:val="none"/>
                <w:lang w:val="en-US" w:eastAsia="zh-CN"/>
              </w:rPr>
            </w:pPr>
            <w:r>
              <w:rPr>
                <w:rFonts w:hint="eastAsia" w:cs="Times New Roman"/>
                <w:color w:val="0000FF"/>
                <w:sz w:val="21"/>
                <w:szCs w:val="21"/>
                <w:highlight w:val="none"/>
                <w:lang w:val="en-US" w:eastAsia="zh-CN"/>
              </w:rPr>
              <w:t>54.6</w:t>
            </w:r>
          </w:p>
        </w:tc>
        <w:tc>
          <w:tcPr>
            <w:tcW w:w="1020"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rPr>
            </w:pPr>
            <w:r>
              <w:rPr>
                <w:rFonts w:hint="eastAsia" w:cs="Times New Roman"/>
                <w:color w:val="0000FF"/>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tblHeader/>
          <w:jc w:val="center"/>
        </w:trPr>
        <w:tc>
          <w:tcPr>
            <w:tcW w:w="515"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红坡村</w:t>
            </w:r>
          </w:p>
        </w:tc>
        <w:tc>
          <w:tcPr>
            <w:tcW w:w="631"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eastAsia="zh-CN"/>
              </w:rPr>
              <w:t>管道北侧</w:t>
            </w:r>
          </w:p>
        </w:tc>
        <w:tc>
          <w:tcPr>
            <w:tcW w:w="648"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15</w:t>
            </w:r>
            <w:r>
              <w:rPr>
                <w:rFonts w:hint="eastAsia" w:ascii="Times New Roman" w:hAnsi="Times New Roman" w:cs="Times New Roman"/>
                <w:color w:val="auto"/>
                <w:sz w:val="21"/>
                <w:szCs w:val="21"/>
                <w:highlight w:val="none"/>
                <w:lang w:val="en-US" w:eastAsia="zh-CN"/>
              </w:rPr>
              <w:t>m</w:t>
            </w:r>
          </w:p>
        </w:tc>
        <w:tc>
          <w:tcPr>
            <w:tcW w:w="807"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auto"/>
                <w:sz w:val="21"/>
                <w:szCs w:val="21"/>
                <w:highlight w:val="none"/>
                <w:lang w:val="en-US" w:eastAsia="zh-CN"/>
              </w:rPr>
            </w:pPr>
            <w:r>
              <w:rPr>
                <w:rFonts w:hint="eastAsia" w:eastAsia="宋" w:cs="Times New Roman"/>
                <w:color w:val="0000FF"/>
                <w:sz w:val="21"/>
                <w:szCs w:val="21"/>
                <w:highlight w:val="none"/>
                <w:lang w:val="en-US" w:eastAsia="zh-CN"/>
              </w:rPr>
              <w:t>50.8</w:t>
            </w:r>
          </w:p>
        </w:tc>
        <w:tc>
          <w:tcPr>
            <w:tcW w:w="631"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52</w:t>
            </w:r>
          </w:p>
        </w:tc>
        <w:tc>
          <w:tcPr>
            <w:tcW w:w="74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 w:cs="Times New Roman"/>
                <w:color w:val="0000FF"/>
                <w:sz w:val="21"/>
                <w:szCs w:val="21"/>
                <w:highlight w:val="none"/>
                <w:lang w:val="en-US" w:eastAsia="zh-CN"/>
              </w:rPr>
            </w:pPr>
            <w:r>
              <w:rPr>
                <w:rFonts w:hint="eastAsia" w:cs="Times New Roman"/>
                <w:color w:val="0000FF"/>
                <w:sz w:val="21"/>
                <w:szCs w:val="21"/>
                <w:highlight w:val="none"/>
                <w:lang w:val="en-US" w:eastAsia="zh-CN"/>
              </w:rPr>
              <w:t>54.5</w:t>
            </w:r>
          </w:p>
        </w:tc>
        <w:tc>
          <w:tcPr>
            <w:tcW w:w="1020"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rPr>
            </w:pPr>
            <w:r>
              <w:rPr>
                <w:rFonts w:hint="eastAsia" w:cs="Times New Roman"/>
                <w:color w:val="0000FF"/>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tblHeader/>
          <w:jc w:val="center"/>
        </w:trPr>
        <w:tc>
          <w:tcPr>
            <w:tcW w:w="515"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姜驿大村</w:t>
            </w:r>
          </w:p>
        </w:tc>
        <w:tc>
          <w:tcPr>
            <w:tcW w:w="631"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eastAsia="zh-CN"/>
              </w:rPr>
              <w:t>管道东侧</w:t>
            </w:r>
          </w:p>
        </w:tc>
        <w:tc>
          <w:tcPr>
            <w:tcW w:w="648"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51</w:t>
            </w:r>
            <w:r>
              <w:rPr>
                <w:rFonts w:hint="eastAsia" w:ascii="Times New Roman" w:hAnsi="Times New Roman" w:cs="Times New Roman"/>
                <w:color w:val="auto"/>
                <w:sz w:val="21"/>
                <w:szCs w:val="21"/>
                <w:highlight w:val="none"/>
                <w:lang w:val="en-US" w:eastAsia="zh-CN"/>
              </w:rPr>
              <w:t>m</w:t>
            </w:r>
          </w:p>
        </w:tc>
        <w:tc>
          <w:tcPr>
            <w:tcW w:w="807"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auto"/>
                <w:sz w:val="21"/>
                <w:szCs w:val="21"/>
                <w:highlight w:val="none"/>
                <w:lang w:val="en-US" w:eastAsia="zh-CN"/>
              </w:rPr>
            </w:pPr>
            <w:r>
              <w:rPr>
                <w:rFonts w:hint="eastAsia" w:eastAsia="宋" w:cs="Times New Roman"/>
                <w:color w:val="0000FF"/>
                <w:sz w:val="21"/>
                <w:szCs w:val="21"/>
                <w:highlight w:val="none"/>
                <w:lang w:val="en-US" w:eastAsia="zh-CN"/>
              </w:rPr>
              <w:t>38.6</w:t>
            </w:r>
          </w:p>
        </w:tc>
        <w:tc>
          <w:tcPr>
            <w:tcW w:w="631"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54</w:t>
            </w:r>
          </w:p>
        </w:tc>
        <w:tc>
          <w:tcPr>
            <w:tcW w:w="74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 w:cs="Times New Roman"/>
                <w:color w:val="0000FF"/>
                <w:sz w:val="21"/>
                <w:szCs w:val="21"/>
                <w:highlight w:val="none"/>
                <w:lang w:val="en-US" w:eastAsia="zh-CN"/>
              </w:rPr>
            </w:pPr>
            <w:r>
              <w:rPr>
                <w:rFonts w:hint="eastAsia" w:cs="Times New Roman"/>
                <w:color w:val="0000FF"/>
                <w:sz w:val="21"/>
                <w:szCs w:val="21"/>
                <w:highlight w:val="none"/>
                <w:lang w:val="en-US" w:eastAsia="zh-CN"/>
              </w:rPr>
              <w:t>54.1</w:t>
            </w:r>
          </w:p>
        </w:tc>
        <w:tc>
          <w:tcPr>
            <w:tcW w:w="1020"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rPr>
            </w:pPr>
            <w:r>
              <w:rPr>
                <w:rFonts w:hint="eastAsia" w:cs="Times New Roman"/>
                <w:color w:val="0000FF"/>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tblHeader/>
          <w:jc w:val="center"/>
        </w:trPr>
        <w:tc>
          <w:tcPr>
            <w:tcW w:w="515"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拉黑沟</w:t>
            </w:r>
          </w:p>
        </w:tc>
        <w:tc>
          <w:tcPr>
            <w:tcW w:w="631"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eastAsia="zh-CN"/>
              </w:rPr>
              <w:t>管道北侧</w:t>
            </w:r>
          </w:p>
        </w:tc>
        <w:tc>
          <w:tcPr>
            <w:tcW w:w="648"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82</w:t>
            </w:r>
            <w:r>
              <w:rPr>
                <w:rFonts w:hint="eastAsia" w:ascii="Times New Roman" w:hAnsi="Times New Roman" w:cs="Times New Roman"/>
                <w:color w:val="auto"/>
                <w:sz w:val="21"/>
                <w:szCs w:val="21"/>
                <w:highlight w:val="none"/>
                <w:lang w:val="en-US" w:eastAsia="zh-CN"/>
              </w:rPr>
              <w:t>m</w:t>
            </w:r>
          </w:p>
        </w:tc>
        <w:tc>
          <w:tcPr>
            <w:tcW w:w="807"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auto"/>
                <w:sz w:val="21"/>
                <w:szCs w:val="21"/>
                <w:highlight w:val="none"/>
                <w:lang w:val="en-US" w:eastAsia="zh-CN"/>
              </w:rPr>
            </w:pPr>
            <w:r>
              <w:rPr>
                <w:rFonts w:hint="eastAsia" w:eastAsia="宋" w:cs="Times New Roman"/>
                <w:color w:val="auto"/>
                <w:sz w:val="21"/>
                <w:szCs w:val="21"/>
                <w:highlight w:val="none"/>
                <w:lang w:val="en-US" w:eastAsia="zh-CN"/>
              </w:rPr>
              <w:t>36.1</w:t>
            </w:r>
          </w:p>
        </w:tc>
        <w:tc>
          <w:tcPr>
            <w:tcW w:w="631"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52</w:t>
            </w:r>
          </w:p>
        </w:tc>
        <w:tc>
          <w:tcPr>
            <w:tcW w:w="74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 w:cs="Times New Roman"/>
                <w:color w:val="auto"/>
                <w:sz w:val="21"/>
                <w:szCs w:val="21"/>
                <w:highlight w:val="none"/>
                <w:lang w:val="en-US" w:eastAsia="zh-CN"/>
              </w:rPr>
            </w:pPr>
            <w:r>
              <w:rPr>
                <w:rFonts w:hint="eastAsia" w:cs="Times New Roman"/>
                <w:color w:val="0000FF"/>
                <w:sz w:val="21"/>
                <w:szCs w:val="21"/>
                <w:highlight w:val="none"/>
                <w:lang w:val="en-US" w:eastAsia="zh-CN"/>
              </w:rPr>
              <w:t>52.2</w:t>
            </w:r>
          </w:p>
        </w:tc>
        <w:tc>
          <w:tcPr>
            <w:tcW w:w="1020"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sz w:val="21"/>
                <w:szCs w:val="21"/>
                <w:highlight w:val="none"/>
              </w:rPr>
            </w:pPr>
            <w:r>
              <w:rPr>
                <w:rFonts w:hint="eastAsia" w:cs="Times New Roman"/>
                <w:color w:val="0000FF"/>
                <w:sz w:val="21"/>
                <w:szCs w:val="21"/>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tblHeader/>
          <w:jc w:val="center"/>
        </w:trPr>
        <w:tc>
          <w:tcPr>
            <w:tcW w:w="515"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白秧树村</w:t>
            </w:r>
          </w:p>
        </w:tc>
        <w:tc>
          <w:tcPr>
            <w:tcW w:w="631" w:type="pct"/>
            <w:noWrap w:val="0"/>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eastAsia="zh-CN"/>
              </w:rPr>
              <w:t>管道东侧</w:t>
            </w:r>
          </w:p>
        </w:tc>
        <w:tc>
          <w:tcPr>
            <w:tcW w:w="648"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10</w:t>
            </w:r>
            <w:r>
              <w:rPr>
                <w:rFonts w:hint="eastAsia" w:ascii="Times New Roman" w:hAnsi="Times New Roman" w:cs="Times New Roman"/>
                <w:color w:val="auto"/>
                <w:sz w:val="21"/>
                <w:szCs w:val="21"/>
                <w:highlight w:val="none"/>
                <w:lang w:val="en-US" w:eastAsia="zh-CN"/>
              </w:rPr>
              <w:t>m</w:t>
            </w:r>
          </w:p>
        </w:tc>
        <w:tc>
          <w:tcPr>
            <w:tcW w:w="807"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 w:cs="Times New Roman"/>
                <w:color w:val="auto"/>
                <w:sz w:val="21"/>
                <w:szCs w:val="21"/>
                <w:highlight w:val="none"/>
                <w:lang w:val="en-US" w:eastAsia="zh-CN"/>
              </w:rPr>
            </w:pPr>
            <w:r>
              <w:rPr>
                <w:rFonts w:hint="eastAsia" w:eastAsia="宋" w:cs="Times New Roman"/>
                <w:color w:val="0000FF"/>
                <w:sz w:val="21"/>
                <w:szCs w:val="21"/>
                <w:highlight w:val="none"/>
                <w:lang w:val="en-US" w:eastAsia="zh-CN"/>
              </w:rPr>
              <w:t>54.34</w:t>
            </w:r>
          </w:p>
        </w:tc>
        <w:tc>
          <w:tcPr>
            <w:tcW w:w="631" w:type="pct"/>
            <w:noWrap w:val="0"/>
            <w:vAlign w:val="center"/>
          </w:tcPr>
          <w:p>
            <w:pPr>
              <w:pStyle w:val="42"/>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53</w:t>
            </w:r>
          </w:p>
        </w:tc>
        <w:tc>
          <w:tcPr>
            <w:tcW w:w="74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 w:cs="Times New Roman"/>
                <w:color w:val="auto"/>
                <w:sz w:val="21"/>
                <w:szCs w:val="21"/>
                <w:highlight w:val="none"/>
                <w:lang w:val="en-US" w:eastAsia="zh-CN"/>
              </w:rPr>
            </w:pPr>
            <w:r>
              <w:rPr>
                <w:rFonts w:hint="eastAsia" w:cs="Times New Roman"/>
                <w:color w:val="0000FF"/>
                <w:sz w:val="21"/>
                <w:szCs w:val="21"/>
                <w:highlight w:val="none"/>
                <w:lang w:val="en-US" w:eastAsia="zh-CN"/>
              </w:rPr>
              <w:t>56.7</w:t>
            </w:r>
          </w:p>
        </w:tc>
        <w:tc>
          <w:tcPr>
            <w:tcW w:w="1020"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FF"/>
                <w:sz w:val="21"/>
                <w:szCs w:val="21"/>
                <w:highlight w:val="none"/>
                <w:lang w:val="en-US" w:eastAsia="zh-CN"/>
              </w:rPr>
            </w:pPr>
            <w:r>
              <w:rPr>
                <w:rFonts w:hint="eastAsia" w:cs="Times New Roman"/>
                <w:color w:val="0000FF"/>
                <w:sz w:val="21"/>
                <w:szCs w:val="21"/>
                <w:highlight w:val="none"/>
                <w:lang w:val="en-US" w:eastAsia="zh-CN"/>
              </w:rPr>
              <w:t>超标</w:t>
            </w:r>
          </w:p>
        </w:tc>
      </w:tr>
    </w:tbl>
    <w:p>
      <w:pPr>
        <w:ind w:firstLine="480"/>
        <w:rPr>
          <w:rFonts w:hint="default" w:ascii="Times New Roman" w:hAnsi="Times New Roman" w:cs="Times New Roman"/>
          <w:color w:val="auto"/>
          <w:highlight w:val="none"/>
        </w:rPr>
      </w:pPr>
      <w:r>
        <w:rPr>
          <w:rFonts w:hint="eastAsia"/>
          <w:color w:val="auto"/>
          <w:lang w:val="en-US" w:eastAsia="zh-CN"/>
        </w:rPr>
        <w:t>根据上述预测结果，除白秧树村外，其余村庄噪声背景值叠加预测值后均可达标。</w:t>
      </w:r>
      <w:r>
        <w:rPr>
          <w:rFonts w:hint="default" w:ascii="Times New Roman" w:hAnsi="Times New Roman" w:cs="Times New Roman"/>
          <w:color w:val="auto"/>
          <w:highlight w:val="none"/>
        </w:rPr>
        <w:t>本次评价</w:t>
      </w:r>
      <w:r>
        <w:rPr>
          <w:rFonts w:hint="eastAsia" w:cs="Times New Roman"/>
          <w:color w:val="auto"/>
          <w:highlight w:val="none"/>
          <w:lang w:val="en-US" w:eastAsia="zh-CN"/>
        </w:rPr>
        <w:t>提出</w:t>
      </w:r>
      <w:r>
        <w:rPr>
          <w:rFonts w:hint="default" w:ascii="Times New Roman" w:hAnsi="Times New Roman" w:cs="Times New Roman"/>
          <w:color w:val="auto"/>
          <w:highlight w:val="none"/>
        </w:rPr>
        <w:t>施工过程中应提前张贴施工告知声明，</w:t>
      </w:r>
      <w:r>
        <w:rPr>
          <w:rFonts w:hint="eastAsia" w:cs="Times New Roman"/>
          <w:color w:val="auto"/>
          <w:highlight w:val="none"/>
          <w:lang w:val="en-US" w:eastAsia="zh-CN"/>
        </w:rPr>
        <w:t>确实落实</w:t>
      </w:r>
      <w:r>
        <w:rPr>
          <w:rFonts w:hint="default" w:ascii="Times New Roman" w:hAnsi="Times New Roman" w:cs="Times New Roman"/>
          <w:color w:val="auto"/>
          <w:highlight w:val="none"/>
        </w:rPr>
        <w:t>在施工区</w:t>
      </w:r>
      <w:r>
        <w:rPr>
          <w:rFonts w:hint="eastAsia" w:cs="Times New Roman"/>
          <w:color w:val="auto"/>
          <w:highlight w:val="none"/>
          <w:lang w:val="en-US" w:eastAsia="zh-CN"/>
        </w:rPr>
        <w:t>靠近敏感点一侧</w:t>
      </w:r>
      <w:r>
        <w:rPr>
          <w:rFonts w:hint="default" w:ascii="Times New Roman" w:hAnsi="Times New Roman" w:cs="Times New Roman"/>
          <w:color w:val="auto"/>
          <w:highlight w:val="none"/>
        </w:rPr>
        <w:t>设置隔声挡板，同时应避开昼间午休和夜间时段施工</w:t>
      </w:r>
      <w:r>
        <w:rPr>
          <w:rFonts w:hint="eastAsia" w:cs="Times New Roman"/>
          <w:color w:val="auto"/>
          <w:highlight w:val="none"/>
          <w:lang w:val="en-US" w:eastAsia="zh-CN"/>
        </w:rPr>
        <w:t>等措施后</w:t>
      </w:r>
      <w:r>
        <w:rPr>
          <w:rFonts w:hint="default" w:ascii="Times New Roman" w:hAnsi="Times New Roman" w:cs="Times New Roman"/>
          <w:color w:val="auto"/>
          <w:highlight w:val="none"/>
        </w:rPr>
        <w:t>。由于本项目施工过程是临时的，在施工期结束后这部分影响将随之消失。</w:t>
      </w:r>
    </w:p>
    <w:p>
      <w:pPr>
        <w:pStyle w:val="5"/>
        <w:numPr>
          <w:ilvl w:val="3"/>
          <w:numId w:val="2"/>
        </w:numPr>
        <w:tabs>
          <w:tab w:val="clear" w:pos="0"/>
        </w:tabs>
        <w:bidi w:val="0"/>
        <w:ind w:left="48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流动线源噪声影响预测</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交通流动噪声主要发生在施工区内外交通道路沿线，其噪声源强的大小与车流量、车型、车速及路况等因素有关。本次环评拟根据施工道路两侧敏感目标性质及分布状况、地面声障物分布情况等，结合施工运输车辆行驶方式和流量，预测施工交通流动噪声对道路两侧声环境的影响。</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机动车辆产生的噪声，距行驶路面中心7.5m处的平均辐射噪声级，可按下列各式计算：</w:t>
      </w:r>
    </w:p>
    <w:p>
      <w:pPr>
        <w:ind w:firstLine="480"/>
        <w:rPr>
          <w:rFonts w:hint="default" w:ascii="Times New Roman" w:hAnsi="Times New Roman" w:cs="Times New Roman"/>
          <w:color w:val="auto"/>
          <w:sz w:val="16"/>
          <w:szCs w:val="16"/>
          <w:highlight w:val="none"/>
        </w:rPr>
      </w:pPr>
      <w:r>
        <w:rPr>
          <w:rFonts w:hint="default" w:ascii="Times New Roman" w:hAnsi="Times New Roman" w:cs="Times New Roman"/>
          <w:color w:val="auto"/>
          <w:highlight w:val="none"/>
        </w:rPr>
        <w:t>小型车（3.5t以下）：L</w:t>
      </w:r>
      <w:r>
        <w:rPr>
          <w:rFonts w:hint="default" w:ascii="Times New Roman" w:hAnsi="Times New Roman" w:cs="Times New Roman"/>
          <w:color w:val="auto"/>
          <w:highlight w:val="none"/>
          <w:vertAlign w:val="subscript"/>
        </w:rPr>
        <w:t>S</w:t>
      </w:r>
      <w:r>
        <w:rPr>
          <w:rFonts w:hint="default" w:ascii="Times New Roman" w:hAnsi="Times New Roman" w:cs="Times New Roman"/>
          <w:color w:val="auto"/>
          <w:highlight w:val="none"/>
        </w:rPr>
        <w:t>=12.60+34.73 lgV</w:t>
      </w:r>
      <w:r>
        <w:rPr>
          <w:rFonts w:hint="default" w:ascii="Times New Roman" w:hAnsi="Times New Roman" w:cs="Times New Roman"/>
          <w:color w:val="auto"/>
          <w:sz w:val="16"/>
          <w:szCs w:val="16"/>
          <w:highlight w:val="none"/>
        </w:rPr>
        <w:t>L</w:t>
      </w:r>
    </w:p>
    <w:p>
      <w:pPr>
        <w:ind w:firstLine="480"/>
        <w:rPr>
          <w:rFonts w:hint="default" w:ascii="Times New Roman" w:hAnsi="Times New Roman" w:cs="Times New Roman"/>
          <w:color w:val="auto"/>
          <w:sz w:val="16"/>
          <w:szCs w:val="16"/>
          <w:highlight w:val="none"/>
        </w:rPr>
      </w:pPr>
      <w:r>
        <w:rPr>
          <w:rFonts w:hint="default" w:ascii="Times New Roman" w:hAnsi="Times New Roman" w:cs="Times New Roman"/>
          <w:color w:val="auto"/>
          <w:highlight w:val="none"/>
        </w:rPr>
        <w:t>中型车（3.5-12.0t）：L</w:t>
      </w:r>
      <w:r>
        <w:rPr>
          <w:rFonts w:hint="default" w:ascii="Times New Roman" w:hAnsi="Times New Roman" w:cs="Times New Roman"/>
          <w:color w:val="auto"/>
          <w:highlight w:val="none"/>
          <w:vertAlign w:val="subscript"/>
        </w:rPr>
        <w:t>M</w:t>
      </w:r>
      <w:r>
        <w:rPr>
          <w:rFonts w:hint="default" w:ascii="Times New Roman" w:hAnsi="Times New Roman" w:cs="Times New Roman"/>
          <w:color w:val="auto"/>
          <w:highlight w:val="none"/>
        </w:rPr>
        <w:t>=8.80+40.48lgV</w:t>
      </w:r>
      <w:r>
        <w:rPr>
          <w:rFonts w:hint="default" w:ascii="Times New Roman" w:hAnsi="Times New Roman" w:cs="Times New Roman"/>
          <w:color w:val="auto"/>
          <w:sz w:val="16"/>
          <w:szCs w:val="16"/>
          <w:highlight w:val="none"/>
        </w:rPr>
        <w:t>M</w:t>
      </w:r>
    </w:p>
    <w:p>
      <w:pPr>
        <w:ind w:firstLine="439" w:firstLineChars="183"/>
        <w:rPr>
          <w:rFonts w:hint="default" w:ascii="Times New Roman" w:hAnsi="Times New Roman" w:cs="Times New Roman"/>
          <w:color w:val="auto"/>
          <w:sz w:val="16"/>
          <w:szCs w:val="16"/>
          <w:highlight w:val="none"/>
        </w:rPr>
      </w:pPr>
      <w:r>
        <w:rPr>
          <w:rFonts w:hint="default" w:ascii="Times New Roman" w:hAnsi="Times New Roman" w:cs="Times New Roman"/>
          <w:color w:val="auto"/>
          <w:highlight w:val="none"/>
        </w:rPr>
        <w:t>大型车（12.0t以上）：L</w:t>
      </w:r>
      <w:r>
        <w:rPr>
          <w:rFonts w:hint="default" w:ascii="Times New Roman" w:hAnsi="Times New Roman" w:cs="Times New Roman"/>
          <w:color w:val="auto"/>
          <w:highlight w:val="none"/>
          <w:vertAlign w:val="subscript"/>
        </w:rPr>
        <w:t>H</w:t>
      </w:r>
      <w:r>
        <w:rPr>
          <w:rFonts w:hint="default" w:ascii="Times New Roman" w:hAnsi="Times New Roman" w:cs="Times New Roman"/>
          <w:color w:val="auto"/>
          <w:highlight w:val="none"/>
        </w:rPr>
        <w:t>=22.0+36.32lgV</w:t>
      </w:r>
      <w:r>
        <w:rPr>
          <w:rFonts w:hint="default" w:ascii="Times New Roman" w:hAnsi="Times New Roman" w:cs="Times New Roman"/>
          <w:color w:val="auto"/>
          <w:sz w:val="16"/>
          <w:szCs w:val="16"/>
          <w:highlight w:val="none"/>
        </w:rPr>
        <w:t xml:space="preserve">H </w:t>
      </w:r>
    </w:p>
    <w:p>
      <w:pPr>
        <w:ind w:firstLine="480"/>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施工区以大型车辆为主（主要为15t~25t），选择单车种（15t）进行预测。交通噪声预测范围在距道路中心线200m内。预测点接受到的交通噪声值为：</w:t>
      </w:r>
    </w:p>
    <w:p>
      <w:pPr>
        <w:ind w:firstLine="48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805680" cy="563245"/>
            <wp:effectExtent l="0" t="0" r="13970" b="8255"/>
            <wp:docPr id="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pic:cNvPicPr>
                      <a:picLocks noChangeAspect="1"/>
                    </pic:cNvPicPr>
                  </pic:nvPicPr>
                  <pic:blipFill>
                    <a:blip r:embed="rId81"/>
                    <a:stretch>
                      <a:fillRect/>
                    </a:stretch>
                  </pic:blipFill>
                  <pic:spPr>
                    <a:xfrm>
                      <a:off x="0" y="0"/>
                      <a:ext cx="4805680" cy="563245"/>
                    </a:xfrm>
                    <a:prstGeom prst="rect">
                      <a:avLst/>
                    </a:prstGeom>
                    <a:noFill/>
                    <a:ln>
                      <a:noFill/>
                    </a:ln>
                  </pic:spPr>
                </pic:pic>
              </a:graphicData>
            </a:graphic>
          </wp:inline>
        </w:drawing>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84835" cy="308610"/>
            <wp:effectExtent l="0" t="0" r="5715" b="15240"/>
            <wp:docPr id="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1"/>
                    <pic:cNvPicPr>
                      <a:picLocks noChangeAspect="1"/>
                    </pic:cNvPicPr>
                  </pic:nvPicPr>
                  <pic:blipFill>
                    <a:blip r:embed="rId82"/>
                    <a:stretch>
                      <a:fillRect/>
                    </a:stretch>
                  </pic:blipFill>
                  <pic:spPr>
                    <a:xfrm>
                      <a:off x="0" y="0"/>
                      <a:ext cx="584835" cy="308610"/>
                    </a:xfrm>
                    <a:prstGeom prst="rect">
                      <a:avLst/>
                    </a:prstGeom>
                    <a:noFill/>
                    <a:ln>
                      <a:noFill/>
                    </a:ln>
                  </pic:spPr>
                </pic:pic>
              </a:graphicData>
            </a:graphic>
          </wp:inline>
        </w:drawing>
      </w:r>
      <w:r>
        <w:rPr>
          <w:rFonts w:hint="default" w:ascii="Times New Roman" w:hAnsi="Times New Roman" w:cs="Times New Roman"/>
          <w:color w:val="auto"/>
          <w:highlight w:val="none"/>
        </w:rPr>
        <w:t>— 第i类车的小时等效声级，dB（A）；</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36245" cy="351155"/>
            <wp:effectExtent l="0" t="0" r="1905" b="10795"/>
            <wp:docPr id="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2"/>
                    <pic:cNvPicPr>
                      <a:picLocks noChangeAspect="1"/>
                    </pic:cNvPicPr>
                  </pic:nvPicPr>
                  <pic:blipFill>
                    <a:blip r:embed="rId83"/>
                    <a:stretch>
                      <a:fillRect/>
                    </a:stretch>
                  </pic:blipFill>
                  <pic:spPr>
                    <a:xfrm>
                      <a:off x="0" y="0"/>
                      <a:ext cx="436245" cy="351155"/>
                    </a:xfrm>
                    <a:prstGeom prst="rect">
                      <a:avLst/>
                    </a:prstGeom>
                    <a:noFill/>
                    <a:ln>
                      <a:noFill/>
                    </a:ln>
                  </pic:spPr>
                </pic:pic>
              </a:graphicData>
            </a:graphic>
          </wp:inline>
        </w:drawing>
      </w:r>
      <w:r>
        <w:rPr>
          <w:rFonts w:hint="default" w:ascii="Times New Roman" w:hAnsi="Times New Roman" w:cs="Times New Roman"/>
          <w:color w:val="auto"/>
          <w:highlight w:val="none"/>
        </w:rPr>
        <w:t>— 第i类车速度为Vi，km/h；水平距离为7.5米处的能量平均A声级，dB(A)；</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Ni— 昼间，夜间通过某个预测点的第i类车平均小时车流量，辆/h；</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r — 从车道中心线到预测点的距离，m；（A12）适用于r＞7.5m预测点的噪声预测。</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Vi — 第i类车的平均车速，km/h；</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T — 计算等效声级的时间，1h；</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Ψ</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、Ψ</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——预测点到有限长路段两端的张角，弧度；式中取Ψ</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=Ψ</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=π/2；</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△L—由其他因素引起的修正量，dB(A)。</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本次预测忽略△L的影响，按最不利条件（即最靠近公路最近距离、且未采取任何措施时）预测各路段交通噪声影响程度。</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场内施工道路，按四级路设计，为泥结碎石、水泥路面，道路路宽为3.5m。按照最高时段车流量进行预测，影响范围预测详见表</w:t>
      </w:r>
      <w:r>
        <w:rPr>
          <w:rFonts w:hint="eastAsia" w:cs="Times New Roman"/>
          <w:color w:val="auto"/>
          <w:highlight w:val="none"/>
          <w:lang w:val="en-US" w:eastAsia="zh-CN"/>
        </w:rPr>
        <w:t>5.1.5-4</w:t>
      </w:r>
      <w:r>
        <w:rPr>
          <w:rFonts w:hint="default" w:ascii="Times New Roman" w:hAnsi="Times New Roman" w:cs="Times New Roman"/>
          <w:color w:val="auto"/>
          <w:highlight w:val="none"/>
        </w:rPr>
        <w:t>。</w:t>
      </w:r>
    </w:p>
    <w:p>
      <w:pPr>
        <w:pStyle w:val="40"/>
        <w:ind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eastAsia" w:cs="Times New Roman"/>
          <w:color w:val="auto"/>
          <w:highlight w:val="none"/>
          <w:lang w:val="en-US" w:eastAsia="zh-CN"/>
        </w:rPr>
        <w:t>5.1.5-4</w:t>
      </w:r>
      <w:r>
        <w:rPr>
          <w:rFonts w:hint="default" w:ascii="Times New Roman" w:hAnsi="Times New Roman" w:cs="Times New Roman"/>
          <w:color w:val="auto"/>
          <w:highlight w:val="none"/>
        </w:rPr>
        <w:t xml:space="preserve">  道路高峰时段噪声预测值</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349"/>
        <w:gridCol w:w="1050"/>
        <w:gridCol w:w="663"/>
        <w:gridCol w:w="624"/>
        <w:gridCol w:w="624"/>
        <w:gridCol w:w="624"/>
        <w:gridCol w:w="624"/>
        <w:gridCol w:w="736"/>
        <w:gridCol w:w="736"/>
        <w:gridCol w:w="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41" w:type="dxa"/>
            <w:vMerge w:val="restart"/>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时间段</w:t>
            </w:r>
          </w:p>
        </w:tc>
        <w:tc>
          <w:tcPr>
            <w:tcW w:w="1349" w:type="dxa"/>
            <w:vMerge w:val="restart"/>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车流量</w:t>
            </w:r>
          </w:p>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（辆/单向·小时）</w:t>
            </w:r>
          </w:p>
        </w:tc>
        <w:tc>
          <w:tcPr>
            <w:tcW w:w="1050" w:type="dxa"/>
            <w:vMerge w:val="restart"/>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车速（km/h）</w:t>
            </w:r>
          </w:p>
        </w:tc>
        <w:tc>
          <w:tcPr>
            <w:tcW w:w="5383" w:type="dxa"/>
            <w:gridSpan w:val="8"/>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与声源不同距离的噪预测值 dB （A）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41" w:type="dxa"/>
            <w:vMerge w:val="continue"/>
            <w:noWrap w:val="0"/>
            <w:vAlign w:val="center"/>
          </w:tcPr>
          <w:p>
            <w:pPr>
              <w:pStyle w:val="42"/>
              <w:rPr>
                <w:rFonts w:hint="default" w:ascii="Times New Roman" w:hAnsi="Times New Roman" w:cs="Times New Roman"/>
                <w:color w:val="auto"/>
                <w:highlight w:val="none"/>
              </w:rPr>
            </w:pPr>
          </w:p>
        </w:tc>
        <w:tc>
          <w:tcPr>
            <w:tcW w:w="1349" w:type="dxa"/>
            <w:vMerge w:val="continue"/>
            <w:noWrap w:val="0"/>
            <w:vAlign w:val="center"/>
          </w:tcPr>
          <w:p>
            <w:pPr>
              <w:pStyle w:val="42"/>
              <w:rPr>
                <w:rFonts w:hint="default" w:ascii="Times New Roman" w:hAnsi="Times New Roman" w:cs="Times New Roman"/>
                <w:color w:val="auto"/>
                <w:highlight w:val="none"/>
              </w:rPr>
            </w:pPr>
          </w:p>
        </w:tc>
        <w:tc>
          <w:tcPr>
            <w:tcW w:w="1050" w:type="dxa"/>
            <w:vMerge w:val="continue"/>
            <w:noWrap w:val="0"/>
            <w:vAlign w:val="center"/>
          </w:tcPr>
          <w:p>
            <w:pPr>
              <w:pStyle w:val="42"/>
              <w:rPr>
                <w:rFonts w:hint="default" w:ascii="Times New Roman" w:hAnsi="Times New Roman" w:cs="Times New Roman"/>
                <w:color w:val="auto"/>
                <w:highlight w:val="none"/>
              </w:rPr>
            </w:pPr>
          </w:p>
        </w:tc>
        <w:tc>
          <w:tcPr>
            <w:tcW w:w="663"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10m</w:t>
            </w:r>
          </w:p>
        </w:tc>
        <w:tc>
          <w:tcPr>
            <w:tcW w:w="62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20m</w:t>
            </w:r>
          </w:p>
        </w:tc>
        <w:tc>
          <w:tcPr>
            <w:tcW w:w="62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50m</w:t>
            </w:r>
          </w:p>
        </w:tc>
        <w:tc>
          <w:tcPr>
            <w:tcW w:w="62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70m</w:t>
            </w:r>
          </w:p>
        </w:tc>
        <w:tc>
          <w:tcPr>
            <w:tcW w:w="62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80m</w:t>
            </w:r>
          </w:p>
        </w:tc>
        <w:tc>
          <w:tcPr>
            <w:tcW w:w="736"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100m</w:t>
            </w:r>
          </w:p>
        </w:tc>
        <w:tc>
          <w:tcPr>
            <w:tcW w:w="736"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150m</w:t>
            </w:r>
          </w:p>
        </w:tc>
        <w:tc>
          <w:tcPr>
            <w:tcW w:w="752"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200m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41"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1349"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1050"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15</w:t>
            </w:r>
          </w:p>
        </w:tc>
        <w:tc>
          <w:tcPr>
            <w:tcW w:w="663"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53</w:t>
            </w:r>
          </w:p>
        </w:tc>
        <w:tc>
          <w:tcPr>
            <w:tcW w:w="62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c>
          <w:tcPr>
            <w:tcW w:w="62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46</w:t>
            </w:r>
          </w:p>
        </w:tc>
        <w:tc>
          <w:tcPr>
            <w:tcW w:w="62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45</w:t>
            </w:r>
          </w:p>
        </w:tc>
        <w:tc>
          <w:tcPr>
            <w:tcW w:w="62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44</w:t>
            </w:r>
          </w:p>
        </w:tc>
        <w:tc>
          <w:tcPr>
            <w:tcW w:w="736"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43</w:t>
            </w:r>
          </w:p>
        </w:tc>
        <w:tc>
          <w:tcPr>
            <w:tcW w:w="736"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41</w:t>
            </w:r>
          </w:p>
        </w:tc>
        <w:tc>
          <w:tcPr>
            <w:tcW w:w="752"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741"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夜间</w:t>
            </w:r>
          </w:p>
        </w:tc>
        <w:tc>
          <w:tcPr>
            <w:tcW w:w="1349"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c>
          <w:tcPr>
            <w:tcW w:w="1050"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663"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46</w:t>
            </w:r>
          </w:p>
        </w:tc>
        <w:tc>
          <w:tcPr>
            <w:tcW w:w="62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43</w:t>
            </w:r>
          </w:p>
        </w:tc>
        <w:tc>
          <w:tcPr>
            <w:tcW w:w="62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39</w:t>
            </w:r>
          </w:p>
        </w:tc>
        <w:tc>
          <w:tcPr>
            <w:tcW w:w="62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38</w:t>
            </w:r>
          </w:p>
        </w:tc>
        <w:tc>
          <w:tcPr>
            <w:tcW w:w="624"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37</w:t>
            </w:r>
          </w:p>
        </w:tc>
        <w:tc>
          <w:tcPr>
            <w:tcW w:w="736"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36</w:t>
            </w:r>
          </w:p>
        </w:tc>
        <w:tc>
          <w:tcPr>
            <w:tcW w:w="736"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34</w:t>
            </w:r>
          </w:p>
        </w:tc>
        <w:tc>
          <w:tcPr>
            <w:tcW w:w="752"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33</w:t>
            </w:r>
          </w:p>
        </w:tc>
      </w:tr>
    </w:tbl>
    <w:p>
      <w:pPr>
        <w:ind w:firstLine="480"/>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由上表可知，工程施工交通流动噪声源昼间和夜间影响范围均小于10m。据现有施工道路两侧居民点距离道路中心线距离</w:t>
      </w:r>
      <w:r>
        <w:rPr>
          <w:rFonts w:hint="default" w:ascii="Times New Roman" w:hAnsi="Times New Roman" w:cs="Times New Roman"/>
          <w:color w:val="0000FF"/>
          <w:kern w:val="0"/>
          <w:highlight w:val="none"/>
        </w:rPr>
        <w:t>5</w:t>
      </w:r>
      <w:r>
        <w:rPr>
          <w:rFonts w:hint="eastAsia" w:cs="Times New Roman"/>
          <w:color w:val="0000FF"/>
          <w:kern w:val="0"/>
          <w:highlight w:val="none"/>
          <w:lang w:val="en-US" w:eastAsia="zh-CN"/>
        </w:rPr>
        <w:t>0</w:t>
      </w:r>
      <w:r>
        <w:rPr>
          <w:rFonts w:hint="default" w:ascii="Times New Roman" w:hAnsi="Times New Roman" w:cs="Times New Roman"/>
          <w:color w:val="0000FF"/>
          <w:kern w:val="0"/>
          <w:highlight w:val="none"/>
        </w:rPr>
        <w:t>～60m</w:t>
      </w:r>
      <w:r>
        <w:rPr>
          <w:rFonts w:hint="default" w:ascii="Times New Roman" w:hAnsi="Times New Roman" w:cs="Times New Roman"/>
          <w:color w:val="auto"/>
          <w:kern w:val="0"/>
          <w:highlight w:val="none"/>
        </w:rPr>
        <w:t>，因此昼夜间对其均有一定影响。但由于运输车辆少、运输时间短，且施工噪声对声环境的影响属于暂时、短期行为，随着工程竣工，施工噪声影响将不复存在，因此本工程施工交通流动噪声源产生的影响不大，但仍需采取有效措施进一步减免影响。</w:t>
      </w:r>
    </w:p>
    <w:p>
      <w:pPr>
        <w:pStyle w:val="4"/>
        <w:numPr>
          <w:ilvl w:val="2"/>
          <w:numId w:val="2"/>
        </w:numPr>
        <w:tabs>
          <w:tab w:val="left" w:pos="420"/>
        </w:tabs>
        <w:bidi w:val="0"/>
        <w:rPr>
          <w:rFonts w:hint="eastAsia"/>
          <w:color w:val="auto"/>
          <w:lang w:val="en-US" w:eastAsia="zh-CN"/>
        </w:rPr>
      </w:pPr>
      <w:bookmarkStart w:id="582" w:name="_Toc715"/>
      <w:bookmarkStart w:id="583" w:name="_Toc23949"/>
      <w:bookmarkStart w:id="584" w:name="_Toc10922"/>
      <w:r>
        <w:rPr>
          <w:rFonts w:hint="eastAsia"/>
          <w:color w:val="auto"/>
          <w:lang w:val="en-US" w:eastAsia="zh-CN"/>
        </w:rPr>
        <w:t>固体废物环境影响分析</w:t>
      </w:r>
      <w:bookmarkEnd w:id="582"/>
      <w:bookmarkEnd w:id="583"/>
      <w:bookmarkEnd w:id="584"/>
    </w:p>
    <w:p>
      <w:pPr>
        <w:pStyle w:val="5"/>
        <w:numPr>
          <w:ilvl w:val="3"/>
          <w:numId w:val="22"/>
        </w:numPr>
        <w:bidi w:val="0"/>
        <w:ind w:left="480" w:leftChars="0" w:firstLineChars="0"/>
        <w:rPr>
          <w:rFonts w:hint="default"/>
          <w:color w:val="auto"/>
        </w:rPr>
      </w:pPr>
      <w:r>
        <w:rPr>
          <w:rFonts w:hint="default"/>
          <w:color w:val="auto"/>
        </w:rPr>
        <w:t>施工期土石方</w:t>
      </w:r>
    </w:p>
    <w:p>
      <w:pPr>
        <w:bidi w:val="0"/>
        <w:ind w:firstLine="480" w:firstLineChars="200"/>
        <w:rPr>
          <w:rFonts w:hint="default"/>
          <w:color w:val="auto"/>
          <w:highlight w:val="none"/>
        </w:rPr>
      </w:pPr>
      <w:r>
        <w:rPr>
          <w:rFonts w:hint="eastAsia"/>
          <w:color w:val="auto"/>
          <w:highlight w:val="none"/>
          <w:lang w:val="en-US" w:eastAsia="zh-CN"/>
        </w:rPr>
        <w:t>①</w:t>
      </w:r>
      <w:r>
        <w:rPr>
          <w:rFonts w:hint="default"/>
          <w:color w:val="auto"/>
          <w:highlight w:val="none"/>
        </w:rPr>
        <w:t>表土剥离</w:t>
      </w:r>
    </w:p>
    <w:p>
      <w:pPr>
        <w:pStyle w:val="37"/>
        <w:ind w:firstLine="480" w:firstLineChars="200"/>
        <w:rPr>
          <w:rFonts w:hint="default"/>
          <w:color w:val="auto"/>
          <w:highlight w:val="none"/>
        </w:rPr>
      </w:pPr>
      <w:r>
        <w:rPr>
          <w:rFonts w:hint="default"/>
          <w:color w:val="auto"/>
          <w:highlight w:val="none"/>
        </w:rPr>
        <w:t>经计算，工程建设区可剥离、收集表土面积为51.919hm</w:t>
      </w:r>
      <w:r>
        <w:rPr>
          <w:rFonts w:hint="default"/>
          <w:color w:val="auto"/>
          <w:highlight w:val="none"/>
          <w:vertAlign w:val="superscript"/>
        </w:rPr>
        <w:t>2</w:t>
      </w:r>
      <w:r>
        <w:rPr>
          <w:rFonts w:hint="default"/>
          <w:color w:val="auto"/>
          <w:highlight w:val="none"/>
        </w:rPr>
        <w:t>，可剥离收集厚度为20~35cm，共剥离、收集表土15.58万m</w:t>
      </w:r>
      <w:r>
        <w:rPr>
          <w:rFonts w:hint="default"/>
          <w:color w:val="auto"/>
          <w:highlight w:val="none"/>
          <w:vertAlign w:val="superscript"/>
        </w:rPr>
        <w:t>3</w:t>
      </w:r>
      <w:r>
        <w:rPr>
          <w:rFonts w:hint="default"/>
          <w:color w:val="auto"/>
          <w:highlight w:val="none"/>
        </w:rPr>
        <w:t>，均用于工程后期绿化及复耕覆土。</w:t>
      </w:r>
    </w:p>
    <w:p>
      <w:pPr>
        <w:bidi w:val="0"/>
        <w:ind w:firstLine="480" w:firstLineChars="200"/>
        <w:rPr>
          <w:rFonts w:hint="eastAsia"/>
          <w:color w:val="auto"/>
          <w:highlight w:val="none"/>
          <w:lang w:eastAsia="zh-CN"/>
        </w:rPr>
      </w:pPr>
      <w:r>
        <w:rPr>
          <w:rFonts w:hint="eastAsia"/>
          <w:color w:val="auto"/>
          <w:highlight w:val="none"/>
          <w:lang w:val="en-US" w:eastAsia="zh-CN"/>
        </w:rPr>
        <w:t>②</w:t>
      </w:r>
      <w:r>
        <w:rPr>
          <w:rFonts w:hint="eastAsia"/>
          <w:color w:val="auto"/>
          <w:highlight w:val="none"/>
          <w:lang w:eastAsia="zh-CN"/>
        </w:rPr>
        <w:t>表土回覆</w:t>
      </w:r>
    </w:p>
    <w:p>
      <w:pPr>
        <w:pStyle w:val="37"/>
        <w:ind w:firstLine="480" w:firstLineChars="200"/>
        <w:rPr>
          <w:rFonts w:hint="eastAsia"/>
          <w:color w:val="auto"/>
          <w:highlight w:val="none"/>
          <w:lang w:eastAsia="zh-CN"/>
        </w:rPr>
      </w:pPr>
      <w:r>
        <w:rPr>
          <w:rFonts w:hint="eastAsia"/>
          <w:color w:val="auto"/>
          <w:highlight w:val="none"/>
          <w:lang w:eastAsia="zh-CN"/>
        </w:rPr>
        <w:t>所有的表土均用于工程后期绿化及复耕覆土。</w:t>
      </w:r>
    </w:p>
    <w:p>
      <w:pPr>
        <w:bidi w:val="0"/>
        <w:ind w:firstLine="480" w:firstLineChars="200"/>
        <w:rPr>
          <w:rFonts w:hint="eastAsia"/>
          <w:color w:val="auto"/>
          <w:highlight w:val="none"/>
          <w:lang w:eastAsia="zh-CN"/>
        </w:rPr>
      </w:pPr>
      <w:r>
        <w:rPr>
          <w:rFonts w:hint="eastAsia"/>
          <w:color w:val="auto"/>
          <w:highlight w:val="none"/>
          <w:lang w:val="en-US" w:eastAsia="zh-CN"/>
        </w:rPr>
        <w:t>③</w:t>
      </w:r>
      <w:r>
        <w:rPr>
          <w:rFonts w:hint="eastAsia"/>
          <w:color w:val="auto"/>
          <w:highlight w:val="none"/>
          <w:lang w:eastAsia="zh-CN"/>
        </w:rPr>
        <w:t>土石方平衡及流向</w:t>
      </w:r>
    </w:p>
    <w:p>
      <w:pPr>
        <w:bidi w:val="0"/>
        <w:ind w:firstLine="480" w:firstLineChars="200"/>
        <w:rPr>
          <w:color w:val="auto"/>
          <w:highlight w:val="none"/>
        </w:rPr>
      </w:pPr>
      <w:r>
        <w:rPr>
          <w:color w:val="auto"/>
          <w:highlight w:val="none"/>
        </w:rPr>
        <w:t>经分析计算，在整个施工期间共开挖土石方35.56万m³</w:t>
      </w:r>
      <w:r>
        <w:rPr>
          <w:rFonts w:hint="eastAsia" w:ascii="宋体" w:hAnsi="宋体" w:eastAsia="宋体" w:cs="宋体"/>
          <w:color w:val="auto"/>
          <w:highlight w:val="none"/>
        </w:rPr>
        <w:t>,</w:t>
      </w:r>
      <w:r>
        <w:rPr>
          <w:color w:val="auto"/>
          <w:highlight w:val="none"/>
        </w:rPr>
        <w:t>回填土石方31.07万m³</w:t>
      </w:r>
      <w:r>
        <w:rPr>
          <w:rFonts w:hint="eastAsia" w:ascii="宋体" w:hAnsi="宋体" w:eastAsia="宋体" w:cs="宋体"/>
          <w:color w:val="auto"/>
          <w:highlight w:val="none"/>
        </w:rPr>
        <w:t>,</w:t>
      </w:r>
      <w:r>
        <w:rPr>
          <w:color w:val="auto"/>
          <w:highlight w:val="none"/>
        </w:rPr>
        <w:t>产生弃渣4.49万m³</w:t>
      </w:r>
      <w:r>
        <w:rPr>
          <w:rFonts w:hint="eastAsia" w:ascii="宋体" w:hAnsi="宋体" w:eastAsia="宋体" w:cs="宋体"/>
          <w:color w:val="auto"/>
          <w:highlight w:val="none"/>
        </w:rPr>
        <w:t>,</w:t>
      </w:r>
      <w:r>
        <w:rPr>
          <w:color w:val="auto"/>
          <w:highlight w:val="none"/>
        </w:rPr>
        <w:t>以上均为自然方。弃渣运输至弃渣场堆存。</w:t>
      </w:r>
    </w:p>
    <w:p>
      <w:pPr>
        <w:pStyle w:val="40"/>
        <w:bidi w:val="0"/>
        <w:rPr>
          <w:color w:val="auto"/>
          <w:highlight w:val="none"/>
        </w:rPr>
      </w:pPr>
      <w:r>
        <w:rPr>
          <w:rFonts w:hint="eastAsia"/>
          <w:color w:val="auto"/>
          <w:highlight w:val="none"/>
          <w:lang w:eastAsia="zh-CN"/>
        </w:rPr>
        <w:t>表</w:t>
      </w:r>
      <w:r>
        <w:rPr>
          <w:rFonts w:hint="eastAsia"/>
          <w:color w:val="auto"/>
          <w:highlight w:val="none"/>
          <w:lang w:val="en-US" w:eastAsia="zh-CN"/>
        </w:rPr>
        <w:t xml:space="preserve">5.1.6-1  </w:t>
      </w:r>
      <w:r>
        <w:rPr>
          <w:color w:val="auto"/>
          <w:highlight w:val="none"/>
        </w:rPr>
        <w:t>工程土石方平衡表</w:t>
      </w:r>
    </w:p>
    <w:tbl>
      <w:tblPr>
        <w:tblStyle w:val="57"/>
        <w:tblW w:w="5003" w:type="pct"/>
        <w:tblInd w:w="3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11"/>
        <w:gridCol w:w="2028"/>
        <w:gridCol w:w="1299"/>
        <w:gridCol w:w="1717"/>
        <w:gridCol w:w="166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trPr>
        <w:tc>
          <w:tcPr>
            <w:tcW w:w="3637" w:type="dxa"/>
            <w:gridSpan w:val="2"/>
            <w:vMerge w:val="restart"/>
            <w:tcBorders>
              <w:bottom w:val="nil"/>
            </w:tcBorders>
            <w:vAlign w:val="center"/>
          </w:tcPr>
          <w:p>
            <w:pPr>
              <w:pStyle w:val="42"/>
              <w:bidi w:val="0"/>
              <w:jc w:val="center"/>
              <w:rPr>
                <w:color w:val="auto"/>
              </w:rPr>
            </w:pPr>
            <w:r>
              <w:rPr>
                <w:color w:val="auto"/>
              </w:rPr>
              <w:t>分区/项目区</w:t>
            </w:r>
          </w:p>
        </w:tc>
        <w:tc>
          <w:tcPr>
            <w:tcW w:w="1298" w:type="dxa"/>
            <w:vMerge w:val="restart"/>
            <w:tcBorders>
              <w:bottom w:val="nil"/>
            </w:tcBorders>
            <w:vAlign w:val="center"/>
          </w:tcPr>
          <w:p>
            <w:pPr>
              <w:pStyle w:val="42"/>
              <w:bidi w:val="0"/>
              <w:jc w:val="center"/>
              <w:rPr>
                <w:color w:val="auto"/>
              </w:rPr>
            </w:pPr>
            <w:r>
              <w:rPr>
                <w:color w:val="auto"/>
              </w:rPr>
              <w:t>开挖</w:t>
            </w:r>
          </w:p>
        </w:tc>
        <w:tc>
          <w:tcPr>
            <w:tcW w:w="1716" w:type="dxa"/>
            <w:vMerge w:val="restart"/>
            <w:tcBorders>
              <w:bottom w:val="nil"/>
            </w:tcBorders>
            <w:vAlign w:val="center"/>
          </w:tcPr>
          <w:p>
            <w:pPr>
              <w:pStyle w:val="42"/>
              <w:bidi w:val="0"/>
              <w:jc w:val="center"/>
              <w:rPr>
                <w:color w:val="auto"/>
              </w:rPr>
            </w:pPr>
            <w:r>
              <w:rPr>
                <w:color w:val="auto"/>
              </w:rPr>
              <w:t>回填（m³)</w:t>
            </w:r>
          </w:p>
        </w:tc>
        <w:tc>
          <w:tcPr>
            <w:tcW w:w="1661" w:type="dxa"/>
            <w:vAlign w:val="center"/>
          </w:tcPr>
          <w:p>
            <w:pPr>
              <w:pStyle w:val="42"/>
              <w:bidi w:val="0"/>
              <w:jc w:val="center"/>
              <w:rPr>
                <w:color w:val="auto"/>
              </w:rPr>
            </w:pPr>
            <w:r>
              <w:rPr>
                <w:color w:val="auto"/>
              </w:rPr>
              <w:t>剩余</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3637" w:type="dxa"/>
            <w:gridSpan w:val="2"/>
            <w:vMerge w:val="continue"/>
            <w:tcBorders>
              <w:top w:val="nil"/>
              <w:bottom w:val="nil"/>
            </w:tcBorders>
            <w:vAlign w:val="center"/>
          </w:tcPr>
          <w:p>
            <w:pPr>
              <w:pStyle w:val="42"/>
              <w:bidi w:val="0"/>
              <w:jc w:val="center"/>
              <w:rPr>
                <w:color w:val="auto"/>
              </w:rPr>
            </w:pPr>
          </w:p>
        </w:tc>
        <w:tc>
          <w:tcPr>
            <w:tcW w:w="1298" w:type="dxa"/>
            <w:vMerge w:val="continue"/>
            <w:tcBorders>
              <w:top w:val="nil"/>
            </w:tcBorders>
            <w:vAlign w:val="center"/>
          </w:tcPr>
          <w:p>
            <w:pPr>
              <w:pStyle w:val="42"/>
              <w:bidi w:val="0"/>
              <w:jc w:val="center"/>
              <w:rPr>
                <w:color w:val="auto"/>
              </w:rPr>
            </w:pPr>
          </w:p>
        </w:tc>
        <w:tc>
          <w:tcPr>
            <w:tcW w:w="1716" w:type="dxa"/>
            <w:vMerge w:val="continue"/>
            <w:tcBorders>
              <w:top w:val="nil"/>
            </w:tcBorders>
            <w:vAlign w:val="center"/>
          </w:tcPr>
          <w:p>
            <w:pPr>
              <w:pStyle w:val="42"/>
              <w:bidi w:val="0"/>
              <w:jc w:val="center"/>
              <w:rPr>
                <w:color w:val="auto"/>
              </w:rPr>
            </w:pPr>
          </w:p>
        </w:tc>
        <w:tc>
          <w:tcPr>
            <w:tcW w:w="1661" w:type="dxa"/>
            <w:vAlign w:val="center"/>
          </w:tcPr>
          <w:p>
            <w:pPr>
              <w:pStyle w:val="42"/>
              <w:bidi w:val="0"/>
              <w:jc w:val="center"/>
              <w:rPr>
                <w:color w:val="auto"/>
              </w:rPr>
            </w:pPr>
            <w:r>
              <w:rPr>
                <w:color w:val="auto"/>
              </w:rPr>
              <w:t>弃  渣</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4" w:hRule="atLeast"/>
        </w:trPr>
        <w:tc>
          <w:tcPr>
            <w:tcW w:w="3637" w:type="dxa"/>
            <w:gridSpan w:val="2"/>
            <w:vMerge w:val="continue"/>
            <w:tcBorders>
              <w:top w:val="nil"/>
              <w:bottom w:val="nil"/>
            </w:tcBorders>
            <w:vAlign w:val="center"/>
          </w:tcPr>
          <w:p>
            <w:pPr>
              <w:pStyle w:val="42"/>
              <w:bidi w:val="0"/>
              <w:jc w:val="center"/>
              <w:rPr>
                <w:color w:val="auto"/>
              </w:rPr>
            </w:pPr>
          </w:p>
        </w:tc>
        <w:tc>
          <w:tcPr>
            <w:tcW w:w="1298" w:type="dxa"/>
            <w:vAlign w:val="center"/>
          </w:tcPr>
          <w:p>
            <w:pPr>
              <w:pStyle w:val="42"/>
              <w:bidi w:val="0"/>
              <w:jc w:val="center"/>
              <w:rPr>
                <w:color w:val="auto"/>
              </w:rPr>
            </w:pPr>
            <w:r>
              <w:rPr>
                <w:color w:val="auto"/>
              </w:rPr>
              <w:t>开挖土石方</w:t>
            </w:r>
          </w:p>
        </w:tc>
        <w:tc>
          <w:tcPr>
            <w:tcW w:w="1716" w:type="dxa"/>
            <w:vAlign w:val="center"/>
          </w:tcPr>
          <w:p>
            <w:pPr>
              <w:pStyle w:val="42"/>
              <w:bidi w:val="0"/>
              <w:jc w:val="center"/>
              <w:rPr>
                <w:color w:val="auto"/>
              </w:rPr>
            </w:pPr>
            <w:r>
              <w:rPr>
                <w:color w:val="auto"/>
              </w:rPr>
              <w:t>数量</w:t>
            </w:r>
          </w:p>
        </w:tc>
        <w:tc>
          <w:tcPr>
            <w:tcW w:w="1661" w:type="dxa"/>
            <w:vAlign w:val="center"/>
          </w:tcPr>
          <w:p>
            <w:pPr>
              <w:pStyle w:val="42"/>
              <w:bidi w:val="0"/>
              <w:jc w:val="center"/>
              <w:rPr>
                <w:color w:val="auto"/>
              </w:rPr>
            </w:pPr>
            <w:r>
              <w:rPr>
                <w:color w:val="auto"/>
              </w:rPr>
              <w:t>数量（自然方）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3637" w:type="dxa"/>
            <w:gridSpan w:val="2"/>
            <w:vMerge w:val="continue"/>
            <w:tcBorders>
              <w:top w:val="nil"/>
            </w:tcBorders>
            <w:vAlign w:val="center"/>
          </w:tcPr>
          <w:p>
            <w:pPr>
              <w:pStyle w:val="42"/>
              <w:bidi w:val="0"/>
              <w:jc w:val="center"/>
              <w:rPr>
                <w:color w:val="auto"/>
              </w:rPr>
            </w:pPr>
          </w:p>
        </w:tc>
        <w:tc>
          <w:tcPr>
            <w:tcW w:w="1298" w:type="dxa"/>
            <w:vAlign w:val="center"/>
          </w:tcPr>
          <w:p>
            <w:pPr>
              <w:pStyle w:val="42"/>
              <w:bidi w:val="0"/>
              <w:jc w:val="center"/>
              <w:rPr>
                <w:color w:val="auto"/>
              </w:rPr>
            </w:pPr>
            <w:r>
              <w:rPr>
                <w:color w:val="auto"/>
              </w:rPr>
              <w:t>（m³)</w:t>
            </w:r>
          </w:p>
        </w:tc>
        <w:tc>
          <w:tcPr>
            <w:tcW w:w="1716" w:type="dxa"/>
            <w:vAlign w:val="center"/>
          </w:tcPr>
          <w:p>
            <w:pPr>
              <w:pStyle w:val="42"/>
              <w:bidi w:val="0"/>
              <w:jc w:val="center"/>
              <w:rPr>
                <w:color w:val="auto"/>
              </w:rPr>
            </w:pPr>
            <w:r>
              <w:rPr>
                <w:color w:val="auto"/>
              </w:rPr>
              <w:t>（m³)</w:t>
            </w:r>
          </w:p>
        </w:tc>
        <w:tc>
          <w:tcPr>
            <w:tcW w:w="1661" w:type="dxa"/>
            <w:vAlign w:val="center"/>
          </w:tcPr>
          <w:p>
            <w:pPr>
              <w:pStyle w:val="42"/>
              <w:bidi w:val="0"/>
              <w:jc w:val="center"/>
              <w:rPr>
                <w:color w:val="auto"/>
              </w:rPr>
            </w:pPr>
            <w:r>
              <w:rPr>
                <w:color w:val="auto"/>
              </w:rPr>
              <w:t>（m³)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1610" w:type="dxa"/>
            <w:vMerge w:val="restart"/>
            <w:tcBorders>
              <w:bottom w:val="nil"/>
            </w:tcBorders>
            <w:vAlign w:val="center"/>
          </w:tcPr>
          <w:p>
            <w:pPr>
              <w:pStyle w:val="42"/>
              <w:bidi w:val="0"/>
              <w:jc w:val="center"/>
              <w:rPr>
                <w:color w:val="auto"/>
              </w:rPr>
            </w:pPr>
            <w:r>
              <w:rPr>
                <w:color w:val="auto"/>
              </w:rPr>
              <w:t>输水工程区</w:t>
            </w:r>
          </w:p>
        </w:tc>
        <w:tc>
          <w:tcPr>
            <w:tcW w:w="2027" w:type="dxa"/>
            <w:vAlign w:val="center"/>
          </w:tcPr>
          <w:p>
            <w:pPr>
              <w:pStyle w:val="42"/>
              <w:bidi w:val="0"/>
              <w:jc w:val="center"/>
              <w:rPr>
                <w:color w:val="auto"/>
              </w:rPr>
            </w:pPr>
            <w:r>
              <w:rPr>
                <w:color w:val="auto"/>
              </w:rPr>
              <w:t>输水管道</w:t>
            </w:r>
          </w:p>
        </w:tc>
        <w:tc>
          <w:tcPr>
            <w:tcW w:w="1298" w:type="dxa"/>
            <w:vAlign w:val="center"/>
          </w:tcPr>
          <w:p>
            <w:pPr>
              <w:pStyle w:val="42"/>
              <w:bidi w:val="0"/>
              <w:jc w:val="center"/>
              <w:rPr>
                <w:color w:val="auto"/>
              </w:rPr>
            </w:pPr>
            <w:r>
              <w:rPr>
                <w:color w:val="auto"/>
              </w:rPr>
              <w:t>162832.59</w:t>
            </w:r>
          </w:p>
        </w:tc>
        <w:tc>
          <w:tcPr>
            <w:tcW w:w="1716" w:type="dxa"/>
            <w:vAlign w:val="center"/>
          </w:tcPr>
          <w:p>
            <w:pPr>
              <w:pStyle w:val="42"/>
              <w:bidi w:val="0"/>
              <w:jc w:val="center"/>
              <w:rPr>
                <w:color w:val="auto"/>
              </w:rPr>
            </w:pPr>
            <w:r>
              <w:rPr>
                <w:color w:val="auto"/>
              </w:rPr>
              <w:t>140220.51</w:t>
            </w:r>
          </w:p>
        </w:tc>
        <w:tc>
          <w:tcPr>
            <w:tcW w:w="1661" w:type="dxa"/>
            <w:vAlign w:val="center"/>
          </w:tcPr>
          <w:p>
            <w:pPr>
              <w:pStyle w:val="42"/>
              <w:bidi w:val="0"/>
              <w:jc w:val="center"/>
              <w:rPr>
                <w:color w:val="auto"/>
              </w:rPr>
            </w:pPr>
            <w:r>
              <w:rPr>
                <w:color w:val="auto"/>
              </w:rPr>
              <w:t>22612.08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1610" w:type="dxa"/>
            <w:vMerge w:val="continue"/>
            <w:tcBorders>
              <w:top w:val="nil"/>
              <w:bottom w:val="nil"/>
            </w:tcBorders>
            <w:vAlign w:val="center"/>
          </w:tcPr>
          <w:p>
            <w:pPr>
              <w:pStyle w:val="42"/>
              <w:bidi w:val="0"/>
              <w:jc w:val="center"/>
              <w:rPr>
                <w:color w:val="auto"/>
              </w:rPr>
            </w:pPr>
          </w:p>
        </w:tc>
        <w:tc>
          <w:tcPr>
            <w:tcW w:w="2027" w:type="dxa"/>
            <w:vAlign w:val="center"/>
          </w:tcPr>
          <w:p>
            <w:pPr>
              <w:pStyle w:val="42"/>
              <w:bidi w:val="0"/>
              <w:jc w:val="center"/>
              <w:rPr>
                <w:color w:val="auto"/>
              </w:rPr>
            </w:pPr>
            <w:r>
              <w:rPr>
                <w:color w:val="auto"/>
              </w:rPr>
              <w:t>泵站</w:t>
            </w:r>
          </w:p>
        </w:tc>
        <w:tc>
          <w:tcPr>
            <w:tcW w:w="1298" w:type="dxa"/>
            <w:vAlign w:val="center"/>
          </w:tcPr>
          <w:p>
            <w:pPr>
              <w:pStyle w:val="42"/>
              <w:bidi w:val="0"/>
              <w:jc w:val="center"/>
              <w:rPr>
                <w:color w:val="auto"/>
              </w:rPr>
            </w:pPr>
            <w:r>
              <w:rPr>
                <w:color w:val="auto"/>
              </w:rPr>
              <w:t>3148.03</w:t>
            </w:r>
          </w:p>
        </w:tc>
        <w:tc>
          <w:tcPr>
            <w:tcW w:w="1716" w:type="dxa"/>
            <w:vAlign w:val="center"/>
          </w:tcPr>
          <w:p>
            <w:pPr>
              <w:pStyle w:val="42"/>
              <w:bidi w:val="0"/>
              <w:jc w:val="center"/>
              <w:rPr>
                <w:color w:val="auto"/>
              </w:rPr>
            </w:pPr>
            <w:r>
              <w:rPr>
                <w:color w:val="auto"/>
              </w:rPr>
              <w:t>953.10</w:t>
            </w:r>
          </w:p>
        </w:tc>
        <w:tc>
          <w:tcPr>
            <w:tcW w:w="1661" w:type="dxa"/>
            <w:vAlign w:val="center"/>
          </w:tcPr>
          <w:p>
            <w:pPr>
              <w:pStyle w:val="42"/>
              <w:bidi w:val="0"/>
              <w:jc w:val="center"/>
              <w:rPr>
                <w:color w:val="auto"/>
              </w:rPr>
            </w:pPr>
            <w:r>
              <w:rPr>
                <w:color w:val="auto"/>
              </w:rPr>
              <w:t>2194.92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1610" w:type="dxa"/>
            <w:vMerge w:val="continue"/>
            <w:tcBorders>
              <w:top w:val="nil"/>
              <w:bottom w:val="nil"/>
            </w:tcBorders>
            <w:vAlign w:val="center"/>
          </w:tcPr>
          <w:p>
            <w:pPr>
              <w:pStyle w:val="42"/>
              <w:bidi w:val="0"/>
              <w:jc w:val="center"/>
              <w:rPr>
                <w:color w:val="auto"/>
              </w:rPr>
            </w:pPr>
          </w:p>
        </w:tc>
        <w:tc>
          <w:tcPr>
            <w:tcW w:w="2027" w:type="dxa"/>
            <w:vAlign w:val="center"/>
          </w:tcPr>
          <w:p>
            <w:pPr>
              <w:pStyle w:val="42"/>
              <w:bidi w:val="0"/>
              <w:jc w:val="center"/>
              <w:rPr>
                <w:color w:val="auto"/>
              </w:rPr>
            </w:pPr>
            <w:r>
              <w:rPr>
                <w:color w:val="auto"/>
              </w:rPr>
              <w:t>阀室</w:t>
            </w:r>
          </w:p>
        </w:tc>
        <w:tc>
          <w:tcPr>
            <w:tcW w:w="1298" w:type="dxa"/>
            <w:vAlign w:val="center"/>
          </w:tcPr>
          <w:p>
            <w:pPr>
              <w:pStyle w:val="42"/>
              <w:bidi w:val="0"/>
              <w:jc w:val="center"/>
              <w:rPr>
                <w:color w:val="auto"/>
              </w:rPr>
            </w:pPr>
            <w:r>
              <w:rPr>
                <w:color w:val="auto"/>
              </w:rPr>
              <w:t>3774.55</w:t>
            </w:r>
          </w:p>
        </w:tc>
        <w:tc>
          <w:tcPr>
            <w:tcW w:w="1716" w:type="dxa"/>
            <w:vAlign w:val="center"/>
          </w:tcPr>
          <w:p>
            <w:pPr>
              <w:pStyle w:val="42"/>
              <w:bidi w:val="0"/>
              <w:jc w:val="center"/>
              <w:rPr>
                <w:color w:val="auto"/>
              </w:rPr>
            </w:pPr>
            <w:r>
              <w:rPr>
                <w:color w:val="auto"/>
              </w:rPr>
              <w:t>1536.63</w:t>
            </w:r>
          </w:p>
        </w:tc>
        <w:tc>
          <w:tcPr>
            <w:tcW w:w="1661" w:type="dxa"/>
            <w:vAlign w:val="center"/>
          </w:tcPr>
          <w:p>
            <w:pPr>
              <w:pStyle w:val="42"/>
              <w:bidi w:val="0"/>
              <w:jc w:val="center"/>
              <w:rPr>
                <w:color w:val="auto"/>
              </w:rPr>
            </w:pPr>
            <w:r>
              <w:rPr>
                <w:color w:val="auto"/>
              </w:rPr>
              <w:t>2237.92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1610" w:type="dxa"/>
            <w:vMerge w:val="continue"/>
            <w:tcBorders>
              <w:top w:val="nil"/>
            </w:tcBorders>
            <w:vAlign w:val="center"/>
          </w:tcPr>
          <w:p>
            <w:pPr>
              <w:pStyle w:val="42"/>
              <w:bidi w:val="0"/>
              <w:jc w:val="center"/>
              <w:rPr>
                <w:color w:val="auto"/>
              </w:rPr>
            </w:pPr>
          </w:p>
        </w:tc>
        <w:tc>
          <w:tcPr>
            <w:tcW w:w="2027" w:type="dxa"/>
            <w:vAlign w:val="center"/>
          </w:tcPr>
          <w:p>
            <w:pPr>
              <w:pStyle w:val="42"/>
              <w:bidi w:val="0"/>
              <w:jc w:val="center"/>
              <w:rPr>
                <w:color w:val="auto"/>
              </w:rPr>
            </w:pPr>
            <w:r>
              <w:rPr>
                <w:color w:val="auto"/>
              </w:rPr>
              <w:t>水池</w:t>
            </w:r>
          </w:p>
        </w:tc>
        <w:tc>
          <w:tcPr>
            <w:tcW w:w="1298" w:type="dxa"/>
            <w:vAlign w:val="center"/>
          </w:tcPr>
          <w:p>
            <w:pPr>
              <w:pStyle w:val="42"/>
              <w:bidi w:val="0"/>
              <w:jc w:val="center"/>
              <w:rPr>
                <w:color w:val="auto"/>
              </w:rPr>
            </w:pPr>
            <w:r>
              <w:rPr>
                <w:color w:val="auto"/>
              </w:rPr>
              <w:t>84645.09</w:t>
            </w:r>
          </w:p>
        </w:tc>
        <w:tc>
          <w:tcPr>
            <w:tcW w:w="1716" w:type="dxa"/>
            <w:vAlign w:val="center"/>
          </w:tcPr>
          <w:p>
            <w:pPr>
              <w:pStyle w:val="42"/>
              <w:bidi w:val="0"/>
              <w:jc w:val="center"/>
              <w:rPr>
                <w:color w:val="auto"/>
              </w:rPr>
            </w:pPr>
            <w:r>
              <w:rPr>
                <w:color w:val="auto"/>
              </w:rPr>
              <w:t>79701.44</w:t>
            </w:r>
          </w:p>
        </w:tc>
        <w:tc>
          <w:tcPr>
            <w:tcW w:w="1661" w:type="dxa"/>
            <w:vAlign w:val="center"/>
          </w:tcPr>
          <w:p>
            <w:pPr>
              <w:pStyle w:val="42"/>
              <w:bidi w:val="0"/>
              <w:jc w:val="center"/>
              <w:rPr>
                <w:color w:val="auto"/>
              </w:rPr>
            </w:pPr>
            <w:r>
              <w:rPr>
                <w:color w:val="auto"/>
              </w:rPr>
              <w:t>4943.65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trPr>
        <w:tc>
          <w:tcPr>
            <w:tcW w:w="1610" w:type="dxa"/>
            <w:vMerge w:val="restart"/>
            <w:tcBorders>
              <w:bottom w:val="nil"/>
            </w:tcBorders>
            <w:vAlign w:val="center"/>
          </w:tcPr>
          <w:p>
            <w:pPr>
              <w:pStyle w:val="42"/>
              <w:bidi w:val="0"/>
              <w:jc w:val="center"/>
              <w:rPr>
                <w:color w:val="auto"/>
              </w:rPr>
            </w:pPr>
            <w:r>
              <w:rPr>
                <w:color w:val="auto"/>
              </w:rPr>
              <w:t>交通道路区</w:t>
            </w:r>
          </w:p>
        </w:tc>
        <w:tc>
          <w:tcPr>
            <w:tcW w:w="2027" w:type="dxa"/>
            <w:vAlign w:val="center"/>
          </w:tcPr>
          <w:p>
            <w:pPr>
              <w:pStyle w:val="42"/>
              <w:bidi w:val="0"/>
              <w:jc w:val="center"/>
              <w:rPr>
                <w:color w:val="auto"/>
              </w:rPr>
            </w:pPr>
            <w:r>
              <w:rPr>
                <w:color w:val="auto"/>
              </w:rPr>
              <w:t>新修临时施工道路</w:t>
            </w:r>
          </w:p>
        </w:tc>
        <w:tc>
          <w:tcPr>
            <w:tcW w:w="1298" w:type="dxa"/>
            <w:vAlign w:val="center"/>
          </w:tcPr>
          <w:p>
            <w:pPr>
              <w:pStyle w:val="42"/>
              <w:bidi w:val="0"/>
              <w:jc w:val="center"/>
              <w:rPr>
                <w:color w:val="auto"/>
              </w:rPr>
            </w:pPr>
            <w:r>
              <w:rPr>
                <w:color w:val="auto"/>
              </w:rPr>
              <w:t>64650.00</w:t>
            </w:r>
          </w:p>
        </w:tc>
        <w:tc>
          <w:tcPr>
            <w:tcW w:w="1716" w:type="dxa"/>
            <w:vAlign w:val="center"/>
          </w:tcPr>
          <w:p>
            <w:pPr>
              <w:pStyle w:val="42"/>
              <w:bidi w:val="0"/>
              <w:jc w:val="center"/>
              <w:rPr>
                <w:color w:val="auto"/>
              </w:rPr>
            </w:pPr>
            <w:r>
              <w:rPr>
                <w:color w:val="auto"/>
              </w:rPr>
              <w:t>51720.00</w:t>
            </w:r>
          </w:p>
        </w:tc>
        <w:tc>
          <w:tcPr>
            <w:tcW w:w="1661" w:type="dxa"/>
            <w:vAlign w:val="center"/>
          </w:tcPr>
          <w:p>
            <w:pPr>
              <w:pStyle w:val="42"/>
              <w:bidi w:val="0"/>
              <w:jc w:val="center"/>
              <w:rPr>
                <w:color w:val="auto"/>
              </w:rPr>
            </w:pPr>
            <w:r>
              <w:rPr>
                <w:color w:val="auto"/>
              </w:rPr>
              <w:t>12930.00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4" w:hRule="atLeast"/>
        </w:trPr>
        <w:tc>
          <w:tcPr>
            <w:tcW w:w="1610" w:type="dxa"/>
            <w:vMerge w:val="continue"/>
            <w:tcBorders>
              <w:top w:val="nil"/>
            </w:tcBorders>
            <w:vAlign w:val="center"/>
          </w:tcPr>
          <w:p>
            <w:pPr>
              <w:pStyle w:val="42"/>
              <w:bidi w:val="0"/>
              <w:jc w:val="center"/>
              <w:rPr>
                <w:color w:val="auto"/>
              </w:rPr>
            </w:pPr>
          </w:p>
        </w:tc>
        <w:tc>
          <w:tcPr>
            <w:tcW w:w="2027" w:type="dxa"/>
            <w:vAlign w:val="center"/>
          </w:tcPr>
          <w:p>
            <w:pPr>
              <w:pStyle w:val="42"/>
              <w:bidi w:val="0"/>
              <w:jc w:val="center"/>
              <w:rPr>
                <w:color w:val="auto"/>
              </w:rPr>
            </w:pPr>
            <w:r>
              <w:rPr>
                <w:color w:val="auto"/>
              </w:rPr>
              <w:t>扩建临时施工道路</w:t>
            </w:r>
          </w:p>
        </w:tc>
        <w:tc>
          <w:tcPr>
            <w:tcW w:w="1298" w:type="dxa"/>
            <w:vAlign w:val="center"/>
          </w:tcPr>
          <w:p>
            <w:pPr>
              <w:pStyle w:val="42"/>
              <w:bidi w:val="0"/>
              <w:jc w:val="center"/>
              <w:rPr>
                <w:color w:val="auto"/>
              </w:rPr>
            </w:pPr>
            <w:r>
              <w:rPr>
                <w:color w:val="auto"/>
              </w:rPr>
              <w:t>36560.00</w:t>
            </w:r>
          </w:p>
        </w:tc>
        <w:tc>
          <w:tcPr>
            <w:tcW w:w="1716" w:type="dxa"/>
            <w:vAlign w:val="center"/>
          </w:tcPr>
          <w:p>
            <w:pPr>
              <w:pStyle w:val="42"/>
              <w:bidi w:val="0"/>
              <w:jc w:val="center"/>
              <w:rPr>
                <w:color w:val="auto"/>
              </w:rPr>
            </w:pPr>
            <w:r>
              <w:rPr>
                <w:color w:val="auto"/>
              </w:rPr>
              <w:t>36560.00</w:t>
            </w:r>
          </w:p>
        </w:tc>
        <w:tc>
          <w:tcPr>
            <w:tcW w:w="1661" w:type="dxa"/>
            <w:vAlign w:val="center"/>
          </w:tcPr>
          <w:p>
            <w:pPr>
              <w:pStyle w:val="42"/>
              <w:bidi w:val="0"/>
              <w:jc w:val="center"/>
              <w:rPr>
                <w:color w:val="auto"/>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1610" w:type="dxa"/>
            <w:vAlign w:val="center"/>
          </w:tcPr>
          <w:p>
            <w:pPr>
              <w:pStyle w:val="42"/>
              <w:bidi w:val="0"/>
              <w:jc w:val="center"/>
              <w:rPr>
                <w:color w:val="auto"/>
              </w:rPr>
            </w:pPr>
            <w:r>
              <w:rPr>
                <w:color w:val="auto"/>
              </w:rPr>
              <w:t>弃渣场区</w:t>
            </w:r>
          </w:p>
        </w:tc>
        <w:tc>
          <w:tcPr>
            <w:tcW w:w="2027" w:type="dxa"/>
            <w:vAlign w:val="center"/>
          </w:tcPr>
          <w:p>
            <w:pPr>
              <w:pStyle w:val="42"/>
              <w:bidi w:val="0"/>
              <w:jc w:val="center"/>
              <w:rPr>
                <w:color w:val="auto"/>
              </w:rPr>
            </w:pPr>
            <w:r>
              <w:rPr>
                <w:color w:val="auto"/>
              </w:rPr>
              <w:t>弃渣场</w:t>
            </w:r>
          </w:p>
        </w:tc>
        <w:tc>
          <w:tcPr>
            <w:tcW w:w="1298" w:type="dxa"/>
            <w:vAlign w:val="center"/>
          </w:tcPr>
          <w:p>
            <w:pPr>
              <w:pStyle w:val="42"/>
              <w:bidi w:val="0"/>
              <w:jc w:val="center"/>
              <w:rPr>
                <w:color w:val="auto"/>
              </w:rPr>
            </w:pPr>
          </w:p>
        </w:tc>
        <w:tc>
          <w:tcPr>
            <w:tcW w:w="1716" w:type="dxa"/>
            <w:vAlign w:val="center"/>
          </w:tcPr>
          <w:p>
            <w:pPr>
              <w:pStyle w:val="42"/>
              <w:bidi w:val="0"/>
              <w:jc w:val="center"/>
              <w:rPr>
                <w:color w:val="auto"/>
              </w:rPr>
            </w:pPr>
          </w:p>
        </w:tc>
        <w:tc>
          <w:tcPr>
            <w:tcW w:w="1661" w:type="dxa"/>
            <w:vAlign w:val="center"/>
          </w:tcPr>
          <w:p>
            <w:pPr>
              <w:pStyle w:val="42"/>
              <w:bidi w:val="0"/>
              <w:jc w:val="center"/>
              <w:rPr>
                <w:color w:val="auto"/>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trPr>
        <w:tc>
          <w:tcPr>
            <w:tcW w:w="3637" w:type="dxa"/>
            <w:gridSpan w:val="2"/>
            <w:vAlign w:val="center"/>
          </w:tcPr>
          <w:p>
            <w:pPr>
              <w:pStyle w:val="42"/>
              <w:bidi w:val="0"/>
              <w:jc w:val="center"/>
              <w:rPr>
                <w:color w:val="auto"/>
              </w:rPr>
            </w:pPr>
            <w:r>
              <w:rPr>
                <w:color w:val="auto"/>
              </w:rPr>
              <w:t>合计</w:t>
            </w:r>
          </w:p>
        </w:tc>
        <w:tc>
          <w:tcPr>
            <w:tcW w:w="1298" w:type="dxa"/>
            <w:vAlign w:val="center"/>
          </w:tcPr>
          <w:p>
            <w:pPr>
              <w:pStyle w:val="42"/>
              <w:bidi w:val="0"/>
              <w:jc w:val="center"/>
              <w:rPr>
                <w:color w:val="auto"/>
              </w:rPr>
            </w:pPr>
            <w:r>
              <w:rPr>
                <w:color w:val="auto"/>
              </w:rPr>
              <w:t>355610.26</w:t>
            </w:r>
          </w:p>
        </w:tc>
        <w:tc>
          <w:tcPr>
            <w:tcW w:w="1716" w:type="dxa"/>
            <w:vAlign w:val="center"/>
          </w:tcPr>
          <w:p>
            <w:pPr>
              <w:pStyle w:val="42"/>
              <w:bidi w:val="0"/>
              <w:jc w:val="center"/>
              <w:rPr>
                <w:color w:val="auto"/>
              </w:rPr>
            </w:pPr>
            <w:r>
              <w:rPr>
                <w:color w:val="auto"/>
              </w:rPr>
              <w:t>310691.68</w:t>
            </w:r>
          </w:p>
        </w:tc>
        <w:tc>
          <w:tcPr>
            <w:tcW w:w="1661" w:type="dxa"/>
            <w:vAlign w:val="center"/>
          </w:tcPr>
          <w:p>
            <w:pPr>
              <w:pStyle w:val="42"/>
              <w:bidi w:val="0"/>
              <w:jc w:val="center"/>
              <w:rPr>
                <w:color w:val="auto"/>
              </w:rPr>
            </w:pPr>
            <w:r>
              <w:rPr>
                <w:color w:val="auto"/>
              </w:rPr>
              <w:t>44918.58</w:t>
            </w:r>
          </w:p>
        </w:tc>
      </w:tr>
    </w:tbl>
    <w:p>
      <w:pPr>
        <w:pStyle w:val="5"/>
        <w:numPr>
          <w:ilvl w:val="3"/>
          <w:numId w:val="2"/>
        </w:numPr>
        <w:bidi w:val="0"/>
        <w:ind w:left="480" w:leftChars="0" w:firstLineChars="0"/>
        <w:rPr>
          <w:rFonts w:hint="eastAsia"/>
          <w:color w:val="auto"/>
          <w:lang w:eastAsia="zh-CN"/>
        </w:rPr>
      </w:pPr>
      <w:r>
        <w:rPr>
          <w:rFonts w:hint="eastAsia"/>
          <w:color w:val="auto"/>
          <w:lang w:eastAsia="zh-CN"/>
        </w:rPr>
        <w:t>建筑垃圾</w:t>
      </w:r>
    </w:p>
    <w:p>
      <w:pPr>
        <w:ind w:firstLine="480" w:firstLineChars="200"/>
        <w:rPr>
          <w:rFonts w:hint="eastAsia"/>
          <w:color w:val="auto"/>
          <w:highlight w:val="none"/>
          <w:lang w:eastAsia="zh-CN"/>
        </w:rPr>
      </w:pPr>
      <w:r>
        <w:rPr>
          <w:rFonts w:hint="eastAsia"/>
          <w:color w:val="auto"/>
          <w:highlight w:val="none"/>
          <w:lang w:eastAsia="zh-CN"/>
        </w:rPr>
        <w:t>建筑垃圾主要包括施工过程中产生的废砼及建材边角料等，产生量</w:t>
      </w:r>
      <w:r>
        <w:rPr>
          <w:rFonts w:hint="eastAsia"/>
          <w:color w:val="auto"/>
          <w:highlight w:val="none"/>
          <w:lang w:val="en-US" w:eastAsia="zh-CN"/>
        </w:rPr>
        <w:t>5</w:t>
      </w:r>
      <w:r>
        <w:rPr>
          <w:rFonts w:hint="eastAsia"/>
          <w:color w:val="auto"/>
          <w:highlight w:val="none"/>
          <w:lang w:eastAsia="zh-CN"/>
        </w:rPr>
        <w:t>万t。</w:t>
      </w:r>
    </w:p>
    <w:p>
      <w:pPr>
        <w:rPr>
          <w:rFonts w:hint="eastAsia"/>
          <w:color w:val="auto"/>
          <w:highlight w:val="none"/>
          <w:lang w:eastAsia="zh-CN"/>
        </w:rPr>
      </w:pPr>
      <w:r>
        <w:rPr>
          <w:rFonts w:hint="eastAsia"/>
          <w:color w:val="auto"/>
          <w:highlight w:val="none"/>
          <w:lang w:eastAsia="zh-CN"/>
        </w:rPr>
        <w:t>建筑垃圾及各种杂物堆放在施工区，影响施工区环境卫生，且影响周边空气质量，破坏景观等不利影响。建筑垃圾中的砼垃圾通过处理后作为管道沿线浆砌石挡土墙填料使用，钢筋边角料、废木材可以回收再利用等；无法进行利用的按当地管理部门要求运至指定地点。采取上述措施后，建筑垃圾可得以合理处置，对环境影响小。</w:t>
      </w:r>
    </w:p>
    <w:p>
      <w:pPr>
        <w:pStyle w:val="5"/>
        <w:bidi w:val="0"/>
        <w:rPr>
          <w:rFonts w:hint="eastAsia"/>
          <w:lang w:eastAsia="zh-CN"/>
        </w:rPr>
      </w:pPr>
      <w:r>
        <w:rPr>
          <w:rFonts w:hint="eastAsia"/>
          <w:lang w:eastAsia="zh-CN"/>
        </w:rPr>
        <w:t>施工人员生活垃圾</w:t>
      </w:r>
    </w:p>
    <w:p>
      <w:pPr>
        <w:bidi w:val="0"/>
        <w:ind w:firstLine="480" w:firstLineChars="200"/>
        <w:rPr>
          <w:color w:val="auto"/>
          <w:highlight w:val="none"/>
        </w:rPr>
      </w:pPr>
      <w:r>
        <w:rPr>
          <w:color w:val="auto"/>
          <w:highlight w:val="none"/>
        </w:rPr>
        <w:t>根据工程分析，施工期共产生生活垃圾</w:t>
      </w:r>
      <w:r>
        <w:rPr>
          <w:rFonts w:hint="eastAsia"/>
          <w:color w:val="auto"/>
          <w:highlight w:val="none"/>
          <w:lang w:val="en-US" w:eastAsia="zh-CN"/>
        </w:rPr>
        <w:t>18</w:t>
      </w:r>
      <w:r>
        <w:rPr>
          <w:color w:val="auto"/>
          <w:highlight w:val="none"/>
        </w:rPr>
        <w:t>t，施工生活垃圾集中收集运到各乡镇生活垃圾收集点后由当地环卫部门统一清运。</w:t>
      </w:r>
    </w:p>
    <w:p>
      <w:pPr>
        <w:pStyle w:val="4"/>
        <w:numPr>
          <w:ilvl w:val="2"/>
          <w:numId w:val="2"/>
        </w:numPr>
        <w:tabs>
          <w:tab w:val="left" w:pos="420"/>
        </w:tabs>
        <w:bidi w:val="0"/>
        <w:rPr>
          <w:rFonts w:hint="eastAsia"/>
          <w:color w:val="auto"/>
          <w:lang w:val="en-US" w:eastAsia="zh-CN"/>
        </w:rPr>
      </w:pPr>
      <w:bookmarkStart w:id="585" w:name="_Toc23511"/>
      <w:bookmarkStart w:id="586" w:name="_Toc6037"/>
      <w:bookmarkStart w:id="587" w:name="_Toc5313"/>
      <w:r>
        <w:rPr>
          <w:rFonts w:hint="eastAsia"/>
          <w:color w:val="auto"/>
          <w:lang w:val="en-US" w:eastAsia="zh-CN"/>
        </w:rPr>
        <w:t>生态环境影响分析</w:t>
      </w:r>
      <w:bookmarkEnd w:id="585"/>
      <w:bookmarkEnd w:id="586"/>
      <w:bookmarkEnd w:id="587"/>
    </w:p>
    <w:p>
      <w:pPr>
        <w:pStyle w:val="5"/>
        <w:bidi w:val="0"/>
        <w:rPr>
          <w:rFonts w:hint="eastAsia"/>
          <w:lang w:eastAsia="zh-CN"/>
        </w:rPr>
      </w:pPr>
      <w:bookmarkStart w:id="588" w:name="_Toc23818"/>
      <w:bookmarkStart w:id="589" w:name="_Toc22871"/>
      <w:r>
        <w:rPr>
          <w:rFonts w:hint="eastAsia"/>
          <w:lang w:eastAsia="zh-CN"/>
        </w:rPr>
        <w:t>对土地资源的影响</w:t>
      </w:r>
      <w:bookmarkEnd w:id="588"/>
      <w:bookmarkEnd w:id="589"/>
      <w:r>
        <w:rPr>
          <w:rFonts w:hint="eastAsia"/>
          <w:lang w:val="en-US" w:eastAsia="zh-CN"/>
        </w:rPr>
        <w:t xml:space="preserve"> </w:t>
      </w:r>
    </w:p>
    <w:p>
      <w:pPr>
        <w:ind w:firstLine="480" w:firstLineChars="200"/>
        <w:rPr>
          <w:rFonts w:hint="default"/>
          <w:color w:val="auto"/>
          <w:highlight w:val="none"/>
          <w:lang w:val="zh-TW" w:eastAsia="zh-TW"/>
        </w:rPr>
      </w:pPr>
      <w:r>
        <w:rPr>
          <w:rFonts w:hint="default"/>
          <w:color w:val="auto"/>
          <w:highlight w:val="none"/>
          <w:lang w:val="zh-TW" w:eastAsia="zh-TW"/>
        </w:rPr>
        <w:t>根据实地踏勘和卫星遥感影像解译，将评价区土地利用划分为旱地、水田、</w:t>
      </w:r>
      <w:r>
        <w:rPr>
          <w:rFonts w:hint="default"/>
          <w:color w:val="auto"/>
          <w:highlight w:val="none"/>
          <w:lang w:val="en-US" w:eastAsia="zh-CN"/>
        </w:rPr>
        <w:t>林地</w:t>
      </w:r>
      <w:r>
        <w:rPr>
          <w:rFonts w:hint="default"/>
          <w:color w:val="auto"/>
          <w:highlight w:val="none"/>
          <w:lang w:val="zh-TW" w:eastAsia="zh-TW"/>
        </w:rPr>
        <w:t>、草地、交通设施用地、建设用地、水域及水利设施用地等8种类型。根据项目初设等资料，</w:t>
      </w:r>
      <w:r>
        <w:rPr>
          <w:rFonts w:hint="eastAsia"/>
          <w:color w:val="auto"/>
          <w:highlight w:val="none"/>
          <w:lang w:val="en-US" w:eastAsia="zh-CN"/>
        </w:rPr>
        <w:t>本工程总占地面积746.4亩，</w:t>
      </w:r>
      <w:r>
        <w:rPr>
          <w:rFonts w:hint="default"/>
          <w:color w:val="auto"/>
          <w:highlight w:val="none"/>
          <w:lang w:val="en-US" w:eastAsia="zh-CN"/>
        </w:rPr>
        <w:t>永久征地总面积为</w:t>
      </w:r>
      <w:r>
        <w:rPr>
          <w:rFonts w:hint="eastAsia"/>
          <w:color w:val="auto"/>
          <w:highlight w:val="none"/>
          <w:lang w:val="en-US" w:eastAsia="zh-CN"/>
        </w:rPr>
        <w:t>36.93</w:t>
      </w:r>
      <w:r>
        <w:rPr>
          <w:rFonts w:hint="default"/>
          <w:color w:val="auto"/>
          <w:highlight w:val="none"/>
          <w:lang w:val="en-US" w:eastAsia="zh-CN"/>
        </w:rPr>
        <w:t>亩</w:t>
      </w:r>
      <w:r>
        <w:rPr>
          <w:rFonts w:hint="eastAsia"/>
          <w:color w:val="auto"/>
          <w:highlight w:val="none"/>
          <w:lang w:val="en-US" w:eastAsia="zh-CN"/>
        </w:rPr>
        <w:t>：</w:t>
      </w:r>
      <w:r>
        <w:rPr>
          <w:rFonts w:hint="default"/>
          <w:color w:val="auto"/>
          <w:highlight w:val="none"/>
          <w:lang w:val="en-US" w:eastAsia="zh-CN"/>
        </w:rPr>
        <w:t>耕地</w:t>
      </w:r>
      <w:r>
        <w:rPr>
          <w:rFonts w:hint="eastAsia"/>
          <w:color w:val="auto"/>
          <w:highlight w:val="none"/>
          <w:lang w:val="en-US" w:eastAsia="zh-CN"/>
        </w:rPr>
        <w:t>7.76</w:t>
      </w:r>
      <w:r>
        <w:rPr>
          <w:rFonts w:hint="default"/>
          <w:color w:val="auto"/>
          <w:highlight w:val="none"/>
          <w:lang w:val="en-US" w:eastAsia="zh-CN"/>
        </w:rPr>
        <w:t>亩</w:t>
      </w:r>
      <w:r>
        <w:rPr>
          <w:rFonts w:hint="eastAsia"/>
          <w:color w:val="auto"/>
          <w:highlight w:val="none"/>
          <w:lang w:val="en-US" w:eastAsia="zh-CN"/>
        </w:rPr>
        <w:t>、</w:t>
      </w:r>
      <w:r>
        <w:rPr>
          <w:rFonts w:hint="default"/>
          <w:color w:val="auto"/>
          <w:highlight w:val="none"/>
          <w:lang w:val="en-US" w:eastAsia="zh-CN"/>
        </w:rPr>
        <w:t>林地</w:t>
      </w:r>
      <w:r>
        <w:rPr>
          <w:rFonts w:hint="eastAsia"/>
          <w:color w:val="auto"/>
          <w:highlight w:val="none"/>
          <w:lang w:val="en-US" w:eastAsia="zh-CN"/>
        </w:rPr>
        <w:t>28.14</w:t>
      </w:r>
      <w:r>
        <w:rPr>
          <w:rFonts w:hint="default"/>
          <w:color w:val="auto"/>
          <w:highlight w:val="none"/>
          <w:lang w:val="en-US" w:eastAsia="zh-CN"/>
        </w:rPr>
        <w:t>亩</w:t>
      </w:r>
      <w:r>
        <w:rPr>
          <w:rFonts w:hint="eastAsia"/>
          <w:color w:val="auto"/>
          <w:highlight w:val="none"/>
          <w:lang w:val="en-US" w:eastAsia="zh-CN"/>
        </w:rPr>
        <w:t>、</w:t>
      </w:r>
      <w:r>
        <w:rPr>
          <w:rFonts w:hint="default"/>
          <w:color w:val="auto"/>
          <w:highlight w:val="none"/>
          <w:lang w:val="en-US" w:eastAsia="zh-CN"/>
        </w:rPr>
        <w:t>交通运输用地0.86亩</w:t>
      </w:r>
      <w:r>
        <w:rPr>
          <w:rFonts w:hint="eastAsia"/>
          <w:color w:val="auto"/>
          <w:highlight w:val="none"/>
          <w:lang w:val="en-US" w:eastAsia="zh-CN"/>
        </w:rPr>
        <w:t>、</w:t>
      </w:r>
      <w:r>
        <w:rPr>
          <w:rFonts w:hint="default"/>
          <w:color w:val="auto"/>
          <w:highlight w:val="none"/>
          <w:lang w:val="en-US" w:eastAsia="zh-CN"/>
        </w:rPr>
        <w:t>水域及水利设施用地0.17亩（坑塘水面）</w:t>
      </w:r>
      <w:r>
        <w:rPr>
          <w:rFonts w:hint="eastAsia"/>
          <w:color w:val="auto"/>
          <w:highlight w:val="none"/>
          <w:lang w:val="en-US" w:eastAsia="zh-CN"/>
        </w:rPr>
        <w:t>；</w:t>
      </w:r>
      <w:r>
        <w:rPr>
          <w:rFonts w:hint="default"/>
          <w:color w:val="auto"/>
          <w:highlight w:val="none"/>
          <w:lang w:val="en-US" w:eastAsia="zh-CN"/>
        </w:rPr>
        <w:t>临时占地总面积为</w:t>
      </w:r>
      <w:r>
        <w:rPr>
          <w:rFonts w:hint="eastAsia"/>
          <w:color w:val="auto"/>
          <w:highlight w:val="none"/>
          <w:lang w:val="en-US" w:eastAsia="zh-CN"/>
        </w:rPr>
        <w:t>709.47</w:t>
      </w:r>
      <w:r>
        <w:rPr>
          <w:rFonts w:hint="default"/>
          <w:color w:val="auto"/>
          <w:highlight w:val="none"/>
          <w:lang w:val="en-US" w:eastAsia="zh-CN"/>
        </w:rPr>
        <w:t>亩</w:t>
      </w:r>
      <w:r>
        <w:rPr>
          <w:rFonts w:hint="eastAsia"/>
          <w:color w:val="auto"/>
          <w:highlight w:val="none"/>
          <w:lang w:val="en-US" w:eastAsia="zh-CN"/>
        </w:rPr>
        <w:t>：</w:t>
      </w:r>
      <w:r>
        <w:rPr>
          <w:rFonts w:hint="default"/>
          <w:color w:val="auto"/>
          <w:highlight w:val="none"/>
          <w:lang w:val="en-US" w:eastAsia="zh-CN"/>
        </w:rPr>
        <w:t>耕地352.89亩</w:t>
      </w:r>
      <w:r>
        <w:rPr>
          <w:rFonts w:hint="eastAsia"/>
          <w:color w:val="auto"/>
          <w:highlight w:val="none"/>
          <w:lang w:val="en-US" w:eastAsia="zh-CN"/>
        </w:rPr>
        <w:t>、</w:t>
      </w:r>
      <w:r>
        <w:rPr>
          <w:rFonts w:hint="default"/>
          <w:color w:val="auto"/>
          <w:highlight w:val="none"/>
          <w:lang w:val="en-US" w:eastAsia="zh-CN"/>
        </w:rPr>
        <w:t>林地</w:t>
      </w:r>
      <w:r>
        <w:rPr>
          <w:rFonts w:hint="eastAsia"/>
          <w:color w:val="auto"/>
          <w:highlight w:val="none"/>
          <w:lang w:val="en-US" w:eastAsia="zh-CN"/>
        </w:rPr>
        <w:t>320.54</w:t>
      </w:r>
      <w:r>
        <w:rPr>
          <w:rFonts w:hint="default"/>
          <w:color w:val="auto"/>
          <w:highlight w:val="none"/>
          <w:lang w:val="en-US" w:eastAsia="zh-CN"/>
        </w:rPr>
        <w:t>亩</w:t>
      </w:r>
      <w:r>
        <w:rPr>
          <w:rFonts w:hint="eastAsia"/>
          <w:color w:val="auto"/>
          <w:highlight w:val="none"/>
          <w:lang w:val="en-US" w:eastAsia="zh-CN"/>
        </w:rPr>
        <w:t>、</w:t>
      </w:r>
      <w:r>
        <w:rPr>
          <w:rFonts w:hint="default"/>
          <w:color w:val="auto"/>
          <w:highlight w:val="none"/>
          <w:lang w:val="en-US" w:eastAsia="zh-CN"/>
        </w:rPr>
        <w:t>交通运输用地31.31亩</w:t>
      </w:r>
      <w:r>
        <w:rPr>
          <w:rFonts w:hint="eastAsia"/>
          <w:color w:val="auto"/>
          <w:highlight w:val="none"/>
          <w:lang w:val="en-US" w:eastAsia="zh-CN"/>
        </w:rPr>
        <w:t>、</w:t>
      </w:r>
      <w:r>
        <w:rPr>
          <w:rFonts w:hint="default"/>
          <w:color w:val="auto"/>
          <w:highlight w:val="none"/>
          <w:lang w:val="en-US" w:eastAsia="zh-CN"/>
        </w:rPr>
        <w:t>水域及水利设施用地4.73亩。</w:t>
      </w:r>
    </w:p>
    <w:p>
      <w:pPr>
        <w:bidi w:val="0"/>
        <w:ind w:firstLine="480" w:firstLineChars="200"/>
        <w:rPr>
          <w:rFonts w:hint="default"/>
          <w:color w:val="auto"/>
          <w:highlight w:val="none"/>
        </w:rPr>
      </w:pPr>
      <w:r>
        <w:rPr>
          <w:rFonts w:hint="default"/>
          <w:color w:val="auto"/>
          <w:highlight w:val="none"/>
          <w:lang w:val="zh-TW" w:eastAsia="zh-TW"/>
        </w:rPr>
        <w:t>从整个区域来讲，占地影响不大，但对局部点来讲，其影响可能较大。在施工期，要开挖管沟、建设站场等，施工活动将占用土地，并造成土壤结构、植被的破坏，直接影响到农业生产的正常运作，从而对该区域农业生态系统的功能造成一定的影响，并使当地农民的收入受到一定的损失。</w:t>
      </w:r>
    </w:p>
    <w:p>
      <w:pPr>
        <w:bidi w:val="0"/>
        <w:ind w:firstLine="480" w:firstLineChars="200"/>
        <w:rPr>
          <w:rFonts w:hint="default"/>
          <w:color w:val="auto"/>
          <w:highlight w:val="none"/>
          <w:lang w:val="zh-TW" w:eastAsia="zh-TW"/>
        </w:rPr>
      </w:pPr>
      <w:r>
        <w:rPr>
          <w:rFonts w:hint="default"/>
          <w:color w:val="auto"/>
          <w:highlight w:val="none"/>
          <w:lang w:val="zh-TW" w:eastAsia="zh-TW"/>
        </w:rPr>
        <w:t>临时占用耕地采取管道深埋以及复垦的方式，恢复原有利用；临时占用林地采取植被恢复；临时用交通设施用地恢复原有交通使用功能，永久占用的区域主要影响路肩及边缘区域。随着施工结束，恢复措施完成后，对土地利用功能的影响大部分得以恢复，永久用地等地通过补偿等方式替代其原有价值。</w:t>
      </w:r>
    </w:p>
    <w:p>
      <w:pPr>
        <w:bidi w:val="0"/>
        <w:ind w:firstLine="480" w:firstLineChars="200"/>
        <w:rPr>
          <w:rStyle w:val="78"/>
          <w:rFonts w:hint="default" w:ascii="Times New Roman" w:hAnsi="Times New Roman" w:eastAsia="宋体" w:cs="Times New Roman"/>
          <w:b w:val="0"/>
          <w:color w:val="auto"/>
          <w:szCs w:val="24"/>
          <w:highlight w:val="none"/>
          <w:lang w:val="zh-TW" w:eastAsia="zh-TW"/>
        </w:rPr>
      </w:pPr>
      <w:r>
        <w:rPr>
          <w:rFonts w:ascii="Times New Roman" w:hAnsi="Times New Roman" w:eastAsia="宋体" w:cs="Times New Roman"/>
          <w:color w:val="auto"/>
          <w:sz w:val="24"/>
          <w:szCs w:val="24"/>
          <w:highlight w:val="none"/>
          <w:lang w:val="en-US"/>
        </w:rPr>
        <w:t>总体而言，</w:t>
      </w:r>
      <w:r>
        <w:rPr>
          <w:rFonts w:hint="eastAsia" w:ascii="Times New Roman" w:hAnsi="Times New Roman" w:eastAsia="宋体" w:cs="Times New Roman"/>
          <w:color w:val="auto"/>
          <w:sz w:val="24"/>
          <w:szCs w:val="24"/>
          <w:highlight w:val="none"/>
          <w:lang w:val="en-US"/>
        </w:rPr>
        <w:t>本项目工程建设</w:t>
      </w:r>
      <w:r>
        <w:rPr>
          <w:rFonts w:ascii="Times New Roman" w:hAnsi="Times New Roman" w:eastAsia="宋体" w:cs="Times New Roman"/>
          <w:color w:val="auto"/>
          <w:sz w:val="24"/>
          <w:szCs w:val="24"/>
          <w:highlight w:val="none"/>
          <w:lang w:val="en-US"/>
        </w:rPr>
        <w:t>将一定程度</w:t>
      </w:r>
      <w:r>
        <w:rPr>
          <w:rFonts w:hint="eastAsia" w:ascii="Times New Roman" w:hAnsi="Times New Roman" w:eastAsia="宋体" w:cs="Times New Roman"/>
          <w:color w:val="auto"/>
          <w:sz w:val="24"/>
          <w:szCs w:val="24"/>
          <w:highlight w:val="none"/>
          <w:lang w:val="en-US"/>
        </w:rPr>
        <w:t>上</w:t>
      </w:r>
      <w:r>
        <w:rPr>
          <w:rFonts w:ascii="Times New Roman" w:hAnsi="Times New Roman" w:eastAsia="宋体" w:cs="Times New Roman"/>
          <w:color w:val="auto"/>
          <w:sz w:val="24"/>
          <w:szCs w:val="24"/>
          <w:highlight w:val="none"/>
          <w:lang w:val="en-US"/>
        </w:rPr>
        <w:t>改变评价区土地利用格局，使</w:t>
      </w:r>
      <w:r>
        <w:rPr>
          <w:rFonts w:hint="eastAsia" w:ascii="Times New Roman" w:hAnsi="Times New Roman" w:eastAsia="宋体" w:cs="Times New Roman"/>
          <w:color w:val="auto"/>
          <w:sz w:val="24"/>
          <w:szCs w:val="24"/>
          <w:highlight w:val="none"/>
          <w:lang w:val="en-US"/>
        </w:rPr>
        <w:t>耕地</w:t>
      </w:r>
      <w:r>
        <w:rPr>
          <w:rFonts w:ascii="Times New Roman" w:hAnsi="Times New Roman" w:eastAsia="宋体" w:cs="Times New Roman"/>
          <w:color w:val="auto"/>
          <w:sz w:val="24"/>
          <w:szCs w:val="24"/>
          <w:highlight w:val="none"/>
          <w:lang w:val="en-US"/>
        </w:rPr>
        <w:t>、园地</w:t>
      </w:r>
      <w:r>
        <w:rPr>
          <w:rFonts w:hint="eastAsia" w:ascii="Times New Roman" w:hAnsi="Times New Roman" w:eastAsia="宋体" w:cs="Times New Roman"/>
          <w:color w:val="auto"/>
          <w:sz w:val="24"/>
          <w:szCs w:val="24"/>
          <w:highlight w:val="none"/>
          <w:lang w:val="en-US"/>
        </w:rPr>
        <w:t>和林</w:t>
      </w:r>
      <w:r>
        <w:rPr>
          <w:rFonts w:ascii="Times New Roman" w:hAnsi="Times New Roman" w:eastAsia="宋体" w:cs="Times New Roman"/>
          <w:color w:val="auto"/>
          <w:sz w:val="24"/>
          <w:szCs w:val="24"/>
          <w:highlight w:val="none"/>
          <w:lang w:val="en-US"/>
        </w:rPr>
        <w:t>地等地类面积减少，对</w:t>
      </w:r>
      <w:r>
        <w:rPr>
          <w:rFonts w:hint="eastAsia" w:ascii="Times New Roman" w:hAnsi="Times New Roman" w:eastAsia="宋体" w:cs="Times New Roman"/>
          <w:color w:val="auto"/>
          <w:sz w:val="24"/>
          <w:szCs w:val="24"/>
          <w:highlight w:val="none"/>
          <w:lang w:val="en-US"/>
        </w:rPr>
        <w:t>灌区内</w:t>
      </w:r>
      <w:r>
        <w:rPr>
          <w:rFonts w:ascii="Times New Roman" w:hAnsi="Times New Roman" w:eastAsia="宋体" w:cs="Times New Roman"/>
          <w:color w:val="auto"/>
          <w:sz w:val="24"/>
          <w:szCs w:val="24"/>
          <w:highlight w:val="none"/>
          <w:lang w:val="en-US"/>
        </w:rPr>
        <w:t>林业、农业生产和生态效益造成一定影响，但</w:t>
      </w:r>
      <w:r>
        <w:rPr>
          <w:rFonts w:hint="eastAsia" w:ascii="Times New Roman" w:hAnsi="Times New Roman" w:eastAsia="宋体" w:cs="Times New Roman"/>
          <w:color w:val="auto"/>
          <w:sz w:val="24"/>
          <w:szCs w:val="24"/>
          <w:highlight w:val="none"/>
          <w:lang w:val="en-US"/>
        </w:rPr>
        <w:t>本项目</w:t>
      </w:r>
      <w:r>
        <w:rPr>
          <w:rFonts w:hint="eastAsia" w:ascii="Times New Roman" w:hAnsi="Times New Roman" w:eastAsia="宋体" w:cs="Times New Roman"/>
          <w:color w:val="auto"/>
          <w:sz w:val="24"/>
          <w:szCs w:val="24"/>
          <w:highlight w:val="none"/>
          <w:lang w:val="en-US" w:eastAsia="zh-CN"/>
        </w:rPr>
        <w:t>占地面积较小</w:t>
      </w:r>
      <w:r>
        <w:rPr>
          <w:rFonts w:hint="eastAsia" w:ascii="Times New Roman" w:hAnsi="Times New Roman" w:eastAsia="宋体" w:cs="Times New Roman"/>
          <w:color w:val="auto"/>
          <w:sz w:val="24"/>
          <w:szCs w:val="24"/>
          <w:highlight w:val="none"/>
          <w:lang w:val="en-US"/>
        </w:rPr>
        <w:t>，影响较小且短暂。本项目</w:t>
      </w:r>
      <w:r>
        <w:rPr>
          <w:rFonts w:hint="eastAsia" w:ascii="Times New Roman" w:hAnsi="Times New Roman" w:eastAsia="宋体" w:cs="Times New Roman"/>
          <w:color w:val="auto"/>
          <w:sz w:val="24"/>
          <w:szCs w:val="24"/>
          <w:highlight w:val="none"/>
          <w:lang w:val="en-US" w:eastAsia="zh-CN"/>
        </w:rPr>
        <w:t>属于农业生产区域</w:t>
      </w:r>
      <w:r>
        <w:rPr>
          <w:rFonts w:hint="eastAsia" w:ascii="Times New Roman" w:hAnsi="Times New Roman" w:eastAsia="宋体" w:cs="Times New Roman"/>
          <w:color w:val="auto"/>
          <w:sz w:val="24"/>
          <w:szCs w:val="24"/>
          <w:highlight w:val="none"/>
          <w:lang w:val="en-US"/>
        </w:rPr>
        <w:t>，地势相对平缓、土壤较肥沃，工程竣工后可保障灌溉水源，具备良好的复垦条件。对占用最多的耕地，在施工前进行表土剥离，运行期及时进行耕地复垦和植被恢复，工程占地影响将逐渐缓解。</w:t>
      </w:r>
      <w:r>
        <w:rPr>
          <w:rFonts w:ascii="Times New Roman" w:hAnsi="Times New Roman" w:eastAsia="宋体" w:cs="Times New Roman"/>
          <w:color w:val="auto"/>
          <w:sz w:val="24"/>
          <w:szCs w:val="24"/>
          <w:highlight w:val="none"/>
          <w:lang w:val="en-US"/>
        </w:rPr>
        <w:t>因此，工程建设对评价区土地格局影响有限。</w:t>
      </w:r>
    </w:p>
    <w:p>
      <w:pPr>
        <w:pStyle w:val="5"/>
        <w:bidi w:val="0"/>
        <w:rPr>
          <w:rFonts w:hint="default"/>
          <w:lang w:val="en-US" w:eastAsia="zh-CN"/>
        </w:rPr>
      </w:pPr>
      <w:bookmarkStart w:id="590" w:name="_Toc29513"/>
      <w:r>
        <w:rPr>
          <w:rFonts w:hint="eastAsia"/>
          <w:lang w:val="en-US" w:eastAsia="zh-CN"/>
        </w:rPr>
        <w:t>对植被的</w:t>
      </w:r>
      <w:r>
        <w:rPr>
          <w:rFonts w:hint="eastAsia"/>
          <w:lang w:eastAsia="zh-CN"/>
        </w:rPr>
        <w:t>影响</w:t>
      </w:r>
      <w:bookmarkEnd w:id="590"/>
      <w:r>
        <w:rPr>
          <w:rFonts w:hint="eastAsia"/>
          <w:lang w:val="en-US" w:eastAsia="zh-CN"/>
        </w:rPr>
        <w:t>分析</w:t>
      </w:r>
    </w:p>
    <w:p>
      <w:pPr>
        <w:bidi w:val="0"/>
        <w:ind w:firstLine="480" w:firstLineChars="200"/>
        <w:rPr>
          <w:rFonts w:hint="default"/>
          <w:color w:val="auto"/>
          <w:highlight w:val="none"/>
        </w:rPr>
      </w:pPr>
      <w:r>
        <w:rPr>
          <w:rFonts w:hint="default"/>
          <w:color w:val="auto"/>
          <w:highlight w:val="none"/>
          <w:lang w:val="zh-TW" w:eastAsia="zh-TW"/>
        </w:rPr>
        <w:t>提水工程建设对植被的影响主要为施工占地影响。施工影响又根据施工占地性质分为永久影响和临时影响两类。工程建设影响的植被涉及自然植被和人工植被两大类。</w:t>
      </w:r>
    </w:p>
    <w:p>
      <w:pPr>
        <w:bidi w:val="0"/>
        <w:ind w:firstLine="480" w:firstLineChars="200"/>
        <w:rPr>
          <w:rFonts w:hint="default"/>
          <w:color w:val="auto"/>
          <w:highlight w:val="none"/>
        </w:rPr>
      </w:pPr>
      <w:r>
        <w:rPr>
          <w:rFonts w:hint="default"/>
          <w:color w:val="auto"/>
          <w:highlight w:val="none"/>
          <w:lang w:val="zh-TW" w:eastAsia="zh-TW"/>
        </w:rPr>
        <w:t>根据最新</w:t>
      </w:r>
      <w:r>
        <w:rPr>
          <w:rFonts w:hint="eastAsia"/>
          <w:color w:val="auto"/>
          <w:highlight w:val="none"/>
          <w:lang w:val="en-US" w:eastAsia="zh-CN"/>
        </w:rPr>
        <w:t>设计</w:t>
      </w:r>
      <w:r>
        <w:rPr>
          <w:rFonts w:hint="default"/>
          <w:color w:val="auto"/>
          <w:highlight w:val="none"/>
          <w:lang w:val="zh-TW" w:eastAsia="zh-TW"/>
        </w:rPr>
        <w:t>资料及现场调查，工程对林地总占地面积中分为永久占地和临时占地，永久占地</w:t>
      </w:r>
      <w:r>
        <w:rPr>
          <w:rFonts w:hint="eastAsia" w:ascii="Times New Roman" w:hAnsi="Times New Roman" w:eastAsia="宋体" w:cs="Times New Roman"/>
          <w:color w:val="auto"/>
          <w:kern w:val="0"/>
          <w:sz w:val="24"/>
          <w:szCs w:val="24"/>
          <w:lang w:val="en-US" w:eastAsia="zh-CN" w:bidi="ar"/>
        </w:rPr>
        <w:t>2.46hm</w:t>
      </w:r>
      <w:r>
        <w:rPr>
          <w:rFonts w:hint="eastAsia" w:ascii="Times New Roman" w:hAnsi="Times New Roman" w:eastAsia="宋体" w:cs="Times New Roman"/>
          <w:color w:val="auto"/>
          <w:kern w:val="0"/>
          <w:sz w:val="24"/>
          <w:szCs w:val="24"/>
          <w:vertAlign w:val="superscript"/>
          <w:lang w:val="en-US" w:eastAsia="zh-CN" w:bidi="ar"/>
        </w:rPr>
        <w:t>2</w:t>
      </w:r>
      <w:r>
        <w:rPr>
          <w:rFonts w:hint="default"/>
          <w:color w:val="auto"/>
          <w:highlight w:val="none"/>
          <w:lang w:val="en-US" w:eastAsia="en-US"/>
        </w:rPr>
        <w:t>，</w:t>
      </w:r>
      <w:r>
        <w:rPr>
          <w:rFonts w:hint="default"/>
          <w:color w:val="auto"/>
          <w:highlight w:val="none"/>
          <w:lang w:val="zh-TW" w:eastAsia="zh-TW"/>
        </w:rPr>
        <w:t>临时占地</w:t>
      </w:r>
      <w:r>
        <w:rPr>
          <w:rFonts w:hint="default" w:ascii="Times New Roman" w:hAnsi="Times New Roman" w:eastAsia="宋体" w:cs="Times New Roman"/>
          <w:color w:val="auto"/>
          <w:kern w:val="0"/>
          <w:sz w:val="24"/>
          <w:szCs w:val="24"/>
          <w:lang w:val="en-US" w:eastAsia="zh-CN" w:bidi="ar"/>
        </w:rPr>
        <w:t>47.32hm²</w:t>
      </w:r>
      <w:r>
        <w:rPr>
          <w:rFonts w:hint="default"/>
          <w:color w:val="auto"/>
          <w:highlight w:val="none"/>
          <w:lang w:val="en-US" w:eastAsia="en-US"/>
        </w:rPr>
        <w:t>。</w:t>
      </w:r>
      <w:r>
        <w:rPr>
          <w:rFonts w:hint="default"/>
          <w:color w:val="auto"/>
          <w:highlight w:val="none"/>
          <w:lang w:val="zh-TW" w:eastAsia="zh-TW"/>
        </w:rPr>
        <w:t>根据现场勘察结合主体设计资料分析，本工程中泵站建筑物、输水管道占地为永久占地，其余各区均为临时占地。</w:t>
      </w:r>
    </w:p>
    <w:p>
      <w:pPr>
        <w:bidi w:val="0"/>
        <w:ind w:firstLine="482" w:firstLineChars="200"/>
        <w:rPr>
          <w:rFonts w:hint="default"/>
          <w:b/>
          <w:bCs/>
          <w:color w:val="auto"/>
          <w:highlight w:val="none"/>
        </w:rPr>
      </w:pPr>
      <w:r>
        <w:rPr>
          <w:rFonts w:hint="eastAsia"/>
          <w:b/>
          <w:bCs/>
          <w:color w:val="auto"/>
          <w:highlight w:val="none"/>
          <w:lang w:val="en-US" w:eastAsia="zh-CN"/>
        </w:rPr>
        <w:t>1</w:t>
      </w:r>
      <w:r>
        <w:rPr>
          <w:rFonts w:hint="default"/>
          <w:b/>
          <w:bCs/>
          <w:color w:val="auto"/>
          <w:highlight w:val="none"/>
          <w:lang w:val="en-US" w:eastAsia="zh-CN"/>
        </w:rPr>
        <w:t>、</w:t>
      </w:r>
      <w:r>
        <w:rPr>
          <w:rFonts w:hint="default"/>
          <w:b/>
          <w:bCs/>
          <w:color w:val="auto"/>
          <w:highlight w:val="none"/>
          <w:lang w:val="zh-TW" w:eastAsia="zh-TW"/>
        </w:rPr>
        <w:t>永久占地对植被的影响预测评价</w:t>
      </w:r>
    </w:p>
    <w:p>
      <w:pPr>
        <w:bidi w:val="0"/>
        <w:ind w:firstLine="480" w:firstLineChars="200"/>
        <w:rPr>
          <w:rFonts w:hint="eastAsia"/>
          <w:color w:val="auto"/>
          <w:highlight w:val="none"/>
          <w:lang w:eastAsia="zh-CN"/>
        </w:rPr>
      </w:pPr>
      <w:r>
        <w:rPr>
          <w:rFonts w:hint="default"/>
          <w:color w:val="auto"/>
          <w:highlight w:val="none"/>
          <w:lang w:val="zh-TW" w:eastAsia="zh-TW"/>
        </w:rPr>
        <w:t>工程施工永久占用</w:t>
      </w:r>
      <w:r>
        <w:rPr>
          <w:rFonts w:hint="eastAsia"/>
          <w:color w:val="auto"/>
          <w:highlight w:val="none"/>
          <w:lang w:val="en-US" w:eastAsia="zh-CN"/>
        </w:rPr>
        <w:t>面积共</w:t>
      </w:r>
      <w:r>
        <w:rPr>
          <w:rFonts w:hint="eastAsia" w:ascii="Times New Roman" w:hAnsi="Times New Roman" w:eastAsia="宋体" w:cs="Times New Roman"/>
          <w:color w:val="auto"/>
          <w:kern w:val="0"/>
          <w:sz w:val="24"/>
          <w:szCs w:val="24"/>
          <w:lang w:val="en-US" w:eastAsia="zh-CN" w:bidi="ar"/>
        </w:rPr>
        <w:t>2.46hm</w:t>
      </w:r>
      <w:r>
        <w:rPr>
          <w:rFonts w:hint="eastAsia" w:ascii="Times New Roman" w:hAnsi="Times New Roman" w:eastAsia="宋体" w:cs="Times New Roman"/>
          <w:color w:val="auto"/>
          <w:kern w:val="0"/>
          <w:sz w:val="24"/>
          <w:szCs w:val="24"/>
          <w:vertAlign w:val="superscript"/>
          <w:lang w:val="en-US" w:eastAsia="zh-CN" w:bidi="ar"/>
        </w:rPr>
        <w:t>2</w:t>
      </w:r>
      <w:r>
        <w:rPr>
          <w:rFonts w:hint="eastAsia"/>
          <w:color w:val="auto"/>
          <w:highlight w:val="none"/>
          <w:lang w:eastAsia="zh-CN"/>
        </w:rPr>
        <w:t>，</w:t>
      </w:r>
      <w:r>
        <w:rPr>
          <w:rFonts w:hint="default"/>
          <w:color w:val="auto"/>
          <w:highlight w:val="none"/>
          <w:lang w:val="zh-TW" w:eastAsia="zh-TW"/>
        </w:rPr>
        <w:t>主要是泵站建筑物、</w:t>
      </w:r>
      <w:r>
        <w:rPr>
          <w:rFonts w:hint="default"/>
          <w:color w:val="auto"/>
          <w:highlight w:val="none"/>
          <w:lang w:val="en-US" w:eastAsia="zh-CN"/>
        </w:rPr>
        <w:t>闸室、水池</w:t>
      </w:r>
      <w:r>
        <w:rPr>
          <w:rFonts w:hint="default"/>
          <w:color w:val="auto"/>
          <w:highlight w:val="none"/>
          <w:lang w:val="zh-TW" w:eastAsia="zh-TW"/>
        </w:rPr>
        <w:t>。</w:t>
      </w:r>
    </w:p>
    <w:p>
      <w:pPr>
        <w:bidi w:val="0"/>
        <w:ind w:firstLine="480" w:firstLineChars="200"/>
        <w:rPr>
          <w:rFonts w:hint="eastAsia"/>
          <w:color w:val="auto"/>
          <w:highlight w:val="none"/>
          <w:lang w:val="en-US"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rFonts w:hint="eastAsia"/>
          <w:color w:val="auto"/>
          <w:highlight w:val="none"/>
          <w:lang w:val="en-US" w:eastAsia="zh-CN"/>
        </w:rPr>
        <w:t>对自然植被的影响</w:t>
      </w:r>
    </w:p>
    <w:p>
      <w:pPr>
        <w:bidi w:val="0"/>
        <w:ind w:firstLine="480" w:firstLineChars="200"/>
        <w:rPr>
          <w:rFonts w:hint="default"/>
          <w:color w:val="auto"/>
          <w:highlight w:val="none"/>
          <w:lang w:val="zh-TW" w:eastAsia="zh-TW"/>
        </w:rPr>
      </w:pPr>
      <w:r>
        <w:rPr>
          <w:rFonts w:hint="eastAsia"/>
          <w:color w:val="auto"/>
          <w:highlight w:val="none"/>
          <w:lang w:val="en-US" w:eastAsia="zh-CN"/>
        </w:rPr>
        <w:t>项目永久占用自然植被</w:t>
      </w:r>
      <w:r>
        <w:rPr>
          <w:rFonts w:hint="eastAsia" w:ascii="Times New Roman" w:hAnsi="Times New Roman" w:eastAsia="宋体" w:cs="Times New Roman"/>
          <w:color w:val="auto"/>
          <w:kern w:val="0"/>
          <w:sz w:val="24"/>
          <w:szCs w:val="24"/>
          <w:lang w:val="en-US" w:eastAsia="zh-CN" w:bidi="ar"/>
        </w:rPr>
        <w:t>2.46hm</w:t>
      </w:r>
      <w:r>
        <w:rPr>
          <w:rFonts w:hint="eastAsia" w:ascii="Times New Roman" w:hAnsi="Times New Roman" w:eastAsia="宋体" w:cs="Times New Roman"/>
          <w:color w:val="auto"/>
          <w:kern w:val="0"/>
          <w:sz w:val="24"/>
          <w:szCs w:val="24"/>
          <w:vertAlign w:val="superscript"/>
          <w:lang w:val="en-US" w:eastAsia="zh-CN" w:bidi="ar"/>
        </w:rPr>
        <w:t>2</w:t>
      </w:r>
      <w:r>
        <w:rPr>
          <w:rFonts w:hint="default"/>
          <w:color w:val="auto"/>
          <w:highlight w:val="none"/>
          <w:lang w:eastAsia="zh-CN"/>
        </w:rPr>
        <w:t>，</w:t>
      </w:r>
      <w:r>
        <w:rPr>
          <w:rFonts w:hint="default"/>
          <w:color w:val="auto"/>
          <w:highlight w:val="none"/>
          <w:lang w:val="zh-TW" w:eastAsia="zh-TW"/>
        </w:rPr>
        <w:t>这部份自然植被将因为泵站、输水管道和压力管道建设而永久消失，影响是不可逆的，但</w:t>
      </w:r>
      <w:r>
        <w:rPr>
          <w:rFonts w:hint="eastAsia"/>
          <w:color w:val="auto"/>
          <w:highlight w:val="none"/>
          <w:lang w:val="en-US" w:eastAsia="zh-CN"/>
        </w:rPr>
        <w:t>评价区耕种历史悠久，项目占用的干热性河谷灌丛及干热性稀树灌木草丛</w:t>
      </w:r>
      <w:r>
        <w:rPr>
          <w:rFonts w:hint="eastAsia" w:ascii="Times New Roman" w:hAnsi="Times New Roman" w:eastAsia="宋体" w:cs="Times New Roman"/>
          <w:color w:val="auto"/>
          <w:sz w:val="24"/>
          <w:szCs w:val="24"/>
          <w:highlight w:val="none"/>
          <w:lang w:val="en-US" w:eastAsia="zh-CN"/>
        </w:rPr>
        <w:t>均为受人为影响强烈的次生</w:t>
      </w:r>
      <w:r>
        <w:rPr>
          <w:color w:val="auto"/>
          <w:sz w:val="24"/>
          <w:highlight w:val="none"/>
        </w:rPr>
        <w:t>植被</w:t>
      </w:r>
      <w:r>
        <w:rPr>
          <w:rFonts w:hint="eastAsia"/>
          <w:color w:val="auto"/>
          <w:sz w:val="24"/>
          <w:highlight w:val="none"/>
          <w:lang w:eastAsia="zh-CN"/>
        </w:rPr>
        <w:t>，</w:t>
      </w:r>
      <w:r>
        <w:rPr>
          <w:color w:val="auto"/>
          <w:sz w:val="24"/>
          <w:highlight w:val="none"/>
        </w:rPr>
        <w:t>生物多样性</w:t>
      </w:r>
      <w:r>
        <w:rPr>
          <w:rFonts w:hint="eastAsia"/>
          <w:color w:val="auto"/>
          <w:sz w:val="24"/>
          <w:highlight w:val="none"/>
        </w:rPr>
        <w:t>及</w:t>
      </w:r>
      <w:r>
        <w:rPr>
          <w:color w:val="auto"/>
          <w:sz w:val="24"/>
          <w:highlight w:val="none"/>
        </w:rPr>
        <w:t>低，</w:t>
      </w:r>
      <w:r>
        <w:rPr>
          <w:rFonts w:hint="eastAsia"/>
          <w:color w:val="auto"/>
          <w:sz w:val="24"/>
          <w:highlight w:val="none"/>
          <w:lang w:val="en-US" w:eastAsia="zh-CN"/>
        </w:rPr>
        <w:t>且占用的面积极小，占评价区同类植被比例均不足1%，这2种植被在项目评价区，乃至该区域还有大面积分布，工程的建设不会造成这2种植被消失，因此本项目永久占地对评价区自然植被影响有限</w:t>
      </w:r>
      <w:r>
        <w:rPr>
          <w:rFonts w:hint="default"/>
          <w:color w:val="auto"/>
          <w:highlight w:val="none"/>
          <w:lang w:val="zh-TW" w:eastAsia="zh-TW"/>
        </w:rPr>
        <w:t>。</w:t>
      </w:r>
    </w:p>
    <w:p>
      <w:pPr>
        <w:bidi w:val="0"/>
        <w:ind w:firstLine="480" w:firstLineChars="200"/>
        <w:rPr>
          <w:rFonts w:hint="default"/>
          <w:color w:val="auto"/>
          <w:highlight w:val="none"/>
          <w:lang w:val="en-US" w:eastAsia="zh-CN"/>
        </w:rPr>
      </w:pPr>
      <w:r>
        <w:rPr>
          <w:rFonts w:hint="eastAsia"/>
          <w:color w:val="auto"/>
          <w:highlight w:val="none"/>
          <w:lang w:val="zh-TW" w:eastAsia="zh-CN"/>
        </w:rPr>
        <w:t>（</w:t>
      </w:r>
      <w:r>
        <w:rPr>
          <w:rFonts w:hint="eastAsia"/>
          <w:color w:val="auto"/>
          <w:highlight w:val="none"/>
          <w:lang w:val="en-US" w:eastAsia="zh-CN"/>
        </w:rPr>
        <w:t>2</w:t>
      </w:r>
      <w:r>
        <w:rPr>
          <w:rFonts w:hint="eastAsia"/>
          <w:color w:val="auto"/>
          <w:highlight w:val="none"/>
          <w:lang w:val="zh-TW" w:eastAsia="zh-CN"/>
        </w:rPr>
        <w:t>）</w:t>
      </w:r>
      <w:r>
        <w:rPr>
          <w:rFonts w:hint="eastAsia"/>
          <w:color w:val="auto"/>
          <w:highlight w:val="none"/>
          <w:lang w:val="en-US" w:eastAsia="zh-CN"/>
        </w:rPr>
        <w:t xml:space="preserve">对人工植被的影响 </w:t>
      </w:r>
    </w:p>
    <w:p>
      <w:pPr>
        <w:bidi w:val="0"/>
        <w:ind w:firstLine="480" w:firstLineChars="200"/>
        <w:rPr>
          <w:rFonts w:hint="default"/>
          <w:color w:val="auto"/>
          <w:highlight w:val="none"/>
          <w:lang w:val="zh-TW" w:eastAsia="zh-TW"/>
        </w:rPr>
      </w:pPr>
      <w:r>
        <w:rPr>
          <w:rFonts w:hint="eastAsia"/>
          <w:color w:val="auto"/>
          <w:highlight w:val="none"/>
          <w:lang w:val="en-US" w:eastAsia="zh-CN"/>
        </w:rPr>
        <w:t>项目永久占用人工植被1.12</w:t>
      </w:r>
      <w:r>
        <w:rPr>
          <w:rFonts w:hint="default"/>
          <w:color w:val="auto"/>
          <w:highlight w:val="none"/>
          <w:lang w:eastAsia="zh-CN"/>
        </w:rPr>
        <w:t>hm²</w:t>
      </w:r>
      <w:r>
        <w:rPr>
          <w:rFonts w:hint="eastAsia"/>
          <w:color w:val="auto"/>
          <w:highlight w:val="none"/>
          <w:lang w:eastAsia="zh-CN"/>
        </w:rPr>
        <w:t>，</w:t>
      </w:r>
      <w:r>
        <w:rPr>
          <w:rFonts w:hint="eastAsia"/>
          <w:color w:val="auto"/>
          <w:highlight w:val="none"/>
          <w:lang w:val="en-US" w:eastAsia="zh-CN"/>
        </w:rPr>
        <w:t>占评价区人工植被中的0.07%，包括人工林植被0.03</w:t>
      </w:r>
      <w:r>
        <w:rPr>
          <w:rFonts w:hint="default"/>
          <w:color w:val="auto"/>
          <w:highlight w:val="none"/>
          <w:lang w:eastAsia="zh-CN"/>
        </w:rPr>
        <w:t>hm²，</w:t>
      </w:r>
      <w:r>
        <w:rPr>
          <w:rFonts w:hint="eastAsia"/>
          <w:color w:val="auto"/>
          <w:highlight w:val="none"/>
          <w:lang w:val="en-US" w:eastAsia="zh-CN"/>
        </w:rPr>
        <w:t>占评价区该类植被总面积的0.01%；园地植被0.52</w:t>
      </w:r>
      <w:r>
        <w:rPr>
          <w:rFonts w:hint="default"/>
          <w:color w:val="auto"/>
          <w:highlight w:val="none"/>
          <w:lang w:eastAsia="zh-CN"/>
        </w:rPr>
        <w:t>hm²，</w:t>
      </w:r>
      <w:r>
        <w:rPr>
          <w:rFonts w:hint="eastAsia"/>
          <w:color w:val="auto"/>
          <w:highlight w:val="none"/>
          <w:lang w:val="en-US" w:eastAsia="zh-CN"/>
        </w:rPr>
        <w:t>占评价区该类植被总面积的0.18%；耕地植被0.57</w:t>
      </w:r>
      <w:r>
        <w:rPr>
          <w:rFonts w:hint="default"/>
          <w:color w:val="auto"/>
          <w:highlight w:val="none"/>
          <w:lang w:eastAsia="zh-CN"/>
        </w:rPr>
        <w:t>hm²，</w:t>
      </w:r>
      <w:r>
        <w:rPr>
          <w:rFonts w:hint="eastAsia"/>
          <w:color w:val="auto"/>
          <w:highlight w:val="none"/>
          <w:lang w:val="en-US" w:eastAsia="zh-CN"/>
        </w:rPr>
        <w:t>占评价区该类植被总面积的0.05%；工程永久占用人工植被面积，均不足评价区同类植被的1%</w:t>
      </w:r>
      <w:r>
        <w:rPr>
          <w:rFonts w:hint="default"/>
          <w:color w:val="auto"/>
          <w:highlight w:val="none"/>
          <w:lang w:val="zh-TW" w:eastAsia="zh-TW"/>
        </w:rPr>
        <w:t>，</w:t>
      </w:r>
      <w:r>
        <w:rPr>
          <w:rFonts w:hint="eastAsia"/>
          <w:color w:val="auto"/>
          <w:highlight w:val="none"/>
          <w:lang w:val="en-US" w:eastAsia="zh-CN"/>
        </w:rPr>
        <w:t>占用比例极小，因此</w:t>
      </w:r>
      <w:r>
        <w:rPr>
          <w:rFonts w:hint="default"/>
          <w:color w:val="auto"/>
          <w:highlight w:val="none"/>
          <w:lang w:val="zh-TW" w:eastAsia="zh-TW"/>
        </w:rPr>
        <w:t>工程占用对评价区</w:t>
      </w:r>
      <w:r>
        <w:rPr>
          <w:rFonts w:hint="eastAsia"/>
          <w:color w:val="auto"/>
          <w:highlight w:val="none"/>
          <w:lang w:val="en-US" w:eastAsia="zh-CN"/>
        </w:rPr>
        <w:t>人工</w:t>
      </w:r>
      <w:r>
        <w:rPr>
          <w:rFonts w:hint="default"/>
          <w:color w:val="auto"/>
          <w:highlight w:val="none"/>
          <w:lang w:val="zh-TW" w:eastAsia="zh-TW"/>
        </w:rPr>
        <w:t>植被影响不大。</w:t>
      </w:r>
    </w:p>
    <w:p>
      <w:pPr>
        <w:pStyle w:val="40"/>
        <w:bidi w:val="0"/>
        <w:rPr>
          <w:rFonts w:hint="default"/>
          <w:color w:val="auto"/>
          <w:highlight w:val="none"/>
          <w:lang w:val="en-US" w:eastAsia="zh-CN"/>
        </w:rPr>
      </w:pPr>
      <w:r>
        <w:rPr>
          <w:rFonts w:hint="default"/>
          <w:color w:val="auto"/>
          <w:highlight w:val="none"/>
          <w:lang w:val="zh-TW" w:eastAsia="zh-TW"/>
        </w:rPr>
        <w:t>表</w:t>
      </w:r>
      <w:r>
        <w:rPr>
          <w:rFonts w:hint="default"/>
          <w:color w:val="auto"/>
          <w:highlight w:val="none"/>
          <w:lang w:val="en-US" w:eastAsia="en-US"/>
        </w:rPr>
        <w:t>5.1</w:t>
      </w:r>
      <w:r>
        <w:rPr>
          <w:rFonts w:hint="eastAsia"/>
          <w:color w:val="auto"/>
          <w:highlight w:val="none"/>
          <w:lang w:val="en-US" w:eastAsia="zh-CN"/>
        </w:rPr>
        <w:t>.7</w:t>
      </w:r>
      <w:r>
        <w:rPr>
          <w:rFonts w:hint="default"/>
          <w:color w:val="auto"/>
          <w:highlight w:val="none"/>
          <w:lang w:val="en-US" w:eastAsia="en-US"/>
        </w:rPr>
        <w:t>-</w:t>
      </w:r>
      <w:r>
        <w:rPr>
          <w:rFonts w:hint="eastAsia"/>
          <w:color w:val="auto"/>
          <w:highlight w:val="none"/>
          <w:lang w:val="en-US" w:eastAsia="zh-CN"/>
        </w:rPr>
        <w:t xml:space="preserve">1  </w:t>
      </w:r>
      <w:r>
        <w:rPr>
          <w:rFonts w:hint="default"/>
          <w:color w:val="auto"/>
          <w:highlight w:val="none"/>
          <w:lang w:val="zh-TW" w:eastAsia="zh-TW"/>
        </w:rPr>
        <w:t>工程建设</w:t>
      </w:r>
      <w:r>
        <w:rPr>
          <w:rFonts w:hint="eastAsia"/>
          <w:color w:val="auto"/>
          <w:highlight w:val="none"/>
          <w:lang w:val="en-US" w:eastAsia="zh-CN"/>
        </w:rPr>
        <w:t>永久占用植被一览表  单位：</w:t>
      </w:r>
      <w:r>
        <w:rPr>
          <w:rFonts w:hint="default"/>
          <w:color w:val="auto"/>
          <w:highlight w:val="none"/>
          <w:lang w:eastAsia="zh-CN"/>
        </w:rPr>
        <w:t>hm²</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77"/>
        <w:gridCol w:w="2151"/>
        <w:gridCol w:w="1616"/>
        <w:gridCol w:w="1817"/>
        <w:gridCol w:w="1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7" w:hRule="atLeast"/>
        </w:trPr>
        <w:tc>
          <w:tcPr>
            <w:tcW w:w="632"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eastAsia" w:cs="Times New Roman"/>
                <w:b/>
                <w:bCs/>
                <w:i w:val="0"/>
                <w:iCs w:val="0"/>
                <w:color w:val="auto"/>
                <w:kern w:val="0"/>
                <w:sz w:val="21"/>
                <w:szCs w:val="21"/>
                <w:highlight w:val="none"/>
                <w:u w:val="none"/>
                <w:lang w:val="en-US" w:eastAsia="zh-CN" w:bidi="ar"/>
              </w:rPr>
              <w:t>属性</w:t>
            </w:r>
          </w:p>
        </w:tc>
        <w:tc>
          <w:tcPr>
            <w:tcW w:w="1262"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植被类型</w:t>
            </w:r>
          </w:p>
        </w:tc>
        <w:tc>
          <w:tcPr>
            <w:tcW w:w="94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评价区面积</w:t>
            </w:r>
          </w:p>
        </w:tc>
        <w:tc>
          <w:tcPr>
            <w:tcW w:w="1066"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永久占地面积</w:t>
            </w:r>
          </w:p>
        </w:tc>
        <w:tc>
          <w:tcPr>
            <w:tcW w:w="10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占评价区%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632"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自然植被</w:t>
            </w:r>
          </w:p>
        </w:tc>
        <w:tc>
          <w:tcPr>
            <w:tcW w:w="1262"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暖温性针叶林</w:t>
            </w:r>
          </w:p>
        </w:tc>
        <w:tc>
          <w:tcPr>
            <w:tcW w:w="94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138.22</w:t>
            </w:r>
          </w:p>
        </w:tc>
        <w:tc>
          <w:tcPr>
            <w:tcW w:w="1066" w:type="pct"/>
            <w:shd w:val="clear" w:color="auto" w:fill="auto"/>
            <w:noWrap/>
            <w:vAlign w:val="center"/>
          </w:tcPr>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rPr>
                <w:rFonts w:hint="eastAsia"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w:t>
            </w:r>
          </w:p>
        </w:tc>
        <w:tc>
          <w:tcPr>
            <w:tcW w:w="10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2" w:type="pct"/>
            <w:vMerge w:val="continue"/>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262"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干热性灌丛</w:t>
            </w:r>
          </w:p>
        </w:tc>
        <w:tc>
          <w:tcPr>
            <w:tcW w:w="94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1489.64</w:t>
            </w:r>
          </w:p>
        </w:tc>
        <w:tc>
          <w:tcPr>
            <w:tcW w:w="1066"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2.12</w:t>
            </w:r>
          </w:p>
        </w:tc>
        <w:tc>
          <w:tcPr>
            <w:tcW w:w="10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632" w:type="pct"/>
            <w:vMerge w:val="continue"/>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262"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干热性稀树灌木草丛</w:t>
            </w:r>
          </w:p>
        </w:tc>
        <w:tc>
          <w:tcPr>
            <w:tcW w:w="94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809.82</w:t>
            </w:r>
          </w:p>
        </w:tc>
        <w:tc>
          <w:tcPr>
            <w:tcW w:w="1066"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0.40</w:t>
            </w:r>
          </w:p>
        </w:tc>
        <w:tc>
          <w:tcPr>
            <w:tcW w:w="10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632" w:type="pct"/>
            <w:vMerge w:val="continue"/>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262"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小计</w:t>
            </w:r>
          </w:p>
        </w:tc>
        <w:tc>
          <w:tcPr>
            <w:tcW w:w="1616"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2437.68</w:t>
            </w:r>
          </w:p>
        </w:tc>
        <w:tc>
          <w:tcPr>
            <w:tcW w:w="181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2.52</w:t>
            </w:r>
          </w:p>
        </w:tc>
        <w:tc>
          <w:tcPr>
            <w:tcW w:w="1858"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632"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人工植被</w:t>
            </w:r>
          </w:p>
        </w:tc>
        <w:tc>
          <w:tcPr>
            <w:tcW w:w="1262"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人工林植被</w:t>
            </w:r>
          </w:p>
        </w:tc>
        <w:tc>
          <w:tcPr>
            <w:tcW w:w="94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257.11</w:t>
            </w:r>
          </w:p>
        </w:tc>
        <w:tc>
          <w:tcPr>
            <w:tcW w:w="1066"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10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632" w:type="pct"/>
            <w:vMerge w:val="continue"/>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262"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园地植被</w:t>
            </w:r>
          </w:p>
        </w:tc>
        <w:tc>
          <w:tcPr>
            <w:tcW w:w="94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293.76</w:t>
            </w:r>
          </w:p>
        </w:tc>
        <w:tc>
          <w:tcPr>
            <w:tcW w:w="1066"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0.52</w:t>
            </w:r>
          </w:p>
        </w:tc>
        <w:tc>
          <w:tcPr>
            <w:tcW w:w="10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632" w:type="pct"/>
            <w:vMerge w:val="continue"/>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262"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耕地植被</w:t>
            </w:r>
          </w:p>
        </w:tc>
        <w:tc>
          <w:tcPr>
            <w:tcW w:w="94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1135.8</w:t>
            </w:r>
          </w:p>
        </w:tc>
        <w:tc>
          <w:tcPr>
            <w:tcW w:w="1066"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0.57</w:t>
            </w:r>
          </w:p>
        </w:tc>
        <w:tc>
          <w:tcPr>
            <w:tcW w:w="10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632" w:type="pct"/>
            <w:vMerge w:val="continue"/>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262"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小计</w:t>
            </w:r>
          </w:p>
        </w:tc>
        <w:tc>
          <w:tcPr>
            <w:tcW w:w="1616"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1686.67</w:t>
            </w:r>
          </w:p>
        </w:tc>
        <w:tc>
          <w:tcPr>
            <w:tcW w:w="181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1.12</w:t>
            </w:r>
          </w:p>
        </w:tc>
        <w:tc>
          <w:tcPr>
            <w:tcW w:w="1858"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894" w:type="pct"/>
            <w:gridSpan w:val="2"/>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非植被</w:t>
            </w:r>
          </w:p>
        </w:tc>
        <w:tc>
          <w:tcPr>
            <w:tcW w:w="94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185.17</w:t>
            </w:r>
          </w:p>
        </w:tc>
        <w:tc>
          <w:tcPr>
            <w:tcW w:w="1066"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0.07</w:t>
            </w:r>
          </w:p>
        </w:tc>
        <w:tc>
          <w:tcPr>
            <w:tcW w:w="10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1894" w:type="pct"/>
            <w:gridSpan w:val="2"/>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合计</w:t>
            </w:r>
          </w:p>
        </w:tc>
        <w:tc>
          <w:tcPr>
            <w:tcW w:w="94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4309.52</w:t>
            </w:r>
          </w:p>
        </w:tc>
        <w:tc>
          <w:tcPr>
            <w:tcW w:w="1066"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3.70</w:t>
            </w:r>
          </w:p>
        </w:tc>
        <w:tc>
          <w:tcPr>
            <w:tcW w:w="10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0.09%</w:t>
            </w:r>
          </w:p>
        </w:tc>
      </w:tr>
    </w:tbl>
    <w:p>
      <w:pPr>
        <w:bidi w:val="0"/>
        <w:ind w:firstLine="482" w:firstLineChars="200"/>
        <w:rPr>
          <w:rFonts w:hint="default"/>
          <w:b/>
          <w:bCs/>
          <w:color w:val="auto"/>
          <w:highlight w:val="none"/>
        </w:rPr>
      </w:pPr>
      <w:bookmarkStart w:id="591" w:name="bookmark114"/>
      <w:r>
        <w:rPr>
          <w:rFonts w:hint="eastAsia"/>
          <w:b/>
          <w:bCs/>
          <w:color w:val="auto"/>
          <w:highlight w:val="none"/>
          <w:lang w:val="en-US" w:eastAsia="zh-CN"/>
        </w:rPr>
        <w:t>2</w:t>
      </w:r>
      <w:r>
        <w:rPr>
          <w:rFonts w:hint="default"/>
          <w:b/>
          <w:bCs/>
          <w:color w:val="auto"/>
          <w:highlight w:val="none"/>
          <w:lang w:val="en-US" w:eastAsia="zh-CN"/>
        </w:rPr>
        <w:t>、</w:t>
      </w:r>
      <w:r>
        <w:rPr>
          <w:rFonts w:hint="default"/>
          <w:b/>
          <w:bCs/>
          <w:color w:val="auto"/>
          <w:highlight w:val="none"/>
          <w:lang w:val="zh-TW" w:eastAsia="zh-TW"/>
        </w:rPr>
        <w:t>临时占地对植被的影响预测评价</w:t>
      </w:r>
      <w:bookmarkEnd w:id="591"/>
    </w:p>
    <w:p>
      <w:pPr>
        <w:bidi w:val="0"/>
        <w:ind w:firstLine="480" w:firstLineChars="200"/>
        <w:rPr>
          <w:rFonts w:hint="eastAsia"/>
          <w:color w:val="auto"/>
          <w:highlight w:val="none"/>
          <w:lang w:eastAsia="zh-CN"/>
        </w:rPr>
      </w:pPr>
      <w:r>
        <w:rPr>
          <w:rFonts w:hint="default"/>
          <w:color w:val="auto"/>
          <w:highlight w:val="none"/>
          <w:lang w:val="zh-TW" w:eastAsia="zh-TW"/>
        </w:rPr>
        <w:t>根据最新资料及现场调查，</w:t>
      </w:r>
      <w:r>
        <w:rPr>
          <w:rFonts w:hint="default"/>
          <w:color w:val="auto"/>
          <w:highlight w:val="none"/>
          <w:lang w:val="en-US" w:eastAsia="zh-CN"/>
        </w:rPr>
        <w:t>项目</w:t>
      </w:r>
      <w:r>
        <w:rPr>
          <w:rFonts w:hint="default"/>
          <w:color w:val="auto"/>
          <w:highlight w:val="none"/>
          <w:lang w:val="zh-TW" w:eastAsia="zh-TW"/>
        </w:rPr>
        <w:t>临时占地</w:t>
      </w:r>
      <w:r>
        <w:rPr>
          <w:rFonts w:hint="default" w:ascii="Times New Roman" w:hAnsi="Times New Roman" w:eastAsia="宋体" w:cs="Times New Roman"/>
          <w:color w:val="auto"/>
          <w:kern w:val="0"/>
          <w:sz w:val="24"/>
          <w:szCs w:val="24"/>
          <w:lang w:val="en-US" w:eastAsia="zh-CN" w:bidi="ar"/>
        </w:rPr>
        <w:t>47.32hm²</w:t>
      </w:r>
      <w:r>
        <w:rPr>
          <w:rFonts w:hint="default"/>
          <w:color w:val="auto"/>
          <w:highlight w:val="none"/>
          <w:lang w:val="en-US" w:eastAsia="en-US"/>
        </w:rPr>
        <w:t>，</w:t>
      </w:r>
      <w:r>
        <w:rPr>
          <w:rFonts w:hint="eastAsia"/>
          <w:color w:val="auto"/>
          <w:highlight w:val="none"/>
          <w:lang w:val="en-US" w:eastAsia="zh-CN"/>
        </w:rPr>
        <w:t>包括自然植被和人工植被</w:t>
      </w:r>
      <w:r>
        <w:rPr>
          <w:rFonts w:hint="eastAsia"/>
          <w:color w:val="auto"/>
          <w:highlight w:val="none"/>
          <w:lang w:eastAsia="zh-CN"/>
        </w:rPr>
        <w:t>。</w:t>
      </w:r>
    </w:p>
    <w:p>
      <w:pPr>
        <w:bidi w:val="0"/>
        <w:ind w:firstLine="480" w:firstLineChars="200"/>
        <w:rPr>
          <w:rFonts w:hint="default"/>
          <w:color w:val="auto"/>
          <w:highlight w:val="none"/>
          <w:lang w:val="zh-TW" w:eastAsia="zh-TW"/>
        </w:rPr>
      </w:pPr>
      <w:r>
        <w:rPr>
          <w:rFonts w:hint="default"/>
          <w:color w:val="auto"/>
          <w:highlight w:val="none"/>
          <w:lang w:val="zh-TW" w:eastAsia="zh-TW"/>
        </w:rPr>
        <w:t>施工临时占用的自然植被面积较小，而且工程竣工后，所形成的施工迹地要进行植被恢复措施，通过人工恢复和自然恢复，</w:t>
      </w:r>
      <w:r>
        <w:rPr>
          <w:rFonts w:hint="eastAsia"/>
          <w:color w:val="auto"/>
          <w:highlight w:val="none"/>
          <w:lang w:val="zh-TW" w:eastAsia="zh-CN"/>
        </w:rPr>
        <w:t>这部分</w:t>
      </w:r>
      <w:r>
        <w:rPr>
          <w:rFonts w:hint="default"/>
          <w:color w:val="auto"/>
          <w:highlight w:val="none"/>
          <w:lang w:val="zh-TW" w:eastAsia="zh-TW"/>
        </w:rPr>
        <w:t>临时影响的植被逐渐恢复起来。因此，施工临时占地对当地的自然植被会产生一定的不良影响，但是影响面积较小，可以逐渐恢复，影响程度不大。在受影响的</w:t>
      </w:r>
      <w:r>
        <w:rPr>
          <w:rFonts w:hint="eastAsia"/>
          <w:color w:val="auto"/>
          <w:highlight w:val="none"/>
          <w:lang w:val="en-US" w:eastAsia="zh-CN"/>
        </w:rPr>
        <w:t>人工</w:t>
      </w:r>
      <w:r>
        <w:rPr>
          <w:rFonts w:hint="default"/>
          <w:color w:val="auto"/>
          <w:highlight w:val="none"/>
          <w:lang w:val="zh-TW" w:eastAsia="zh-TW"/>
        </w:rPr>
        <w:t>植被类型中，临时占用</w:t>
      </w:r>
      <w:r>
        <w:rPr>
          <w:rFonts w:hint="eastAsia"/>
          <w:color w:val="auto"/>
          <w:highlight w:val="none"/>
          <w:lang w:val="en-US" w:eastAsia="zh-CN"/>
        </w:rPr>
        <w:t>较少</w:t>
      </w:r>
      <w:r>
        <w:rPr>
          <w:rFonts w:hint="default"/>
          <w:color w:val="auto"/>
          <w:highlight w:val="none"/>
          <w:lang w:val="zh-TW" w:eastAsia="zh-TW"/>
        </w:rPr>
        <w:t>，这部分植被在工程竣工后，通过人工</w:t>
      </w:r>
      <w:r>
        <w:rPr>
          <w:rFonts w:hint="eastAsia"/>
          <w:color w:val="auto"/>
          <w:highlight w:val="none"/>
          <w:lang w:val="zh-TW" w:eastAsia="zh-CN"/>
        </w:rPr>
        <w:t>植被</w:t>
      </w:r>
      <w:r>
        <w:rPr>
          <w:rFonts w:hint="eastAsia"/>
          <w:color w:val="auto"/>
          <w:highlight w:val="none"/>
          <w:lang w:val="en-US" w:eastAsia="zh-CN"/>
        </w:rPr>
        <w:t>恢复可减少对其影响</w:t>
      </w:r>
      <w:r>
        <w:rPr>
          <w:rFonts w:hint="default"/>
          <w:color w:val="auto"/>
          <w:highlight w:val="none"/>
          <w:lang w:val="zh-TW" w:eastAsia="zh-TW"/>
        </w:rPr>
        <w:t>。</w:t>
      </w:r>
    </w:p>
    <w:p>
      <w:pPr>
        <w:bidi w:val="0"/>
        <w:ind w:firstLine="480" w:firstLineChars="200"/>
        <w:rPr>
          <w:rFonts w:hint="default"/>
          <w:color w:val="auto"/>
          <w:highlight w:val="none"/>
          <w:lang w:val="zh-TW" w:eastAsia="zh-TW"/>
        </w:rPr>
      </w:pPr>
      <w:r>
        <w:rPr>
          <w:rFonts w:hint="default"/>
          <w:color w:val="auto"/>
          <w:highlight w:val="none"/>
          <w:lang w:val="zh-TW" w:eastAsia="zh-TW"/>
        </w:rPr>
        <w:t>总的来看，本工程建设所占用的这几种自然植被类型的绝对面积很小，而且在本评价区周边的地区还有较多同类植被类型分布，仅从拟建调水工程建设对这几类植被造成的影响来看，影响是十分有限的。受工程建设影响到的人工植被，主要是耕地植被。拟建调水工程主要以施工营地和进场公路，对地表植被影响较少，其临时占地非常少，这部分人工植被，工程竣工后，可以逐步恢复耕地。上述人工植被均为单优人工群落，加之不断的除草、翻土、施肥等经济管理，其生物多样性贫乏。工程建设虽然使其面积有所减少，但是对评价区的生物多样性基本没有影响。</w:t>
      </w:r>
    </w:p>
    <w:p>
      <w:pPr>
        <w:bidi w:val="0"/>
        <w:ind w:firstLine="480" w:firstLineChars="200"/>
        <w:rPr>
          <w:rFonts w:hint="default"/>
          <w:color w:val="auto"/>
          <w:highlight w:val="none"/>
          <w:lang w:val="zh-TW" w:eastAsia="zh-TW"/>
        </w:rPr>
      </w:pPr>
      <w:r>
        <w:rPr>
          <w:rFonts w:hint="default"/>
          <w:color w:val="auto"/>
          <w:highlight w:val="none"/>
          <w:lang w:val="zh-TW" w:eastAsia="zh-TW"/>
        </w:rPr>
        <w:t>因此，拟建工程建设对评价区植被，包括自然植被和耕地植被的影响很小，由此造成的生态影响也很小。</w:t>
      </w:r>
    </w:p>
    <w:p>
      <w:pPr>
        <w:pStyle w:val="5"/>
        <w:numPr>
          <w:ilvl w:val="3"/>
          <w:numId w:val="2"/>
        </w:numPr>
        <w:bidi w:val="0"/>
        <w:ind w:left="480" w:leftChars="0" w:firstLineChars="0"/>
        <w:rPr>
          <w:rFonts w:hint="eastAsia"/>
          <w:color w:val="auto"/>
          <w:lang w:val="en-US" w:eastAsia="zh-CN"/>
        </w:rPr>
      </w:pPr>
      <w:r>
        <w:rPr>
          <w:rFonts w:hint="eastAsia"/>
          <w:color w:val="auto"/>
          <w:lang w:val="en-US" w:eastAsia="zh-CN"/>
        </w:rPr>
        <w:t>对植物的影响预测</w:t>
      </w:r>
    </w:p>
    <w:p>
      <w:pPr>
        <w:bidi w:val="0"/>
        <w:ind w:firstLine="482" w:firstLineChars="200"/>
        <w:rPr>
          <w:rFonts w:hint="default"/>
          <w:b/>
          <w:bCs/>
          <w:color w:val="auto"/>
          <w:highlight w:val="none"/>
          <w:lang w:val="en-US" w:eastAsia="zh-CN"/>
        </w:rPr>
      </w:pPr>
      <w:r>
        <w:rPr>
          <w:rFonts w:hint="eastAsia"/>
          <w:b/>
          <w:bCs/>
          <w:color w:val="auto"/>
          <w:highlight w:val="none"/>
          <w:lang w:val="en-US" w:eastAsia="zh-CN"/>
        </w:rPr>
        <w:t>1</w:t>
      </w:r>
      <w:r>
        <w:rPr>
          <w:rFonts w:hint="default"/>
          <w:b/>
          <w:bCs/>
          <w:color w:val="auto"/>
          <w:highlight w:val="none"/>
          <w:lang w:val="en-US" w:eastAsia="zh-CN"/>
        </w:rPr>
        <w:t>、对保护植物的影响</w:t>
      </w:r>
    </w:p>
    <w:p>
      <w:pPr>
        <w:bidi w:val="0"/>
        <w:ind w:firstLine="480" w:firstLineChars="200"/>
        <w:rPr>
          <w:rFonts w:hint="default"/>
          <w:color w:val="auto"/>
          <w:highlight w:val="none"/>
          <w:lang w:val="en-US" w:eastAsia="zh-CN"/>
        </w:rPr>
      </w:pPr>
      <w:r>
        <w:rPr>
          <w:rFonts w:hint="default"/>
          <w:color w:val="auto"/>
          <w:highlight w:val="none"/>
          <w:lang w:val="en-US" w:eastAsia="zh-CN"/>
        </w:rPr>
        <w:t>根据现场调查，并没有在评价区内发现国家重点保护植物以及区域特有种，因此，工程的建设不会对它们造成影响。</w:t>
      </w:r>
    </w:p>
    <w:p>
      <w:pPr>
        <w:bidi w:val="0"/>
        <w:ind w:firstLine="482" w:firstLineChars="200"/>
        <w:rPr>
          <w:rFonts w:hint="default"/>
          <w:b/>
          <w:bCs/>
          <w:color w:val="auto"/>
          <w:highlight w:val="none"/>
          <w:lang w:val="en-US" w:eastAsia="zh-CN"/>
        </w:rPr>
      </w:pPr>
      <w:r>
        <w:rPr>
          <w:rFonts w:hint="eastAsia"/>
          <w:b/>
          <w:bCs/>
          <w:color w:val="auto"/>
          <w:highlight w:val="none"/>
          <w:lang w:val="en-US" w:eastAsia="zh-CN"/>
        </w:rPr>
        <w:t>2</w:t>
      </w:r>
      <w:r>
        <w:rPr>
          <w:rFonts w:hint="default"/>
          <w:b/>
          <w:bCs/>
          <w:color w:val="auto"/>
          <w:highlight w:val="none"/>
          <w:lang w:val="en-US" w:eastAsia="zh-CN"/>
        </w:rPr>
        <w:t>、对一般植物的影响</w:t>
      </w:r>
    </w:p>
    <w:p>
      <w:pPr>
        <w:bidi w:val="0"/>
        <w:ind w:firstLine="480" w:firstLineChars="200"/>
        <w:rPr>
          <w:rFonts w:hint="default"/>
          <w:color w:val="auto"/>
          <w:highlight w:val="none"/>
          <w:lang w:val="en-US" w:eastAsia="zh-CN"/>
        </w:rPr>
      </w:pPr>
      <w:r>
        <w:rPr>
          <w:rFonts w:hint="default"/>
          <w:color w:val="auto"/>
          <w:highlight w:val="none"/>
          <w:lang w:val="en-US" w:eastAsia="zh-CN"/>
        </w:rPr>
        <w:t>项目区域内见到的物种都是一些常见种和广布种，在工程区的植物群落构成与非工程区构成几乎完全相同，因此，工程的建设不会使某种植物灭绝，也不会从根本上改变某种植物的遗传结构、空间分布格局和种群更新。</w:t>
      </w:r>
    </w:p>
    <w:p>
      <w:pPr>
        <w:bidi w:val="0"/>
        <w:ind w:firstLine="480" w:firstLineChars="200"/>
        <w:rPr>
          <w:rFonts w:hint="default"/>
          <w:color w:val="auto"/>
          <w:highlight w:val="none"/>
          <w:lang w:val="en-US" w:eastAsia="zh-CN"/>
        </w:rPr>
      </w:pPr>
      <w:r>
        <w:rPr>
          <w:rFonts w:hint="default"/>
          <w:color w:val="auto"/>
          <w:highlight w:val="none"/>
          <w:lang w:val="en-US" w:eastAsia="zh-CN"/>
        </w:rPr>
        <w:t>提水工程的管道区将完全损毁原有的植被类型，其上生活着的植物将全部死亡。施工期间的运输路段、人员生活、住宿区域内的植物也将受到很大破坏，施工人员将会践踏施工沿线周围的草本植物、丢弃生活垃圾。但施工结束后生活区域及施工人员的践踏问题也将消失。施工区气候干旱，人口密度小，较平缓河谷地区多己开垦为农田和果园，水土流失严重。但干渠地区夏季气温高，降雨量较多，植物生长速度快，植被恢复力强。施工区邻近区域的植被也将受到一定程度的损毁，如施工道路的建设等。</w:t>
      </w:r>
      <w:r>
        <w:rPr>
          <w:rFonts w:hint="eastAsia"/>
          <w:color w:val="auto"/>
          <w:highlight w:val="none"/>
          <w:lang w:val="en-US" w:eastAsia="zh-CN"/>
        </w:rPr>
        <w:t>随着</w:t>
      </w:r>
      <w:r>
        <w:rPr>
          <w:rFonts w:hint="default"/>
          <w:color w:val="auto"/>
          <w:highlight w:val="none"/>
          <w:lang w:val="en-US" w:eastAsia="zh-CN"/>
        </w:rPr>
        <w:t>工程的结束，这些影响将逐步减弱。</w:t>
      </w:r>
    </w:p>
    <w:p>
      <w:pPr>
        <w:bidi w:val="0"/>
        <w:ind w:firstLine="480" w:firstLineChars="200"/>
        <w:rPr>
          <w:rFonts w:hint="default"/>
          <w:color w:val="auto"/>
          <w:highlight w:val="none"/>
          <w:lang w:val="en-US" w:eastAsia="zh-CN"/>
        </w:rPr>
      </w:pPr>
      <w:r>
        <w:rPr>
          <w:rFonts w:hint="default"/>
          <w:color w:val="auto"/>
          <w:highlight w:val="none"/>
          <w:lang w:val="en-US" w:eastAsia="zh-CN"/>
        </w:rPr>
        <w:t>工程区内无珍稀野生植物及名木古树。管道所占用的区域的植物在山体其他地方均有分布，故项目的建设对区域陆生植物数量有所减少，但不会造成该区植物种类的减少；管道的施工的过程中可能会带来外来物种的入侵。</w:t>
      </w:r>
      <w:r>
        <w:rPr>
          <w:rFonts w:hint="eastAsia"/>
          <w:color w:val="auto"/>
          <w:highlight w:val="none"/>
          <w:lang w:val="en-US" w:eastAsia="zh-CN"/>
        </w:rPr>
        <w:t>目前已</w:t>
      </w:r>
      <w:r>
        <w:rPr>
          <w:rFonts w:hint="default"/>
          <w:color w:val="auto"/>
          <w:highlight w:val="none"/>
          <w:lang w:val="en-US" w:eastAsia="zh-CN"/>
        </w:rPr>
        <w:t>有的资料证明噪声不会对施工</w:t>
      </w:r>
      <w:r>
        <w:rPr>
          <w:rFonts w:hint="eastAsia"/>
          <w:color w:val="auto"/>
          <w:highlight w:val="none"/>
          <w:lang w:val="en-US" w:eastAsia="zh-CN"/>
        </w:rPr>
        <w:t>区域的</w:t>
      </w:r>
      <w:r>
        <w:rPr>
          <w:rFonts w:hint="default"/>
          <w:color w:val="auto"/>
          <w:highlight w:val="none"/>
          <w:lang w:val="en-US" w:eastAsia="zh-CN"/>
        </w:rPr>
        <w:t>植物及生境造成影响，灰尘对公路沿途植物及其生境造成的影响也很小，几乎不会造成明显的影响，待工程结束后便会消失。由于沿线</w:t>
      </w:r>
      <w:r>
        <w:rPr>
          <w:rFonts w:hint="eastAsia"/>
          <w:color w:val="auto"/>
          <w:highlight w:val="none"/>
          <w:lang w:val="en-US" w:eastAsia="zh-CN"/>
        </w:rPr>
        <w:t>目前已</w:t>
      </w:r>
      <w:r>
        <w:rPr>
          <w:rFonts w:hint="default"/>
          <w:color w:val="auto"/>
          <w:highlight w:val="none"/>
          <w:lang w:val="en-US" w:eastAsia="zh-CN"/>
        </w:rPr>
        <w:t>有公路存在，外来物种入侵问题不会在现有基础上显著增加。</w:t>
      </w:r>
    </w:p>
    <w:p>
      <w:pPr>
        <w:bidi w:val="0"/>
        <w:ind w:firstLine="482" w:firstLineChars="200"/>
        <w:rPr>
          <w:rFonts w:hint="default"/>
          <w:color w:val="0000FF"/>
          <w:highlight w:val="none"/>
          <w:lang w:val="en-US" w:eastAsia="zh-CN"/>
        </w:rPr>
      </w:pPr>
      <w:bookmarkStart w:id="592" w:name="_Toc8664"/>
      <w:bookmarkStart w:id="593" w:name="_Toc12031"/>
      <w:r>
        <w:rPr>
          <w:rFonts w:hint="eastAsia"/>
          <w:b/>
          <w:bCs/>
          <w:color w:val="0000FF"/>
          <w:highlight w:val="none"/>
          <w:lang w:val="en-US" w:eastAsia="zh-CN"/>
        </w:rPr>
        <w:t>3</w:t>
      </w:r>
      <w:r>
        <w:rPr>
          <w:rFonts w:hint="default"/>
          <w:b/>
          <w:bCs/>
          <w:color w:val="0000FF"/>
          <w:highlight w:val="none"/>
          <w:lang w:val="en-US" w:eastAsia="zh-CN"/>
        </w:rPr>
        <w:t>、对可能引入外来物种的影响</w:t>
      </w:r>
    </w:p>
    <w:p>
      <w:pPr>
        <w:bidi w:val="0"/>
        <w:ind w:firstLine="480" w:firstLineChars="200"/>
        <w:rPr>
          <w:rFonts w:hint="default"/>
          <w:color w:val="0000FF"/>
          <w:highlight w:val="none"/>
          <w:lang w:val="en-US" w:eastAsia="zh-CN"/>
        </w:rPr>
      </w:pPr>
      <w:r>
        <w:rPr>
          <w:rFonts w:hint="default"/>
          <w:color w:val="0000FF"/>
          <w:highlight w:val="none"/>
          <w:lang w:val="en-US" w:eastAsia="zh-CN"/>
        </w:rPr>
        <w:t>经现场调查得知，评价区内分布的外来入侵植物种类不多，但有一定的数量，主要</w:t>
      </w:r>
      <w:r>
        <w:rPr>
          <w:rFonts w:hint="eastAsia"/>
          <w:color w:val="0000FF"/>
          <w:highlight w:val="none"/>
          <w:lang w:val="en-US" w:eastAsia="zh-CN"/>
        </w:rPr>
        <w:t>紫茎泽兰、土荆芥、喜旱莲子草、</w:t>
      </w:r>
      <w:r>
        <w:rPr>
          <w:rFonts w:hint="default"/>
          <w:color w:val="0000FF"/>
          <w:highlight w:val="none"/>
          <w:lang w:val="en-US" w:eastAsia="zh-CN"/>
        </w:rPr>
        <w:t>藿香蓟、鬼针草和牛膝菊。工程建设时公路沿途的人员走动和汽车运输可能会带来的外来物种的入侵。由于本项目所在地目前己有乡村公路存在，以上外来物种由于具有较高的传播性，在评价区域内入侵己经比较严重，项目的实施不会导致外来物种入侵问题在现有基础上显著增加，但仍应注意防范，避免外来物种入侵。</w:t>
      </w:r>
    </w:p>
    <w:p>
      <w:pPr>
        <w:bidi w:val="0"/>
        <w:ind w:firstLine="480" w:firstLineChars="200"/>
        <w:rPr>
          <w:rFonts w:hint="default"/>
          <w:color w:val="0000FF"/>
          <w:highlight w:val="none"/>
          <w:lang w:val="en-US" w:eastAsia="zh-CN"/>
        </w:rPr>
      </w:pPr>
      <w:r>
        <w:rPr>
          <w:rFonts w:hint="default"/>
          <w:color w:val="0000FF"/>
          <w:highlight w:val="none"/>
          <w:lang w:val="en-US" w:eastAsia="zh-CN"/>
        </w:rPr>
        <w:t>综上，项目对植物影响较小。</w:t>
      </w:r>
    </w:p>
    <w:p>
      <w:pPr>
        <w:pStyle w:val="5"/>
        <w:numPr>
          <w:ilvl w:val="3"/>
          <w:numId w:val="2"/>
        </w:numPr>
        <w:bidi w:val="0"/>
        <w:ind w:left="480" w:leftChars="0" w:firstLineChars="0"/>
        <w:rPr>
          <w:rFonts w:hint="eastAsia"/>
          <w:color w:val="auto"/>
          <w:lang w:val="en-US" w:eastAsia="zh-CN"/>
        </w:rPr>
      </w:pPr>
      <w:r>
        <w:rPr>
          <w:rFonts w:hint="eastAsia"/>
          <w:color w:val="auto"/>
          <w:lang w:val="en-US" w:eastAsia="zh-CN"/>
        </w:rPr>
        <w:t>对动物影响分析</w:t>
      </w:r>
      <w:bookmarkEnd w:id="592"/>
      <w:bookmarkEnd w:id="593"/>
    </w:p>
    <w:p>
      <w:pPr>
        <w:bidi w:val="0"/>
        <w:ind w:firstLine="480" w:firstLineChars="200"/>
        <w:rPr>
          <w:rFonts w:hint="default"/>
          <w:color w:val="auto"/>
          <w:highlight w:val="none"/>
          <w:lang w:val="en-US" w:eastAsia="zh-CN"/>
        </w:rPr>
      </w:pPr>
      <w:r>
        <w:rPr>
          <w:rFonts w:hint="eastAsia"/>
          <w:color w:val="auto"/>
          <w:sz w:val="24"/>
          <w:highlight w:val="none"/>
        </w:rPr>
        <w:t>工程建设占地</w:t>
      </w:r>
      <w:r>
        <w:rPr>
          <w:rFonts w:hint="eastAsia"/>
          <w:color w:val="auto"/>
          <w:sz w:val="24"/>
          <w:highlight w:val="none"/>
          <w:lang w:eastAsia="zh-CN"/>
        </w:rPr>
        <w:t>包括</w:t>
      </w:r>
      <w:r>
        <w:rPr>
          <w:rFonts w:hint="eastAsia"/>
          <w:color w:val="auto"/>
          <w:sz w:val="24"/>
          <w:highlight w:val="none"/>
        </w:rPr>
        <w:t>永久占地和临时占地两部分。项目的实施对各类脊椎动物的影响最大的是永久占地，这些被占用地部分减少和改变了各类动物的生存生境，在这些区域生活的动物只能通过迁移来避免这种不可逆的影响。临时占地范围包括生产生活区、输水管道布设、弃渣场、料场以及施工临时道路。施工结束后，会逐渐恢复原有的生态环境，陆生脊椎动物还可能逐渐迁回</w:t>
      </w:r>
      <w:r>
        <w:rPr>
          <w:color w:val="auto"/>
          <w:sz w:val="24"/>
          <w:highlight w:val="none"/>
        </w:rPr>
        <w:t>，种群数量会得到恢复。</w:t>
      </w:r>
      <w:r>
        <w:rPr>
          <w:rFonts w:hint="default"/>
          <w:color w:val="auto"/>
          <w:highlight w:val="none"/>
          <w:lang w:val="en-US" w:eastAsia="zh-CN"/>
        </w:rPr>
        <w:t>对不同类型陆生脊椎动物影响如下：</w:t>
      </w:r>
    </w:p>
    <w:p>
      <w:pPr>
        <w:bidi w:val="0"/>
        <w:ind w:firstLine="482" w:firstLineChars="200"/>
        <w:rPr>
          <w:rFonts w:hint="default"/>
          <w:b/>
          <w:bCs/>
          <w:color w:val="auto"/>
          <w:highlight w:val="none"/>
          <w:lang w:val="en-US" w:eastAsia="zh-CN"/>
        </w:rPr>
      </w:pPr>
      <w:r>
        <w:rPr>
          <w:rFonts w:hint="eastAsia"/>
          <w:b/>
          <w:bCs/>
          <w:color w:val="auto"/>
          <w:highlight w:val="none"/>
          <w:lang w:val="en-US" w:eastAsia="zh-CN"/>
        </w:rPr>
        <w:t>1、</w:t>
      </w:r>
      <w:r>
        <w:rPr>
          <w:rFonts w:hint="default"/>
          <w:b/>
          <w:bCs/>
          <w:color w:val="auto"/>
          <w:highlight w:val="none"/>
          <w:lang w:val="en-US" w:eastAsia="zh-CN"/>
        </w:rPr>
        <w:t>对两栖爬行类的影响</w:t>
      </w:r>
    </w:p>
    <w:p>
      <w:pPr>
        <w:bidi w:val="0"/>
        <w:ind w:firstLine="480" w:firstLineChars="200"/>
        <w:rPr>
          <w:rFonts w:hint="default"/>
          <w:color w:val="auto"/>
          <w:highlight w:val="none"/>
          <w:lang w:val="en-US" w:eastAsia="zh-CN"/>
        </w:rPr>
      </w:pPr>
      <w:r>
        <w:rPr>
          <w:rFonts w:hint="default"/>
          <w:color w:val="auto"/>
          <w:highlight w:val="none"/>
          <w:lang w:val="en-US" w:eastAsia="zh-CN"/>
        </w:rPr>
        <w:t>评价区记录到两栖动物</w:t>
      </w:r>
      <w:r>
        <w:rPr>
          <w:rFonts w:hint="default"/>
          <w:color w:val="auto"/>
          <w:highlight w:val="none"/>
          <w:lang w:val="zh-TW" w:eastAsia="zh-TW"/>
        </w:rPr>
        <w:t>1目</w:t>
      </w:r>
      <w:r>
        <w:rPr>
          <w:rFonts w:hint="default"/>
          <w:color w:val="auto"/>
          <w:highlight w:val="none"/>
          <w:lang w:val="en-US" w:eastAsia="zh-CN"/>
        </w:rPr>
        <w:t>4</w:t>
      </w:r>
      <w:r>
        <w:rPr>
          <w:rFonts w:hint="default"/>
          <w:color w:val="auto"/>
          <w:highlight w:val="none"/>
          <w:lang w:val="zh-TW" w:eastAsia="zh-TW"/>
        </w:rPr>
        <w:t>科</w:t>
      </w:r>
      <w:r>
        <w:rPr>
          <w:rFonts w:hint="default"/>
          <w:color w:val="auto"/>
          <w:highlight w:val="none"/>
          <w:lang w:val="en-US" w:eastAsia="zh-CN"/>
        </w:rPr>
        <w:t>5</w:t>
      </w:r>
      <w:r>
        <w:rPr>
          <w:rFonts w:hint="default"/>
          <w:color w:val="auto"/>
          <w:highlight w:val="none"/>
          <w:lang w:val="zh-TW" w:eastAsia="zh-TW"/>
        </w:rPr>
        <w:t>属</w:t>
      </w:r>
      <w:r>
        <w:rPr>
          <w:rFonts w:hint="default"/>
          <w:color w:val="auto"/>
          <w:highlight w:val="none"/>
          <w:lang w:val="en-US" w:eastAsia="zh-CN"/>
        </w:rPr>
        <w:t>6</w:t>
      </w:r>
      <w:r>
        <w:rPr>
          <w:rFonts w:hint="default"/>
          <w:color w:val="auto"/>
          <w:highlight w:val="none"/>
          <w:lang w:val="zh-TW" w:eastAsia="zh-TW"/>
        </w:rPr>
        <w:t>种</w:t>
      </w:r>
      <w:r>
        <w:rPr>
          <w:rFonts w:hint="default"/>
          <w:color w:val="auto"/>
          <w:highlight w:val="none"/>
          <w:lang w:val="en-US" w:eastAsia="zh-CN"/>
        </w:rPr>
        <w:t>、爬行动物</w:t>
      </w:r>
      <w:r>
        <w:rPr>
          <w:rFonts w:hint="default"/>
          <w:color w:val="auto"/>
          <w:highlight w:val="none"/>
          <w:lang w:val="zh-TW" w:eastAsia="zh-TW"/>
        </w:rPr>
        <w:t>1目</w:t>
      </w:r>
      <w:r>
        <w:rPr>
          <w:rFonts w:hint="default"/>
          <w:color w:val="auto"/>
          <w:highlight w:val="none"/>
          <w:lang w:val="en-US" w:eastAsia="zh-CN"/>
        </w:rPr>
        <w:t>3</w:t>
      </w:r>
      <w:r>
        <w:rPr>
          <w:rFonts w:hint="default"/>
          <w:color w:val="auto"/>
          <w:highlight w:val="none"/>
          <w:lang w:val="zh-TW" w:eastAsia="zh-TW"/>
        </w:rPr>
        <w:t>科5属7种</w:t>
      </w:r>
      <w:r>
        <w:rPr>
          <w:rFonts w:hint="default"/>
          <w:color w:val="auto"/>
          <w:highlight w:val="none"/>
          <w:lang w:val="en-US" w:eastAsia="zh-CN"/>
        </w:rPr>
        <w:t>。在评价区，</w:t>
      </w:r>
      <w:r>
        <w:rPr>
          <w:rFonts w:hint="eastAsia"/>
          <w:color w:val="auto"/>
          <w:highlight w:val="none"/>
          <w:lang w:val="en-US" w:eastAsia="zh-CN"/>
        </w:rPr>
        <w:t>沼蛙</w:t>
      </w:r>
      <w:r>
        <w:rPr>
          <w:rFonts w:hint="default"/>
          <w:color w:val="auto"/>
          <w:highlight w:val="none"/>
          <w:lang w:val="en-US" w:eastAsia="zh-CN"/>
        </w:rPr>
        <w:t>、泽蛙、</w:t>
      </w:r>
      <w:r>
        <w:rPr>
          <w:rStyle w:val="78"/>
          <w:rFonts w:hint="default" w:ascii="Times New Roman" w:hAnsi="Times New Roman" w:eastAsia="宋体" w:cs="Times New Roman"/>
          <w:b w:val="0"/>
          <w:color w:val="auto"/>
          <w:sz w:val="24"/>
          <w:szCs w:val="24"/>
          <w:highlight w:val="none"/>
          <w:lang w:val="zh-TW" w:eastAsia="zh-TW"/>
        </w:rPr>
        <w:t>斜磷蛇</w:t>
      </w:r>
      <w:r>
        <w:rPr>
          <w:rFonts w:hint="default"/>
          <w:color w:val="auto"/>
          <w:highlight w:val="none"/>
          <w:lang w:val="en-US" w:eastAsia="zh-CN"/>
        </w:rPr>
        <w:t>和赤链蛇较常见。其他的种类较少见。</w:t>
      </w:r>
    </w:p>
    <w:p>
      <w:pPr>
        <w:bidi w:val="0"/>
        <w:ind w:firstLine="480" w:firstLineChars="200"/>
        <w:rPr>
          <w:rFonts w:hint="default"/>
          <w:color w:val="auto"/>
          <w:highlight w:val="none"/>
          <w:lang w:val="en-US" w:eastAsia="zh-CN"/>
        </w:rPr>
      </w:pPr>
      <w:r>
        <w:rPr>
          <w:rFonts w:hint="default"/>
          <w:color w:val="auto"/>
          <w:highlight w:val="none"/>
          <w:lang w:val="en-US" w:eastAsia="zh-CN"/>
        </w:rPr>
        <w:t>两栖动物活动能力有限，对水和湿地的依赖性大，分布仅限于有水的湿地环境。而爬行动物（蛇类）主要以两栖动物和鼠类为食，其分布也常常与它们的捕食对象重叠。施工期对两栖爬行动物的影响主要表现在工程将会占用部分生境，影响少数两栖爬行动物的活动空间，如施工中对原有渠道的清淤工程和清淤堆存，将对其中生活的两栖爬行动物，特别是对两栖动物的小生境造成破坏；灌区开挖作业，施工车辆运输，均有可能直接碾压两栖类和爬行类动物，造成部分个体死亡，尤其是在两栖类和爬行类繁殖交配季节和幼体变态时期。少数未能及时迁出的个体，可能被施工机械和汽车碾压致死，处于休眠期的个体可能因施工机械挖掘丧命。施工人员的生活垃圾、生活废水和粪便，施工机械产生的废水，有可能造成水体污染，污染水体将对两栖类的繁殖和幼体成长，造成直接不利影响，导致其难以顺利繁衍和正常生长，亦可能因此导致部分个体死亡。水体污染对生活于湿地水域附近的爬行类也会造成影响。施工人员可能会捕捉部分两栖类和爬行类动物，对其造成危害。</w:t>
      </w:r>
    </w:p>
    <w:p>
      <w:pPr>
        <w:bidi w:val="0"/>
        <w:ind w:firstLine="480" w:firstLineChars="200"/>
        <w:rPr>
          <w:rFonts w:hint="default"/>
          <w:color w:val="auto"/>
          <w:highlight w:val="none"/>
          <w:lang w:val="en-US" w:eastAsia="zh-CN"/>
        </w:rPr>
      </w:pPr>
      <w:r>
        <w:rPr>
          <w:rFonts w:hint="default"/>
          <w:color w:val="auto"/>
          <w:highlight w:val="none"/>
          <w:lang w:val="en-US" w:eastAsia="zh-CN"/>
        </w:rPr>
        <w:t>总之，该工程建设项目的实施，会占据两栖爬行动物的部分生境和栖息地，造成其栖息和捕食生境的丧失，特别是对处于繁殖期的两栖动物有一定影响。</w:t>
      </w:r>
    </w:p>
    <w:p>
      <w:pPr>
        <w:bidi w:val="0"/>
        <w:ind w:firstLine="482" w:firstLineChars="200"/>
        <w:rPr>
          <w:rFonts w:hint="default"/>
          <w:b/>
          <w:bCs/>
          <w:color w:val="auto"/>
          <w:highlight w:val="none"/>
          <w:lang w:val="en-US" w:eastAsia="zh-CN"/>
        </w:rPr>
      </w:pPr>
      <w:r>
        <w:rPr>
          <w:rFonts w:hint="eastAsia"/>
          <w:b/>
          <w:bCs/>
          <w:color w:val="auto"/>
          <w:highlight w:val="none"/>
          <w:lang w:val="en-US" w:eastAsia="zh-CN"/>
        </w:rPr>
        <w:t>2、</w:t>
      </w:r>
      <w:r>
        <w:rPr>
          <w:rFonts w:hint="default"/>
          <w:b/>
          <w:bCs/>
          <w:color w:val="auto"/>
          <w:highlight w:val="none"/>
          <w:lang w:val="en-US" w:eastAsia="zh-CN"/>
        </w:rPr>
        <w:t>对鸟类的影响</w:t>
      </w:r>
    </w:p>
    <w:p>
      <w:pPr>
        <w:bidi w:val="0"/>
        <w:ind w:firstLine="480" w:firstLineChars="200"/>
        <w:rPr>
          <w:rFonts w:hint="default"/>
          <w:color w:val="auto"/>
          <w:highlight w:val="none"/>
          <w:lang w:val="en-US" w:eastAsia="zh-CN"/>
        </w:rPr>
      </w:pPr>
      <w:r>
        <w:rPr>
          <w:rFonts w:hint="default"/>
          <w:color w:val="auto"/>
          <w:highlight w:val="none"/>
          <w:lang w:val="en-US" w:eastAsia="zh-CN"/>
        </w:rPr>
        <w:t>鸟类是运动能力最强的动物，对环境的变化非常敏感，它们可以通过飞行，及时逃离不利环境，寻找适于栖息的生境。评价区可能出没的</w:t>
      </w:r>
      <w:r>
        <w:rPr>
          <w:rFonts w:hint="eastAsia"/>
          <w:color w:val="auto"/>
          <w:highlight w:val="none"/>
          <w:lang w:val="en-US" w:eastAsia="zh-CN"/>
        </w:rPr>
        <w:t>97</w:t>
      </w:r>
      <w:r>
        <w:rPr>
          <w:rFonts w:hint="default"/>
          <w:color w:val="auto"/>
          <w:highlight w:val="none"/>
          <w:lang w:val="en-US" w:eastAsia="zh-CN"/>
        </w:rPr>
        <w:t>种鸟类主要为水体、水田沟渠、阔叶林、针叶林和农田灌丛等地带。其中，在农耕地、村落栖息的鸠鸽科、燕科、鸦科、雀科和鹀科鸟类最常见；在水环境及其附近栖息的鸭科、鹭科、秧鸡科和翠鸟科鸟类较常见；在灌丛、林地栖息的杜鹃科、鸫科、鹟科、䴓科和雀鸟科鸟类少见。</w:t>
      </w:r>
    </w:p>
    <w:p>
      <w:pPr>
        <w:bidi w:val="0"/>
        <w:ind w:firstLine="480" w:firstLineChars="200"/>
        <w:rPr>
          <w:rFonts w:hint="default"/>
          <w:color w:val="auto"/>
          <w:highlight w:val="none"/>
          <w:lang w:val="en-US" w:eastAsia="zh-CN"/>
        </w:rPr>
      </w:pPr>
      <w:r>
        <w:rPr>
          <w:rFonts w:hint="default"/>
          <w:color w:val="auto"/>
          <w:highlight w:val="none"/>
          <w:lang w:val="en-US" w:eastAsia="zh-CN"/>
        </w:rPr>
        <w:t>工程施工活动中对鸟类的干扰和原生境的破坏是明显的，如在临近水体周边施工，会影响在水边活动的鸭科、鹭科、翠鸟科和鹡鸰科鸟类；新挖管道，新建临时施工道路，会干扰在农田和灌丛活动的鸠鸽科、燕科、鹟科和雀科鸟类；施工机械噪声对鸟类栖息地声环境的破坏和机械噪声对鸟类的驱赶，特别是对处于繁殖期的鸟类影响较大；施工中对鸟类栖息地小生境如由于施工中砍伐树木对鸟类巢穴的破坏；施工人员的生活活动对鸟类栖息地生境的直接和间接干扰和破坏；施工人员对鸟类的捕捉等。对鸟类的影响，主要表现为鸟类会因栖息地的部分丧失而飞离评价区；部分鸟类会因巢穴被破坏而减少，特别是对正在繁殖季节中时鸟类，结果是评价区范围内现有鸟类的种类和数量将减少。由于本项目不新增永久占地，临时工程仅占用小面积林地，竣工后立即进行植被恢复，鸟类种群和数量将逐步得到恢复。且由于灌区工程的修建和完善，在运行期随着灌区范围内灌溉条件的优化，鸟类栖息地生境将明显改善。</w:t>
      </w:r>
    </w:p>
    <w:p>
      <w:pPr>
        <w:bidi w:val="0"/>
        <w:ind w:firstLine="480" w:firstLineChars="200"/>
        <w:rPr>
          <w:rFonts w:hint="default"/>
          <w:color w:val="auto"/>
          <w:highlight w:val="none"/>
          <w:lang w:val="en-US" w:eastAsia="zh-CN"/>
        </w:rPr>
      </w:pPr>
      <w:r>
        <w:rPr>
          <w:rFonts w:hint="default"/>
          <w:color w:val="auto"/>
          <w:highlight w:val="none"/>
          <w:lang w:val="en-US" w:eastAsia="zh-CN"/>
        </w:rPr>
        <w:t>由于整个影响评价区和周边地区同类型的栖息生境面积广阔，鸟类迁移能力强，活动范围广，受到干扰时会主动避让到周边同类型生境栖息活动，因此，灌区施工建设如果能避开重点保护鸟类的迁徙期和越冬期，不会造成评价区某个鸟类物种消失，种群数量明显减少的不利影响。</w:t>
      </w:r>
    </w:p>
    <w:p>
      <w:pPr>
        <w:bidi w:val="0"/>
        <w:ind w:firstLine="482" w:firstLineChars="200"/>
        <w:rPr>
          <w:rFonts w:hint="default"/>
          <w:b/>
          <w:bCs/>
          <w:color w:val="auto"/>
          <w:highlight w:val="none"/>
          <w:lang w:val="en-US" w:eastAsia="zh-CN"/>
        </w:rPr>
      </w:pPr>
      <w:r>
        <w:rPr>
          <w:rFonts w:hint="eastAsia"/>
          <w:b/>
          <w:bCs/>
          <w:color w:val="auto"/>
          <w:highlight w:val="none"/>
          <w:lang w:val="en-US" w:eastAsia="zh-CN"/>
        </w:rPr>
        <w:t>3、</w:t>
      </w:r>
      <w:r>
        <w:rPr>
          <w:rFonts w:hint="default"/>
          <w:b/>
          <w:bCs/>
          <w:color w:val="auto"/>
          <w:highlight w:val="none"/>
          <w:lang w:val="en-US" w:eastAsia="zh-CN"/>
        </w:rPr>
        <w:t>对兽类的影响</w:t>
      </w:r>
    </w:p>
    <w:p>
      <w:pPr>
        <w:bidi w:val="0"/>
        <w:ind w:firstLine="480" w:firstLineChars="200"/>
        <w:rPr>
          <w:rFonts w:hint="default"/>
          <w:color w:val="auto"/>
          <w:highlight w:val="none"/>
          <w:lang w:val="en-US" w:eastAsia="zh-CN"/>
        </w:rPr>
      </w:pPr>
      <w:r>
        <w:rPr>
          <w:rFonts w:hint="default"/>
          <w:color w:val="auto"/>
          <w:highlight w:val="none"/>
          <w:lang w:val="en-US" w:eastAsia="zh-CN"/>
        </w:rPr>
        <w:t>评价区记录到哺乳动物</w:t>
      </w:r>
      <w:r>
        <w:rPr>
          <w:rFonts w:hint="eastAsia"/>
          <w:color w:val="0000FF"/>
          <w:highlight w:val="none"/>
          <w:lang w:val="en-US" w:eastAsia="zh-CN"/>
        </w:rPr>
        <w:t>3</w:t>
      </w:r>
      <w:r>
        <w:rPr>
          <w:rFonts w:hint="default"/>
          <w:color w:val="0000FF"/>
          <w:highlight w:val="none"/>
          <w:lang w:val="zh-TW" w:eastAsia="zh-TW"/>
        </w:rPr>
        <w:t>目</w:t>
      </w:r>
      <w:r>
        <w:rPr>
          <w:rFonts w:hint="eastAsia"/>
          <w:color w:val="0000FF"/>
          <w:highlight w:val="none"/>
          <w:lang w:val="en-US" w:eastAsia="zh-CN"/>
        </w:rPr>
        <w:t>6</w:t>
      </w:r>
      <w:r>
        <w:rPr>
          <w:rFonts w:hint="default"/>
          <w:color w:val="0000FF"/>
          <w:highlight w:val="none"/>
          <w:lang w:val="zh-TW" w:eastAsia="zh-TW"/>
        </w:rPr>
        <w:t>科</w:t>
      </w:r>
      <w:r>
        <w:rPr>
          <w:rFonts w:hint="eastAsia"/>
          <w:color w:val="0000FF"/>
          <w:highlight w:val="none"/>
          <w:lang w:val="en-US" w:eastAsia="zh-CN"/>
        </w:rPr>
        <w:t>8</w:t>
      </w:r>
      <w:r>
        <w:rPr>
          <w:rFonts w:hint="default"/>
          <w:color w:val="0000FF"/>
          <w:highlight w:val="none"/>
          <w:lang w:val="zh-TW" w:eastAsia="zh-TW"/>
        </w:rPr>
        <w:t>属</w:t>
      </w:r>
      <w:r>
        <w:rPr>
          <w:rFonts w:hint="eastAsia"/>
          <w:color w:val="0000FF"/>
          <w:highlight w:val="none"/>
          <w:lang w:val="en-US" w:eastAsia="zh-CN"/>
        </w:rPr>
        <w:t>9</w:t>
      </w:r>
      <w:r>
        <w:rPr>
          <w:rFonts w:hint="default"/>
          <w:color w:val="0000FF"/>
          <w:highlight w:val="none"/>
          <w:lang w:val="zh-TW" w:eastAsia="zh-TW"/>
        </w:rPr>
        <w:t>种</w:t>
      </w:r>
      <w:r>
        <w:rPr>
          <w:rFonts w:hint="default"/>
          <w:color w:val="auto"/>
          <w:highlight w:val="none"/>
          <w:lang w:val="en-US" w:eastAsia="zh-CN"/>
        </w:rPr>
        <w:t>，总的说来，</w:t>
      </w:r>
      <w:r>
        <w:rPr>
          <w:rFonts w:hint="eastAsia"/>
          <w:color w:val="auto"/>
          <w:highlight w:val="none"/>
          <w:lang w:val="en-US" w:eastAsia="zh-CN"/>
        </w:rPr>
        <w:t>项目区</w:t>
      </w:r>
      <w:r>
        <w:rPr>
          <w:rFonts w:hint="default"/>
          <w:color w:val="auto"/>
          <w:highlight w:val="none"/>
          <w:lang w:val="en-US" w:eastAsia="zh-CN"/>
        </w:rPr>
        <w:t>生境以农耕地为主，缺乏大型兽类的栖息活动环境，大型兽类已经很难见到，区域的兽类以在农耕地和村落周边活动的鼠科为主；在灌区边缘的栓皮栎林、构树灌丛活动的松鼠科的种类较常见。其余在评价区均属少见物种。</w:t>
      </w:r>
    </w:p>
    <w:p>
      <w:pPr>
        <w:bidi w:val="0"/>
        <w:ind w:firstLine="480" w:firstLineChars="200"/>
        <w:rPr>
          <w:rFonts w:hint="default"/>
          <w:color w:val="auto"/>
          <w:highlight w:val="none"/>
          <w:lang w:val="en-US" w:eastAsia="zh-CN"/>
        </w:rPr>
      </w:pPr>
      <w:r>
        <w:rPr>
          <w:rFonts w:hint="default"/>
          <w:color w:val="auto"/>
          <w:highlight w:val="none"/>
          <w:lang w:val="en-US" w:eastAsia="zh-CN"/>
        </w:rPr>
        <w:t>该工程施工活动对兽类栖息地生境的干扰和破坏，主要表现在管线工程占地及临时施工道路的施工等，这些区域的施工将不可避免地对动物的生境造成破坏，施工机械噪声对兽类的栖息地声环境的破坏和机械噪声对兽类的驱赶，施工人员对兽类的捕杀。评价区多为小型兽类，运动能力相对较弱，活动范围相对较小，且主要生活于灌区的农田村落等生境中，工程施工可能使其部分生境散失，使得它们在评价区范围内种群数量将有所减少，但这些小型兽类的分布很广，繁殖能力很强，本工程建设对它们造成的影响不会导致这些小型兽类在评价区消失，不会影响到它们在评价区的种群繁衍。</w:t>
      </w:r>
    </w:p>
    <w:p>
      <w:pPr>
        <w:bidi w:val="0"/>
        <w:ind w:firstLine="480" w:firstLineChars="200"/>
        <w:rPr>
          <w:rFonts w:hint="default"/>
          <w:color w:val="auto"/>
          <w:highlight w:val="none"/>
          <w:lang w:val="en-US" w:eastAsia="zh-CN"/>
        </w:rPr>
      </w:pPr>
      <w:r>
        <w:rPr>
          <w:rFonts w:hint="default"/>
          <w:color w:val="auto"/>
          <w:highlight w:val="none"/>
          <w:lang w:val="en-US" w:eastAsia="zh-CN"/>
        </w:rPr>
        <w:t>总的来看，施工造成的植被消失，将对工程区内的小型兽类产生一定影响。这些对兽类的不利影响，可以通过加强施工管理和减缓措施得以缓解。</w:t>
      </w:r>
    </w:p>
    <w:p>
      <w:pPr>
        <w:bidi w:val="0"/>
        <w:ind w:firstLine="482" w:firstLineChars="200"/>
        <w:rPr>
          <w:rFonts w:hint="default"/>
          <w:b/>
          <w:bCs/>
          <w:color w:val="auto"/>
          <w:highlight w:val="none"/>
          <w:lang w:val="en-US" w:eastAsia="zh-CN"/>
        </w:rPr>
      </w:pPr>
      <w:r>
        <w:rPr>
          <w:rFonts w:hint="eastAsia"/>
          <w:b/>
          <w:bCs/>
          <w:color w:val="auto"/>
          <w:highlight w:val="none"/>
          <w:lang w:val="en-US" w:eastAsia="zh-CN"/>
        </w:rPr>
        <w:t>4、</w:t>
      </w:r>
      <w:r>
        <w:rPr>
          <w:rFonts w:hint="default"/>
          <w:b/>
          <w:bCs/>
          <w:color w:val="auto"/>
          <w:highlight w:val="none"/>
          <w:lang w:val="en-US" w:eastAsia="zh-CN"/>
        </w:rPr>
        <w:t>对重点保护动物的影响</w:t>
      </w:r>
    </w:p>
    <w:p>
      <w:pPr>
        <w:bidi w:val="0"/>
        <w:ind w:firstLine="480" w:firstLineChars="200"/>
        <w:rPr>
          <w:rFonts w:hint="default"/>
          <w:color w:val="auto"/>
          <w:highlight w:val="yellow"/>
          <w:lang w:val="en-US" w:eastAsia="zh-CN"/>
        </w:rPr>
      </w:pPr>
      <w:r>
        <w:rPr>
          <w:rFonts w:hint="default"/>
          <w:color w:val="auto"/>
          <w:highlight w:val="none"/>
          <w:lang w:val="en-US" w:eastAsia="zh-CN"/>
        </w:rPr>
        <w:t>经现场调查和查阅资料评价区附近林地和灌丛可能会经查阅资料在评价区</w:t>
      </w:r>
      <w:r>
        <w:rPr>
          <w:rFonts w:hint="default"/>
          <w:color w:val="0000FF"/>
          <w:highlight w:val="none"/>
          <w:lang w:val="en-US" w:eastAsia="zh-CN"/>
        </w:rPr>
        <w:t>有</w:t>
      </w:r>
      <w:r>
        <w:rPr>
          <w:rFonts w:hint="eastAsia"/>
          <w:color w:val="0000FF"/>
          <w:highlight w:val="none"/>
          <w:lang w:val="en-US" w:eastAsia="zh-CN"/>
        </w:rPr>
        <w:t>2</w:t>
      </w:r>
      <w:r>
        <w:rPr>
          <w:rFonts w:hint="default"/>
          <w:color w:val="0000FF"/>
          <w:highlight w:val="none"/>
          <w:lang w:val="en-US" w:eastAsia="zh-CN"/>
        </w:rPr>
        <w:t>种国家</w:t>
      </w:r>
      <w:r>
        <w:rPr>
          <w:rFonts w:hint="eastAsia"/>
          <w:color w:val="0000FF"/>
          <w:highlight w:val="none"/>
          <w:lang w:val="en-US" w:eastAsia="zh-CN"/>
        </w:rPr>
        <w:t>Ⅱ级</w:t>
      </w:r>
      <w:r>
        <w:rPr>
          <w:rFonts w:hint="default"/>
          <w:color w:val="0000FF"/>
          <w:highlight w:val="none"/>
          <w:lang w:val="en-US" w:eastAsia="zh-CN"/>
        </w:rPr>
        <w:t>保护动物为鸟类：分别为黑翅鸢、红隼。未发现该地区特有种类分布。</w:t>
      </w:r>
    </w:p>
    <w:p>
      <w:pPr>
        <w:bidi w:val="0"/>
        <w:ind w:firstLine="480" w:firstLineChars="200"/>
        <w:rPr>
          <w:rFonts w:hint="default"/>
          <w:color w:val="auto"/>
          <w:highlight w:val="none"/>
          <w:lang w:val="en-US" w:eastAsia="zh-CN"/>
        </w:rPr>
      </w:pPr>
      <w:r>
        <w:rPr>
          <w:rFonts w:hint="default"/>
          <w:color w:val="0000FF"/>
          <w:highlight w:val="none"/>
          <w:lang w:val="en-US" w:eastAsia="zh-CN"/>
        </w:rPr>
        <w:t>黑翅鸢、红隼</w:t>
      </w:r>
      <w:r>
        <w:rPr>
          <w:rFonts w:hint="default"/>
          <w:color w:val="auto"/>
          <w:highlight w:val="none"/>
          <w:lang w:val="en-US" w:eastAsia="zh-CN"/>
        </w:rPr>
        <w:t>主要活动于林缘、灌丛区域。活动范围较大，迁移和主动避让干扰能力强，项目建设区对这类生境的占用较少，且这些动物具备较强的迁移能力，所以受到项目干扰后能主动迁移至适宜区域，不会造成这些物种在区域内消亡，所以影响是可以接受的。</w:t>
      </w:r>
    </w:p>
    <w:p>
      <w:pPr>
        <w:bidi w:val="0"/>
        <w:ind w:firstLine="480" w:firstLineChars="200"/>
        <w:rPr>
          <w:rFonts w:hint="default"/>
          <w:color w:val="auto"/>
          <w:highlight w:val="none"/>
          <w:lang w:val="en-US" w:eastAsia="zh-CN"/>
        </w:rPr>
      </w:pPr>
      <w:r>
        <w:rPr>
          <w:rFonts w:hint="default"/>
          <w:color w:val="auto"/>
          <w:highlight w:val="none"/>
          <w:lang w:val="en-US" w:eastAsia="zh-CN"/>
        </w:rPr>
        <w:t>综上，这些珍稀保护动物数量较少，属少见或罕见物种；其活动能力较强，能主动、有效的避让规划项目的干扰；周边均有可替代的生境如农田、灌草丛、林地等。所以，项目的规划建设对珍稀濒危保护动物的影响是可以接受的。具体见下表。</w:t>
      </w:r>
    </w:p>
    <w:p>
      <w:pPr>
        <w:pStyle w:val="40"/>
        <w:bidi w:val="0"/>
        <w:rPr>
          <w:rFonts w:hint="default"/>
          <w:color w:val="auto"/>
          <w:highlight w:val="none"/>
        </w:rPr>
      </w:pPr>
      <w:r>
        <w:rPr>
          <w:rFonts w:hint="default"/>
          <w:color w:val="auto"/>
          <w:highlight w:val="none"/>
          <w:lang w:val="zh-TW" w:eastAsia="zh-TW"/>
        </w:rPr>
        <w:t>表</w:t>
      </w:r>
      <w:r>
        <w:rPr>
          <w:rFonts w:hint="default"/>
          <w:color w:val="auto"/>
          <w:highlight w:val="none"/>
          <w:lang w:val="en-US" w:eastAsia="en-US"/>
        </w:rPr>
        <w:t>5.1</w:t>
      </w:r>
      <w:r>
        <w:rPr>
          <w:rFonts w:hint="eastAsia"/>
          <w:color w:val="auto"/>
          <w:highlight w:val="none"/>
          <w:lang w:val="en-US" w:eastAsia="zh-CN"/>
        </w:rPr>
        <w:t>.7</w:t>
      </w:r>
      <w:r>
        <w:rPr>
          <w:rFonts w:hint="default"/>
          <w:color w:val="auto"/>
          <w:highlight w:val="none"/>
          <w:lang w:val="en-US" w:eastAsia="en-US"/>
        </w:rPr>
        <w:t>-</w:t>
      </w:r>
      <w:r>
        <w:rPr>
          <w:rFonts w:hint="eastAsia"/>
          <w:color w:val="auto"/>
          <w:highlight w:val="none"/>
          <w:lang w:val="en-US" w:eastAsia="zh-CN"/>
        </w:rPr>
        <w:t xml:space="preserve">2  </w:t>
      </w:r>
      <w:r>
        <w:rPr>
          <w:rFonts w:hint="default"/>
          <w:color w:val="auto"/>
          <w:highlight w:val="none"/>
          <w:lang w:val="zh-TW" w:eastAsia="zh-TW"/>
        </w:rPr>
        <w:t>工程建设对保护动物的影响预测</w:t>
      </w:r>
    </w:p>
    <w:tbl>
      <w:tblPr>
        <w:tblStyle w:val="29"/>
        <w:tblW w:w="865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759"/>
        <w:gridCol w:w="1005"/>
        <w:gridCol w:w="1080"/>
        <w:gridCol w:w="3390"/>
        <w:gridCol w:w="24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23" w:hRule="atLeast"/>
          <w:jc w:val="center"/>
        </w:trPr>
        <w:tc>
          <w:tcPr>
            <w:tcW w:w="759" w:type="dxa"/>
            <w:tcBorders>
              <w:top w:val="single" w:color="auto" w:sz="4" w:space="0"/>
              <w:left w:val="single" w:color="auto" w:sz="4" w:space="0"/>
              <w:bottom w:val="nil"/>
              <w:right w:val="nil"/>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zh-TW" w:eastAsia="zh-TW"/>
              </w:rPr>
              <w:t>序号</w:t>
            </w:r>
          </w:p>
        </w:tc>
        <w:tc>
          <w:tcPr>
            <w:tcW w:w="1005" w:type="dxa"/>
            <w:tcBorders>
              <w:top w:val="single" w:color="auto" w:sz="4" w:space="0"/>
              <w:left w:val="single" w:color="auto" w:sz="4" w:space="0"/>
              <w:bottom w:val="nil"/>
              <w:right w:val="nil"/>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zh-TW" w:eastAsia="zh-TW"/>
              </w:rPr>
              <w:t>物种</w:t>
            </w:r>
          </w:p>
        </w:tc>
        <w:tc>
          <w:tcPr>
            <w:tcW w:w="1080" w:type="dxa"/>
            <w:tcBorders>
              <w:top w:val="single" w:color="auto" w:sz="4" w:space="0"/>
              <w:left w:val="single" w:color="auto" w:sz="4" w:space="0"/>
              <w:bottom w:val="nil"/>
              <w:right w:val="nil"/>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zh-TW" w:eastAsia="zh-TW"/>
              </w:rPr>
              <w:t>保护级别</w:t>
            </w:r>
          </w:p>
        </w:tc>
        <w:tc>
          <w:tcPr>
            <w:tcW w:w="3390" w:type="dxa"/>
            <w:tcBorders>
              <w:top w:val="single" w:color="auto" w:sz="4" w:space="0"/>
              <w:left w:val="single" w:color="auto" w:sz="4" w:space="0"/>
              <w:bottom w:val="nil"/>
              <w:right w:val="nil"/>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zh-TW" w:eastAsia="zh-TW"/>
              </w:rPr>
              <w:t>栖息地</w:t>
            </w:r>
          </w:p>
        </w:tc>
        <w:tc>
          <w:tcPr>
            <w:tcW w:w="2424" w:type="dxa"/>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zh-TW" w:eastAsia="zh-TW"/>
              </w:rPr>
              <w:t>影响预测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23" w:hRule="atLeast"/>
          <w:jc w:val="center"/>
        </w:trPr>
        <w:tc>
          <w:tcPr>
            <w:tcW w:w="759" w:type="dxa"/>
            <w:tcBorders>
              <w:top w:val="single" w:color="auto" w:sz="4" w:space="0"/>
              <w:left w:val="single" w:color="auto" w:sz="4" w:space="0"/>
              <w:bottom w:val="nil"/>
              <w:right w:val="nil"/>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zh-TW" w:eastAsia="zh-TW"/>
              </w:rPr>
              <w:t>1</w:t>
            </w:r>
          </w:p>
        </w:tc>
        <w:tc>
          <w:tcPr>
            <w:tcW w:w="1005" w:type="dxa"/>
            <w:tcBorders>
              <w:top w:val="single" w:color="auto" w:sz="4" w:space="0"/>
              <w:left w:val="single" w:color="auto" w:sz="4" w:space="0"/>
              <w:bottom w:val="nil"/>
              <w:right w:val="nil"/>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zh-TW" w:eastAsia="zh-TW"/>
              </w:rPr>
              <w:t>黑翅鸢</w:t>
            </w:r>
          </w:p>
        </w:tc>
        <w:tc>
          <w:tcPr>
            <w:tcW w:w="1080" w:type="dxa"/>
            <w:tcBorders>
              <w:top w:val="single" w:color="auto" w:sz="4" w:space="0"/>
              <w:left w:val="single" w:color="auto" w:sz="4" w:space="0"/>
              <w:bottom w:val="nil"/>
              <w:right w:val="nil"/>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zh-TW" w:eastAsia="zh-TW"/>
              </w:rPr>
              <w:t>II</w:t>
            </w:r>
          </w:p>
        </w:tc>
        <w:tc>
          <w:tcPr>
            <w:tcW w:w="3390" w:type="dxa"/>
            <w:tcBorders>
              <w:top w:val="single" w:color="auto" w:sz="4" w:space="0"/>
              <w:left w:val="single" w:color="auto" w:sz="4" w:space="0"/>
              <w:bottom w:val="nil"/>
              <w:right w:val="nil"/>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zh-TW" w:eastAsia="zh-TW"/>
              </w:rPr>
              <w:t>常绿阔叶林和农田周围</w:t>
            </w:r>
          </w:p>
        </w:tc>
        <w:tc>
          <w:tcPr>
            <w:tcW w:w="2424" w:type="dxa"/>
            <w:tcBorders>
              <w:top w:val="single" w:color="auto" w:sz="4" w:space="0"/>
              <w:left w:val="single" w:color="auto" w:sz="4" w:space="0"/>
              <w:bottom w:val="nil"/>
              <w:right w:val="single" w:color="auto" w:sz="4" w:space="0"/>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zh-TW" w:eastAsia="zh-TW"/>
              </w:rPr>
              <w:t>其活动范围较大，影响小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3" w:hRule="atLeast"/>
          <w:jc w:val="center"/>
        </w:trPr>
        <w:tc>
          <w:tcPr>
            <w:tcW w:w="759"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zh-TW" w:eastAsia="zh-TW"/>
              </w:rPr>
              <w:t>2</w:t>
            </w:r>
          </w:p>
        </w:tc>
        <w:tc>
          <w:tcPr>
            <w:tcW w:w="1005"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en-US" w:eastAsia="zh-CN"/>
              </w:rPr>
              <w:t>红隼</w:t>
            </w:r>
          </w:p>
        </w:tc>
        <w:tc>
          <w:tcPr>
            <w:tcW w:w="1080"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zh-TW" w:eastAsia="zh-TW"/>
              </w:rPr>
              <w:t>II</w:t>
            </w:r>
          </w:p>
        </w:tc>
        <w:tc>
          <w:tcPr>
            <w:tcW w:w="3390" w:type="dxa"/>
            <w:tcBorders>
              <w:top w:val="single" w:color="auto" w:sz="4" w:space="0"/>
              <w:left w:val="single" w:color="auto" w:sz="4" w:space="0"/>
              <w:bottom w:val="single" w:color="auto" w:sz="4" w:space="0"/>
              <w:right w:val="nil"/>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zh-TW" w:eastAsia="zh-TW"/>
              </w:rPr>
              <w:t>山地森林、旷野、灌丛和开垦耕地</w:t>
            </w:r>
          </w:p>
        </w:tc>
        <w:tc>
          <w:tcPr>
            <w:tcW w:w="2424" w:type="dxa"/>
            <w:tcBorders>
              <w:top w:val="single" w:color="auto" w:sz="4" w:space="0"/>
              <w:left w:val="single" w:color="auto" w:sz="4" w:space="0"/>
              <w:bottom w:val="single" w:color="auto" w:sz="4" w:space="0"/>
              <w:right w:val="single" w:color="auto" w:sz="4" w:space="0"/>
              <w:tl2br w:val="nil"/>
              <w:tr2bl w:val="nil"/>
            </w:tcBorders>
            <w:shd w:val="clear" w:color="auto" w:fill="auto"/>
            <w:noWrap w:val="0"/>
            <w:vAlign w:val="center"/>
          </w:tcPr>
          <w:p>
            <w:pPr>
              <w:pStyle w:val="42"/>
              <w:bidi w:val="0"/>
              <w:rPr>
                <w:rFonts w:hint="default"/>
                <w:color w:val="auto"/>
                <w:highlight w:val="none"/>
                <w:lang w:val="en-US" w:eastAsia="zh-CN"/>
              </w:rPr>
            </w:pPr>
            <w:r>
              <w:rPr>
                <w:rFonts w:hint="default"/>
                <w:color w:val="auto"/>
                <w:highlight w:val="none"/>
                <w:lang w:val="zh-TW" w:eastAsia="zh-TW"/>
              </w:rPr>
              <w:t>其活动范围较大，影响小</w:t>
            </w:r>
          </w:p>
        </w:tc>
      </w:tr>
    </w:tbl>
    <w:p>
      <w:pPr>
        <w:bidi w:val="0"/>
        <w:ind w:firstLine="482" w:firstLineChars="200"/>
        <w:rPr>
          <w:rFonts w:hint="default"/>
          <w:b/>
          <w:bCs/>
          <w:color w:val="auto"/>
          <w:highlight w:val="none"/>
          <w:lang w:val="en-US" w:eastAsia="zh-CN"/>
        </w:rPr>
      </w:pPr>
      <w:r>
        <w:rPr>
          <w:rFonts w:hint="eastAsia"/>
          <w:b/>
          <w:bCs/>
          <w:color w:val="auto"/>
          <w:highlight w:val="none"/>
          <w:lang w:val="en-US" w:eastAsia="zh-CN"/>
        </w:rPr>
        <w:t>5、</w:t>
      </w:r>
      <w:r>
        <w:rPr>
          <w:rFonts w:hint="default"/>
          <w:b/>
          <w:bCs/>
          <w:color w:val="auto"/>
          <w:highlight w:val="none"/>
          <w:lang w:val="en-US" w:eastAsia="zh-CN"/>
        </w:rPr>
        <w:t>对重点保护动物的栖息地连通性有一定的影响</w:t>
      </w:r>
    </w:p>
    <w:p>
      <w:pPr>
        <w:bidi w:val="0"/>
        <w:ind w:firstLine="480" w:firstLineChars="200"/>
        <w:rPr>
          <w:rFonts w:hint="default"/>
          <w:color w:val="auto"/>
          <w:highlight w:val="none"/>
          <w:lang w:val="en-US" w:eastAsia="zh-CN"/>
        </w:rPr>
      </w:pPr>
      <w:r>
        <w:rPr>
          <w:rFonts w:hint="default"/>
          <w:color w:val="auto"/>
          <w:highlight w:val="none"/>
          <w:lang w:val="en-US" w:eastAsia="zh-CN"/>
        </w:rPr>
        <w:t>开工建设后，由于车辆的不断通行，一定程度上影响该区域野生动物在山的两侧之间的往来活动，对该区域生境的连通性有一定影响。施工将对</w:t>
      </w:r>
      <w:r>
        <w:rPr>
          <w:rFonts w:hint="eastAsia"/>
          <w:color w:val="auto"/>
          <w:highlight w:val="none"/>
          <w:lang w:val="en-US" w:eastAsia="zh-CN"/>
        </w:rPr>
        <w:t>Ⅱ级</w:t>
      </w:r>
      <w:r>
        <w:rPr>
          <w:rFonts w:hint="default"/>
          <w:color w:val="auto"/>
          <w:highlight w:val="none"/>
          <w:lang w:val="en-US" w:eastAsia="zh-CN"/>
        </w:rPr>
        <w:t>重点保护野生动物种产生一定的影响。</w:t>
      </w:r>
    </w:p>
    <w:p>
      <w:pPr>
        <w:bidi w:val="0"/>
        <w:ind w:firstLine="480" w:firstLineChars="200"/>
        <w:rPr>
          <w:rFonts w:hint="default"/>
          <w:color w:val="auto"/>
          <w:highlight w:val="none"/>
          <w:lang w:val="en-US" w:eastAsia="zh-CN"/>
        </w:rPr>
      </w:pPr>
      <w:r>
        <w:rPr>
          <w:rFonts w:hint="default"/>
          <w:color w:val="auto"/>
          <w:highlight w:val="none"/>
          <w:lang w:val="en-US" w:eastAsia="zh-CN"/>
        </w:rPr>
        <w:t>拟建工程对评价区内重点保护动物栖境的破坏虽然不大，更不会造成某一类群或物种在评价区内大量消失，但可能造成少数物种的短期迁移和部分狭栖生境的丧失。同时，项目施工产生噪声和突增的人为活动会直接或间接影响到重点保护物种的种群数量下降。但由于这</w:t>
      </w:r>
      <w:r>
        <w:rPr>
          <w:rFonts w:hint="eastAsia"/>
          <w:color w:val="0000FF"/>
          <w:highlight w:val="none"/>
          <w:lang w:val="en-US" w:eastAsia="zh-CN"/>
        </w:rPr>
        <w:t>2</w:t>
      </w:r>
      <w:r>
        <w:rPr>
          <w:rFonts w:hint="default"/>
          <w:color w:val="0000FF"/>
          <w:highlight w:val="none"/>
          <w:lang w:val="en-US" w:eastAsia="zh-CN"/>
        </w:rPr>
        <w:t>种</w:t>
      </w:r>
      <w:r>
        <w:rPr>
          <w:rFonts w:hint="default"/>
          <w:color w:val="auto"/>
          <w:highlight w:val="none"/>
          <w:lang w:val="en-US" w:eastAsia="zh-CN"/>
        </w:rPr>
        <w:t>保护动物具有较强的环境适应特性和活动能力，工程建设将极少影响到其的种群数量骤减。因此，对重要物种的食物网/链结构的影响较小。</w:t>
      </w:r>
    </w:p>
    <w:p>
      <w:pPr>
        <w:bidi w:val="0"/>
        <w:ind w:firstLine="480" w:firstLineChars="200"/>
        <w:rPr>
          <w:rFonts w:hint="default"/>
          <w:color w:val="auto"/>
          <w:highlight w:val="none"/>
          <w:lang w:val="en-US" w:eastAsia="zh-CN"/>
        </w:rPr>
      </w:pPr>
      <w:r>
        <w:rPr>
          <w:rFonts w:hint="default"/>
          <w:color w:val="auto"/>
          <w:highlight w:val="none"/>
          <w:lang w:val="en-US" w:eastAsia="zh-CN"/>
        </w:rPr>
        <w:t>综合分析，施工期间或多或少会对重要物种迁移、散布、繁衍，造成直接或间接的影响，产生轻度干扰和障碍；管道使用期间对两栖、爬行类的迁移和散布几乎没有影响。由于该工程的施工多为分段进行，并不会完全阻断动物迁移、散布的途径，且工程完工后，潜在的影响会进一步降低。同时，考虑到原有道路的存在业己对物种的迁移、散布、繁衍产生一定影响的事实，拟建项目的实施对重要动物的迁移、散布、繁衍的</w:t>
      </w:r>
      <w:r>
        <w:rPr>
          <w:rFonts w:hint="eastAsia"/>
          <w:color w:val="auto"/>
          <w:highlight w:val="none"/>
          <w:lang w:val="en-US" w:eastAsia="zh-CN"/>
        </w:rPr>
        <w:t>影响</w:t>
      </w:r>
      <w:r>
        <w:rPr>
          <w:rFonts w:hint="default"/>
          <w:color w:val="auto"/>
          <w:highlight w:val="none"/>
          <w:lang w:val="en-US" w:eastAsia="zh-CN"/>
        </w:rPr>
        <w:t>较小。由于工程建设减少的植被面积较小，对野生动物栖息地的影响不大，但会对评价区景观的清洁性、完整性、协调性，产</w:t>
      </w:r>
      <w:r>
        <w:rPr>
          <w:rFonts w:hint="eastAsia"/>
          <w:color w:val="auto"/>
          <w:highlight w:val="none"/>
          <w:lang w:val="en-US" w:eastAsia="zh-CN"/>
        </w:rPr>
        <w:t>生</w:t>
      </w:r>
      <w:r>
        <w:rPr>
          <w:rFonts w:hint="default"/>
          <w:color w:val="auto"/>
          <w:highlight w:val="none"/>
          <w:lang w:val="en-US" w:eastAsia="zh-CN"/>
        </w:rPr>
        <w:t>一定影响，但不会显著降低其美学价值。综合考虑受工程的影响方式和范围，总体判断，建设项目对主要保护动物的总体影响为</w:t>
      </w:r>
      <w:r>
        <w:rPr>
          <w:rFonts w:hint="eastAsia"/>
          <w:color w:val="auto"/>
          <w:highlight w:val="none"/>
          <w:lang w:val="en-US" w:eastAsia="zh-CN"/>
        </w:rPr>
        <w:t>“</w:t>
      </w:r>
      <w:r>
        <w:rPr>
          <w:rFonts w:hint="default"/>
          <w:color w:val="auto"/>
          <w:highlight w:val="none"/>
          <w:lang w:val="en-US" w:eastAsia="zh-CN"/>
        </w:rPr>
        <w:t>较小影响</w:t>
      </w:r>
      <w:r>
        <w:rPr>
          <w:rFonts w:hint="eastAsia"/>
          <w:color w:val="auto"/>
          <w:highlight w:val="none"/>
          <w:lang w:val="en-US" w:eastAsia="zh-CN"/>
        </w:rPr>
        <w:t>”</w:t>
      </w:r>
      <w:r>
        <w:rPr>
          <w:rFonts w:hint="default"/>
          <w:color w:val="auto"/>
          <w:highlight w:val="none"/>
          <w:lang w:val="en-US" w:eastAsia="zh-CN"/>
        </w:rPr>
        <w:t>。</w:t>
      </w:r>
    </w:p>
    <w:p>
      <w:pPr>
        <w:pStyle w:val="5"/>
        <w:numPr>
          <w:ilvl w:val="3"/>
          <w:numId w:val="2"/>
        </w:numPr>
        <w:bidi w:val="0"/>
        <w:ind w:left="480" w:leftChars="0" w:firstLineChars="0"/>
        <w:rPr>
          <w:rFonts w:hint="default"/>
          <w:color w:val="auto"/>
        </w:rPr>
      </w:pPr>
      <w:r>
        <w:rPr>
          <w:rFonts w:hint="default"/>
          <w:color w:val="auto"/>
        </w:rPr>
        <w:t>对</w:t>
      </w:r>
      <w:r>
        <w:rPr>
          <w:rFonts w:hint="eastAsia"/>
          <w:color w:val="auto"/>
          <w:lang w:val="en-US" w:eastAsia="zh-CN"/>
        </w:rPr>
        <w:t>鱼类</w:t>
      </w:r>
      <w:r>
        <w:rPr>
          <w:rFonts w:hint="default"/>
          <w:color w:val="auto"/>
        </w:rPr>
        <w:t>的影响</w:t>
      </w:r>
    </w:p>
    <w:p>
      <w:pPr>
        <w:bidi w:val="0"/>
        <w:ind w:firstLine="480" w:firstLineChars="200"/>
        <w:rPr>
          <w:rFonts w:hint="default"/>
          <w:color w:val="0000FF"/>
          <w:highlight w:val="none"/>
          <w:lang w:val="en-US" w:eastAsia="zh-CN"/>
        </w:rPr>
      </w:pPr>
      <w:r>
        <w:rPr>
          <w:rStyle w:val="61"/>
          <w:rFonts w:hint="default" w:ascii="Times New Roman" w:hAnsi="Times New Roman" w:eastAsia="宋体" w:cs="Times New Roman"/>
          <w:b w:val="0"/>
          <w:i w:val="0"/>
          <w:caps w:val="0"/>
          <w:color w:val="0000FF"/>
          <w:spacing w:val="0"/>
          <w:w w:val="100"/>
          <w:kern w:val="2"/>
          <w:sz w:val="24"/>
          <w:szCs w:val="24"/>
          <w:lang w:val="en-US" w:eastAsia="zh-CN" w:bidi="ar-SA"/>
        </w:rPr>
        <w:t>本项目管道共有</w:t>
      </w:r>
      <w:r>
        <w:rPr>
          <w:rStyle w:val="61"/>
          <w:rFonts w:hint="eastAsia" w:ascii="Times New Roman" w:hAnsi="Times New Roman" w:cs="Times New Roman"/>
          <w:b w:val="0"/>
          <w:i w:val="0"/>
          <w:caps w:val="0"/>
          <w:color w:val="0000FF"/>
          <w:spacing w:val="0"/>
          <w:w w:val="100"/>
          <w:kern w:val="2"/>
          <w:sz w:val="24"/>
          <w:szCs w:val="24"/>
          <w:lang w:val="en-US" w:eastAsia="zh-CN" w:bidi="ar-SA"/>
        </w:rPr>
        <w:t>2</w:t>
      </w:r>
      <w:r>
        <w:rPr>
          <w:rStyle w:val="61"/>
          <w:rFonts w:hint="default" w:ascii="Times New Roman" w:hAnsi="Times New Roman" w:eastAsia="宋体" w:cs="Times New Roman"/>
          <w:b w:val="0"/>
          <w:i w:val="0"/>
          <w:caps w:val="0"/>
          <w:color w:val="0000FF"/>
          <w:spacing w:val="0"/>
          <w:w w:val="100"/>
          <w:kern w:val="2"/>
          <w:sz w:val="24"/>
          <w:szCs w:val="24"/>
          <w:lang w:val="en-US" w:eastAsia="zh-CN" w:bidi="ar-SA"/>
        </w:rPr>
        <w:t>处跨越河流</w:t>
      </w:r>
      <w:r>
        <w:rPr>
          <w:rStyle w:val="61"/>
          <w:rFonts w:hint="eastAsia" w:ascii="Times New Roman" w:hAnsi="Times New Roman" w:cs="Times New Roman"/>
          <w:b w:val="0"/>
          <w:i w:val="0"/>
          <w:caps w:val="0"/>
          <w:color w:val="0000FF"/>
          <w:spacing w:val="0"/>
          <w:w w:val="100"/>
          <w:kern w:val="2"/>
          <w:sz w:val="24"/>
          <w:szCs w:val="24"/>
          <w:lang w:val="en-US" w:eastAsia="zh-CN" w:bidi="ar-SA"/>
        </w:rPr>
        <w:t>：北干管K7+845~K7+940管段跨姜驿河；金马分干管K1+711~K1+720段跨沙沟箐。</w:t>
      </w:r>
      <w:r>
        <w:rPr>
          <w:rFonts w:hint="default"/>
          <w:color w:val="0000FF"/>
          <w:highlight w:val="none"/>
        </w:rPr>
        <w:t>跨河建筑物施工应严格按照施工组织计划，选择枯季施工，</w:t>
      </w:r>
      <w:r>
        <w:rPr>
          <w:rFonts w:hint="eastAsia"/>
          <w:color w:val="0000FF"/>
          <w:highlight w:val="none"/>
          <w:lang w:val="en-US" w:eastAsia="zh-CN"/>
        </w:rPr>
        <w:t>枯季</w:t>
      </w:r>
      <w:r>
        <w:rPr>
          <w:rFonts w:hint="default"/>
          <w:color w:val="0000FF"/>
          <w:highlight w:val="none"/>
        </w:rPr>
        <w:t>姜驿河</w:t>
      </w:r>
      <w:r>
        <w:rPr>
          <w:rFonts w:hint="eastAsia"/>
          <w:color w:val="0000FF"/>
          <w:highlight w:val="none"/>
          <w:lang w:val="en-US" w:eastAsia="zh-CN"/>
        </w:rPr>
        <w:t>和</w:t>
      </w:r>
      <w:r>
        <w:rPr>
          <w:rFonts w:hint="default"/>
          <w:color w:val="0000FF"/>
          <w:highlight w:val="none"/>
        </w:rPr>
        <w:t>沙沟箐</w:t>
      </w:r>
      <w:r>
        <w:rPr>
          <w:rFonts w:hint="eastAsia"/>
          <w:color w:val="0000FF"/>
          <w:highlight w:val="none"/>
          <w:lang w:val="en-US" w:eastAsia="zh-CN"/>
        </w:rPr>
        <w:t>无水，</w:t>
      </w:r>
      <w:r>
        <w:rPr>
          <w:rFonts w:hint="default"/>
          <w:color w:val="0000FF"/>
          <w:highlight w:val="none"/>
          <w:lang w:val="en-US" w:eastAsia="zh-CN"/>
        </w:rPr>
        <w:t>施工生活污水、生产废水等全部就地处理后回用或利用，不外排，对地表水环境以及水生生态的影响较小。施工期如管理不善，可能会出现施工废水、弃渣、垃圾等未经收集处理而直接排放入河、库的情况，对河流水质及水生生境产生不利影响，不利于水生生物的保护。故施工期应做好施工废水、固废收集处理和清运措施，施工废水全部回用，避免在河道中挖沙、取石，改变水流流向和加重泥沙含量等行为，禁止向工程附近的河道倾倒固体废物。在采取相应措施后，</w:t>
      </w:r>
      <w:r>
        <w:rPr>
          <w:rFonts w:hint="eastAsia"/>
          <w:color w:val="0000FF"/>
          <w:highlight w:val="none"/>
          <w:lang w:val="en-US" w:eastAsia="zh-CN"/>
        </w:rPr>
        <w:t>施工期为枯季，枯季河流无水，</w:t>
      </w:r>
      <w:r>
        <w:rPr>
          <w:rFonts w:hint="default"/>
          <w:color w:val="0000FF"/>
          <w:highlight w:val="none"/>
          <w:lang w:val="en-US" w:eastAsia="zh-CN"/>
        </w:rPr>
        <w:t>对鱼类</w:t>
      </w:r>
      <w:r>
        <w:rPr>
          <w:rFonts w:hint="eastAsia"/>
          <w:color w:val="0000FF"/>
          <w:highlight w:val="none"/>
          <w:lang w:val="en-US" w:eastAsia="zh-CN"/>
        </w:rPr>
        <w:t>影响较小</w:t>
      </w:r>
      <w:r>
        <w:rPr>
          <w:rFonts w:hint="default"/>
          <w:color w:val="0000FF"/>
          <w:highlight w:val="none"/>
          <w:lang w:val="en-US" w:eastAsia="zh-CN"/>
        </w:rPr>
        <w:t>。</w:t>
      </w:r>
    </w:p>
    <w:p>
      <w:pPr>
        <w:pStyle w:val="120"/>
        <w:rPr>
          <w:color w:val="0000FF"/>
        </w:rPr>
      </w:pPr>
      <w:r>
        <w:rPr>
          <w:color w:val="0000FF"/>
        </w:rPr>
        <w:t>工程建设施工期涉水工程建设产生的影响因子粉尘，水土流失土壤、颗粒随雨水进入河流中，以及施工区域的初期雨水将造成受纳水体SS含量的升高，其沉积和覆盖将导致施工水域下游近距离范围河段近岸带浮游生物、底栖动物以及水生植物等生物量的减少，造成一定区域内浮游动植物、底栖动物以及水生维管束植物生物多样性的降低，鱼类饵料生物的减少，进而影响到鱼类的索饵等活动，造成一定时期内相应局部水域鱼类物种多样性的降低。</w:t>
      </w:r>
    </w:p>
    <w:p>
      <w:pPr>
        <w:pStyle w:val="120"/>
        <w:rPr>
          <w:rFonts w:hint="default"/>
          <w:color w:val="auto"/>
          <w:highlight w:val="none"/>
        </w:rPr>
      </w:pPr>
      <w:r>
        <w:rPr>
          <w:color w:val="0000FF"/>
        </w:rPr>
        <w:t>但是上述的影响都是局部小范围的、暂时的影响，且灌区内水系有较强的自我净化能力。同时，浮游动、植物等适应环境的能力很强，施工建设可能会降低施工点周边局部小范围的浮游动、植物的生物量，但不会对评价区域内浮游动、植物的整体种类、结构组成造成影响，只是对局部的数量有一定的影响，且这种影响是暂时的，会随着施工的结束而逐渐得到恢复。</w:t>
      </w:r>
    </w:p>
    <w:p>
      <w:pPr>
        <w:pStyle w:val="5"/>
        <w:numPr>
          <w:ilvl w:val="3"/>
          <w:numId w:val="2"/>
        </w:numPr>
        <w:bidi w:val="0"/>
        <w:ind w:left="480" w:leftChars="0" w:firstLineChars="0"/>
        <w:rPr>
          <w:rFonts w:hint="eastAsia"/>
          <w:color w:val="auto"/>
          <w:lang w:val="en-US" w:eastAsia="zh-CN"/>
        </w:rPr>
      </w:pPr>
      <w:bookmarkStart w:id="594" w:name="_Toc8079"/>
      <w:r>
        <w:rPr>
          <w:rFonts w:hint="eastAsia"/>
          <w:color w:val="auto"/>
          <w:lang w:val="en-US" w:eastAsia="zh-CN"/>
        </w:rPr>
        <w:t>景观生态</w:t>
      </w:r>
      <w:bookmarkEnd w:id="594"/>
      <w:r>
        <w:rPr>
          <w:rFonts w:hint="eastAsia"/>
          <w:color w:val="auto"/>
          <w:lang w:val="en-US" w:eastAsia="zh-CN"/>
        </w:rPr>
        <w:t>影响分析</w:t>
      </w:r>
    </w:p>
    <w:p>
      <w:pPr>
        <w:bidi w:val="0"/>
        <w:ind w:firstLine="480" w:firstLineChars="200"/>
        <w:rPr>
          <w:rFonts w:hint="default"/>
          <w:color w:val="auto"/>
          <w:highlight w:val="none"/>
          <w:lang w:val="en-US" w:eastAsia="zh-CN"/>
        </w:rPr>
      </w:pPr>
      <w:r>
        <w:rPr>
          <w:rFonts w:hint="default"/>
          <w:color w:val="auto"/>
          <w:highlight w:val="none"/>
          <w:lang w:val="en-US" w:eastAsia="zh-CN"/>
        </w:rPr>
        <w:t>评价区包括稀树灌木草丛、灌丛、暖性针叶林、耕地、交通用地、水域、建筑用地等7种拼块类型。</w:t>
      </w:r>
    </w:p>
    <w:p>
      <w:pPr>
        <w:bidi w:val="0"/>
        <w:ind w:firstLine="480" w:firstLineChars="200"/>
        <w:rPr>
          <w:rFonts w:hint="default"/>
          <w:color w:val="auto"/>
          <w:highlight w:val="none"/>
          <w:lang w:val="en-US" w:eastAsia="zh-CN"/>
        </w:rPr>
      </w:pPr>
      <w:r>
        <w:rPr>
          <w:rFonts w:hint="default"/>
          <w:color w:val="auto"/>
          <w:highlight w:val="none"/>
          <w:lang w:val="en-US" w:eastAsia="zh-CN"/>
        </w:rPr>
        <w:t>景观生态系统的质量现状由生态评价范围内自然环境，各种生物以及人类社会之间复杂的相互作用来决定。从景观生态学结构与功能相匹配的理论来说，结构是否合理决定了景观功能的优劣，在组成景观生态系统的各类组分中，基质是景观的背景区域，它在很大程度上决定了景观的性质，对景观的动态起着主导作用。本评价范围基质主要采用传统的生态学方法来确定，即计算组成景观的各类拼块的优势度值（Do），优势度值大的就是基质，优势度值通过计算评价范围内各拼块的重要值的方法判定某拼块在景观中的优势，由以下3种参数计算出：密度（Rd）、频度（Rf）和景观比例（Lp）。密度Rd=嵌块I的数目/嵌块总数x100%；</w:t>
      </w:r>
    </w:p>
    <w:p>
      <w:pPr>
        <w:bidi w:val="0"/>
        <w:ind w:firstLine="480" w:firstLineChars="200"/>
        <w:rPr>
          <w:rFonts w:hint="default"/>
          <w:color w:val="auto"/>
          <w:highlight w:val="none"/>
          <w:lang w:val="en-US" w:eastAsia="zh-CN"/>
        </w:rPr>
      </w:pPr>
      <w:r>
        <w:rPr>
          <w:rFonts w:hint="default"/>
          <w:color w:val="auto"/>
          <w:highlight w:val="none"/>
          <w:lang w:val="en-US" w:eastAsia="zh-CN"/>
        </w:rPr>
        <w:t>频度Rf=嵌块I出现的样方数/总样方数x100%</w:t>
      </w:r>
    </w:p>
    <w:p>
      <w:pPr>
        <w:bidi w:val="0"/>
        <w:ind w:firstLine="480" w:firstLineChars="200"/>
        <w:rPr>
          <w:rFonts w:hint="default"/>
          <w:color w:val="auto"/>
          <w:highlight w:val="none"/>
          <w:lang w:val="en-US" w:eastAsia="zh-CN"/>
        </w:rPr>
      </w:pPr>
      <w:r>
        <w:rPr>
          <w:rFonts w:hint="default"/>
          <w:color w:val="auto"/>
          <w:highlight w:val="none"/>
          <w:lang w:val="en-US" w:eastAsia="zh-CN"/>
        </w:rPr>
        <w:t>景观比例（Lp）=嵌块I的面积/样地总面积x100°%</w:t>
      </w:r>
    </w:p>
    <w:p>
      <w:pPr>
        <w:bidi w:val="0"/>
        <w:ind w:firstLine="480" w:firstLineChars="200"/>
        <w:rPr>
          <w:rFonts w:hint="default"/>
          <w:color w:val="auto"/>
          <w:highlight w:val="none"/>
          <w:lang w:val="en-US" w:eastAsia="zh-CN"/>
        </w:rPr>
      </w:pPr>
      <w:r>
        <w:rPr>
          <w:rFonts w:hint="default"/>
          <w:color w:val="auto"/>
          <w:highlight w:val="none"/>
          <w:lang w:val="en-US" w:eastAsia="zh-CN"/>
        </w:rPr>
        <w:t>优势度值（Do）={（Rd+Rf）/2+Lp}/2x100%</w:t>
      </w:r>
    </w:p>
    <w:p>
      <w:pPr>
        <w:bidi w:val="0"/>
        <w:ind w:firstLine="480" w:firstLineChars="200"/>
        <w:rPr>
          <w:rFonts w:hint="default"/>
          <w:color w:val="auto"/>
          <w:highlight w:val="none"/>
          <w:lang w:val="en-US" w:eastAsia="zh-CN"/>
        </w:rPr>
      </w:pPr>
      <w:r>
        <w:rPr>
          <w:rFonts w:hint="default"/>
          <w:color w:val="auto"/>
          <w:highlight w:val="none"/>
          <w:lang w:val="en-US" w:eastAsia="zh-CN"/>
        </w:rPr>
        <w:t>运用上述参数计算生态评价区工程实施前后主要拼块类型优势度值，其结果见下表：</w:t>
      </w:r>
    </w:p>
    <w:p>
      <w:pPr>
        <w:pStyle w:val="40"/>
        <w:bidi w:val="0"/>
        <w:rPr>
          <w:rFonts w:hint="default"/>
          <w:color w:val="auto"/>
          <w:highlight w:val="none"/>
          <w:lang w:val="en-US" w:eastAsia="zh-CN"/>
        </w:rPr>
      </w:pPr>
      <w:r>
        <w:rPr>
          <w:rFonts w:hint="default"/>
          <w:color w:val="auto"/>
          <w:highlight w:val="none"/>
          <w:lang w:val="en-US" w:eastAsia="zh-CN"/>
        </w:rPr>
        <w:t>表</w:t>
      </w:r>
      <w:r>
        <w:rPr>
          <w:rFonts w:hint="eastAsia"/>
          <w:color w:val="auto"/>
          <w:highlight w:val="none"/>
          <w:lang w:val="en-US" w:eastAsia="zh-CN"/>
        </w:rPr>
        <w:t xml:space="preserve">5.1.7-3  </w:t>
      </w:r>
      <w:r>
        <w:rPr>
          <w:rFonts w:hint="default"/>
          <w:color w:val="auto"/>
          <w:highlight w:val="none"/>
          <w:lang w:val="en-US" w:eastAsia="zh-CN"/>
        </w:rPr>
        <w:t>工程实施前后主要拼块类型优势度值</w:t>
      </w:r>
    </w:p>
    <w:tbl>
      <w:tblPr>
        <w:tblStyle w:val="29"/>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844"/>
        <w:gridCol w:w="826"/>
        <w:gridCol w:w="826"/>
        <w:gridCol w:w="826"/>
        <w:gridCol w:w="826"/>
        <w:gridCol w:w="859"/>
        <w:gridCol w:w="861"/>
        <w:gridCol w:w="827"/>
        <w:gridCol w:w="82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4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生态系统类型</w:t>
            </w:r>
          </w:p>
        </w:tc>
        <w:tc>
          <w:tcPr>
            <w:tcW w:w="84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密度Rd</w:t>
            </w:r>
          </w:p>
        </w:tc>
        <w:tc>
          <w:tcPr>
            <w:tcW w:w="102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频率Rf</w:t>
            </w:r>
          </w:p>
        </w:tc>
        <w:tc>
          <w:tcPr>
            <w:tcW w:w="120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生态系统比例Lp</w:t>
            </w:r>
          </w:p>
        </w:tc>
        <w:tc>
          <w:tcPr>
            <w:tcW w:w="1079"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优势度Do</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4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实施前</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实施后</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实施前</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实施后</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实施前</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实施后</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实施前</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实施后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阔叶林生态系统</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16.08</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15.34</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14.37</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14.32</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12.91</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9.92</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14.07</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12.38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针叶林生态系统</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18.60</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17.50</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10.72</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10.21</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3.21</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3.13</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8.93</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8.49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阔叶灌丛生态系统</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22.71</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21.09</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28.47</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25.44</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27.62</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26.33</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26.61</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24.80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稀疏草地生态系统</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20.31</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19.88</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24.50</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22.36</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18.79</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18.53</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20.60</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19.83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河流生态系统</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8.59</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8.21</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0.67</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1.75</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1.24</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1.26</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2.94</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3.12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耕地生态系统</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3.13</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3.02</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6.72</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8.53</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26.36</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26.48</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15.64</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16.13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园地生态系统</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5.32</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4.99</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10.30</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11.08</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6.82</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6.91</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7.31</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7.47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居住地生态系统</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2.85</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3.44</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2.24</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2.33</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1.58</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2.11</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2.06</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工矿交通生态系统</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2.41</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6.53</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2.01</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3.98</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1.48</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5.33</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1.84</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eastAsia"/>
                <w:color w:val="auto"/>
              </w:rPr>
            </w:pPr>
            <w:r>
              <w:rPr>
                <w:rFonts w:hint="eastAsia"/>
                <w:color w:val="auto"/>
                <w:lang w:val="en-US" w:eastAsia="zh-CN"/>
              </w:rPr>
              <w:t>5.29</w:t>
            </w:r>
          </w:p>
        </w:tc>
      </w:tr>
    </w:tbl>
    <w:p>
      <w:pPr>
        <w:bidi w:val="0"/>
        <w:ind w:firstLine="480" w:firstLineChars="200"/>
        <w:rPr>
          <w:rFonts w:hint="default"/>
          <w:color w:val="auto"/>
          <w:highlight w:val="none"/>
          <w:lang w:val="en-US" w:eastAsia="zh-CN"/>
        </w:rPr>
      </w:pPr>
      <w:r>
        <w:rPr>
          <w:rFonts w:hint="default"/>
          <w:color w:val="auto"/>
          <w:highlight w:val="none"/>
          <w:lang w:val="en-US" w:eastAsia="zh-CN"/>
        </w:rPr>
        <w:t>从上表可见：项目建成后输水管道经过的土地利用格局发生了变化，各地类的密度、频度、景观比例和优势度值都发生了变化，原先是评价区模地的稀树灌木草丛优势度值由</w:t>
      </w:r>
      <w:r>
        <w:rPr>
          <w:rFonts w:hint="eastAsia"/>
          <w:color w:val="auto"/>
          <w:highlight w:val="none"/>
          <w:lang w:val="en-US" w:eastAsia="zh-CN"/>
        </w:rPr>
        <w:t>20.6</w:t>
      </w:r>
      <w:r>
        <w:rPr>
          <w:rFonts w:hint="default"/>
          <w:color w:val="auto"/>
          <w:highlight w:val="none"/>
          <w:lang w:val="en-US" w:eastAsia="zh-CN"/>
        </w:rPr>
        <w:t>%降低为</w:t>
      </w:r>
      <w:r>
        <w:rPr>
          <w:rFonts w:hint="eastAsia"/>
          <w:color w:val="auto"/>
          <w:highlight w:val="none"/>
          <w:lang w:val="en-US" w:eastAsia="zh-CN"/>
        </w:rPr>
        <w:t>19.83</w:t>
      </w:r>
      <w:r>
        <w:rPr>
          <w:rFonts w:hint="default"/>
          <w:color w:val="auto"/>
          <w:highlight w:val="none"/>
          <w:lang w:val="en-US" w:eastAsia="zh-CN"/>
        </w:rPr>
        <w:t>%，减少了</w:t>
      </w:r>
      <w:r>
        <w:rPr>
          <w:rFonts w:hint="eastAsia"/>
          <w:color w:val="auto"/>
          <w:highlight w:val="none"/>
          <w:lang w:val="en-US" w:eastAsia="zh-CN"/>
        </w:rPr>
        <w:t>0.77</w:t>
      </w:r>
      <w:r>
        <w:rPr>
          <w:rFonts w:hint="default"/>
          <w:color w:val="auto"/>
          <w:highlight w:val="none"/>
          <w:lang w:val="en-US" w:eastAsia="zh-CN"/>
        </w:rPr>
        <w:t>%，其次是灌丛优势度值由</w:t>
      </w:r>
      <w:r>
        <w:rPr>
          <w:rFonts w:hint="eastAsia"/>
          <w:color w:val="auto"/>
          <w:highlight w:val="none"/>
          <w:lang w:val="en-US" w:eastAsia="zh-CN"/>
        </w:rPr>
        <w:t>26.61</w:t>
      </w:r>
      <w:r>
        <w:rPr>
          <w:rFonts w:hint="default"/>
          <w:color w:val="auto"/>
          <w:highlight w:val="none"/>
          <w:lang w:val="en-US" w:eastAsia="zh-CN"/>
        </w:rPr>
        <w:t>%变为</w:t>
      </w:r>
      <w:r>
        <w:rPr>
          <w:rFonts w:hint="eastAsia"/>
          <w:color w:val="auto"/>
          <w:highlight w:val="none"/>
          <w:lang w:val="en-US" w:eastAsia="zh-CN"/>
        </w:rPr>
        <w:t>24.8</w:t>
      </w:r>
      <w:r>
        <w:rPr>
          <w:rFonts w:hint="default"/>
          <w:color w:val="auto"/>
          <w:highlight w:val="none"/>
          <w:lang w:val="en-US" w:eastAsia="zh-CN"/>
        </w:rPr>
        <w:t>%，</w:t>
      </w:r>
      <w:r>
        <w:rPr>
          <w:rFonts w:hint="eastAsia"/>
          <w:color w:val="auto"/>
          <w:highlight w:val="none"/>
          <w:lang w:val="en-US" w:eastAsia="zh-CN"/>
        </w:rPr>
        <w:t>减少</w:t>
      </w:r>
      <w:r>
        <w:rPr>
          <w:rFonts w:hint="default"/>
          <w:color w:val="auto"/>
          <w:highlight w:val="none"/>
          <w:lang w:val="en-US" w:eastAsia="zh-CN"/>
        </w:rPr>
        <w:t>了</w:t>
      </w:r>
      <w:r>
        <w:rPr>
          <w:rFonts w:hint="eastAsia"/>
          <w:color w:val="auto"/>
          <w:highlight w:val="none"/>
          <w:lang w:val="en-US" w:eastAsia="zh-CN"/>
        </w:rPr>
        <w:t>1.8</w:t>
      </w:r>
      <w:r>
        <w:rPr>
          <w:rFonts w:hint="default"/>
          <w:color w:val="auto"/>
          <w:highlight w:val="none"/>
          <w:lang w:val="en-US" w:eastAsia="zh-CN"/>
        </w:rPr>
        <w:t>1%；水域的优势度值由</w:t>
      </w:r>
      <w:r>
        <w:rPr>
          <w:rFonts w:hint="eastAsia"/>
          <w:color w:val="auto"/>
          <w:highlight w:val="none"/>
          <w:lang w:val="en-US" w:eastAsia="zh-CN"/>
        </w:rPr>
        <w:t>15.64</w:t>
      </w:r>
      <w:r>
        <w:rPr>
          <w:rFonts w:hint="default"/>
          <w:color w:val="auto"/>
          <w:highlight w:val="none"/>
          <w:lang w:val="en-US" w:eastAsia="zh-CN"/>
        </w:rPr>
        <w:t>%上升为</w:t>
      </w:r>
      <w:r>
        <w:rPr>
          <w:rFonts w:hint="eastAsia"/>
          <w:color w:val="auto"/>
          <w:highlight w:val="none"/>
          <w:lang w:val="en-US" w:eastAsia="zh-CN"/>
        </w:rPr>
        <w:t>16.13</w:t>
      </w:r>
      <w:r>
        <w:rPr>
          <w:rFonts w:hint="default"/>
          <w:color w:val="auto"/>
          <w:highlight w:val="none"/>
          <w:lang w:val="en-US" w:eastAsia="zh-CN"/>
        </w:rPr>
        <w:t>%，增加了</w:t>
      </w:r>
      <w:r>
        <w:rPr>
          <w:rFonts w:hint="eastAsia"/>
          <w:color w:val="auto"/>
          <w:highlight w:val="none"/>
          <w:lang w:val="en-US" w:eastAsia="zh-CN"/>
        </w:rPr>
        <w:t>0.18</w:t>
      </w:r>
      <w:r>
        <w:rPr>
          <w:rFonts w:hint="default"/>
          <w:color w:val="auto"/>
          <w:highlight w:val="none"/>
          <w:lang w:val="en-US" w:eastAsia="zh-CN"/>
        </w:rPr>
        <w:t>%，但评价区的模地仍为稀树灌木草丛，可见工程实施和运行没有改变评价区自然体系的景观格局。</w:t>
      </w:r>
    </w:p>
    <w:p>
      <w:pPr>
        <w:bidi w:val="0"/>
        <w:ind w:firstLine="480" w:firstLineChars="200"/>
        <w:rPr>
          <w:rFonts w:hint="default"/>
          <w:color w:val="auto"/>
          <w:highlight w:val="none"/>
          <w:lang w:val="en-US" w:eastAsia="zh-CN"/>
        </w:rPr>
      </w:pPr>
      <w:r>
        <w:rPr>
          <w:rFonts w:hint="default"/>
          <w:color w:val="auto"/>
          <w:highlight w:val="none"/>
          <w:lang w:val="en-US" w:eastAsia="zh-CN"/>
        </w:rPr>
        <w:t>主体工程区占用的面积将是永久改变土地属性的面积，约3.7hm²，占评价区面积的0.</w:t>
      </w:r>
      <w:r>
        <w:rPr>
          <w:rFonts w:hint="eastAsia"/>
          <w:color w:val="auto"/>
          <w:highlight w:val="none"/>
          <w:lang w:val="en-US" w:eastAsia="zh-CN"/>
        </w:rPr>
        <w:t>09</w:t>
      </w:r>
      <w:r>
        <w:rPr>
          <w:rFonts w:hint="default"/>
          <w:color w:val="auto"/>
          <w:highlight w:val="none"/>
          <w:lang w:val="en-US" w:eastAsia="zh-CN"/>
        </w:rPr>
        <w:t>%。这些将要永久消失的自然植被包括稀树灌木草丛、暖性针叶林和灌丛。其中占用面积最大的稀树灌木草丛，但项目建设后评价区的模式仍为稀树灌木草丛，没有对评价区景观生态造成明显影响。</w:t>
      </w:r>
    </w:p>
    <w:p>
      <w:pPr>
        <w:bidi w:val="0"/>
        <w:ind w:firstLine="480" w:firstLineChars="200"/>
        <w:rPr>
          <w:rFonts w:hint="default"/>
          <w:color w:val="auto"/>
          <w:highlight w:val="none"/>
          <w:lang w:val="en-US" w:eastAsia="zh-CN"/>
        </w:rPr>
      </w:pPr>
      <w:r>
        <w:rPr>
          <w:rFonts w:hint="default"/>
          <w:color w:val="auto"/>
          <w:highlight w:val="none"/>
          <w:lang w:val="en-US" w:eastAsia="zh-CN"/>
        </w:rPr>
        <w:t>综上所述，工程建设造成枢纽区和库区的土地利用格局的变化，将对评价区自然体系产生影响，通过工程涉及区自然生态系统体系的自我调节，以及施工完成后进行绿化工程，在工程运行一段时间后，工程影响区自然体系的性质和功能将得到恢复。另外，在工程建设过程中应注意生态系统的保护，使受到影响的生态系统的自然生产力尽快得到恢复。</w:t>
      </w:r>
    </w:p>
    <w:p>
      <w:pPr>
        <w:pStyle w:val="5"/>
        <w:numPr>
          <w:ilvl w:val="3"/>
          <w:numId w:val="2"/>
        </w:numPr>
        <w:bidi w:val="0"/>
        <w:ind w:left="480" w:leftChars="0" w:firstLineChars="0"/>
        <w:rPr>
          <w:rFonts w:hint="eastAsia"/>
          <w:color w:val="auto"/>
          <w:lang w:val="en-US" w:eastAsia="zh-CN"/>
        </w:rPr>
      </w:pPr>
      <w:bookmarkStart w:id="595" w:name="_Toc450603600"/>
      <w:r>
        <w:rPr>
          <w:rFonts w:hint="eastAsia"/>
          <w:color w:val="auto"/>
          <w:lang w:val="en-US" w:eastAsia="zh-CN"/>
        </w:rPr>
        <w:t>对生态系统稳定性分析</w:t>
      </w:r>
    </w:p>
    <w:p>
      <w:pPr>
        <w:bidi w:val="0"/>
        <w:ind w:firstLine="482" w:firstLineChars="200"/>
        <w:rPr>
          <w:rFonts w:hint="default"/>
          <w:b/>
          <w:bCs/>
          <w:color w:val="0000FF"/>
          <w:highlight w:val="none"/>
          <w:lang w:val="en-US" w:eastAsia="zh-CN"/>
        </w:rPr>
      </w:pPr>
      <w:r>
        <w:rPr>
          <w:rFonts w:hint="eastAsia"/>
          <w:b/>
          <w:bCs/>
          <w:color w:val="0000FF"/>
          <w:highlight w:val="none"/>
          <w:lang w:val="en-US" w:eastAsia="zh-CN"/>
        </w:rPr>
        <w:t>1</w:t>
      </w:r>
      <w:r>
        <w:rPr>
          <w:rFonts w:hint="default"/>
          <w:b/>
          <w:bCs/>
          <w:color w:val="0000FF"/>
          <w:highlight w:val="none"/>
          <w:lang w:val="en-US" w:eastAsia="zh-CN"/>
        </w:rPr>
        <w:t>、对生态系统生物量的影响</w:t>
      </w:r>
    </w:p>
    <w:p>
      <w:pPr>
        <w:bidi w:val="0"/>
        <w:ind w:firstLine="480" w:firstLineChars="200"/>
        <w:rPr>
          <w:rFonts w:hint="default"/>
          <w:color w:val="0000FF"/>
          <w:highlight w:val="none"/>
          <w:lang w:val="en-US" w:eastAsia="zh-CN"/>
        </w:rPr>
      </w:pPr>
      <w:r>
        <w:rPr>
          <w:rFonts w:hint="default"/>
          <w:color w:val="0000FF"/>
          <w:highlight w:val="none"/>
          <w:lang w:val="en-US" w:eastAsia="zh-CN"/>
        </w:rPr>
        <w:t>本项目</w:t>
      </w:r>
      <w:r>
        <w:rPr>
          <w:rFonts w:hint="eastAsia"/>
          <w:color w:val="0000FF"/>
          <w:highlight w:val="none"/>
          <w:lang w:val="en-US" w:eastAsia="zh-CN"/>
        </w:rPr>
        <w:t>生态</w:t>
      </w:r>
      <w:r>
        <w:rPr>
          <w:rFonts w:hint="default"/>
          <w:color w:val="0000FF"/>
          <w:highlight w:val="none"/>
          <w:lang w:val="en-US" w:eastAsia="zh-CN"/>
        </w:rPr>
        <w:t>评价区面积4309.52hm²，其生态系统累积的生物量大约是619804.90t（干重）。由于拟建项目占用植被，将减少评价区生态系统的生物量，但项目建设将增加水域面积对当地生态系统的物质循环和能量流动产生一定积极的影响，最终拟建项目将减少评价区的生物量大约是6790.47t（干重），约占评价区生物量的</w:t>
      </w:r>
      <w:r>
        <w:rPr>
          <w:rFonts w:hint="eastAsia"/>
          <w:color w:val="0000FF"/>
          <w:highlight w:val="none"/>
          <w:lang w:val="en-US" w:eastAsia="zh-CN"/>
        </w:rPr>
        <w:t>1.1</w:t>
      </w:r>
      <w:r>
        <w:rPr>
          <w:rFonts w:hint="default"/>
          <w:color w:val="0000FF"/>
          <w:highlight w:val="none"/>
          <w:lang w:val="en-US" w:eastAsia="zh-CN"/>
        </w:rPr>
        <w:t>%。</w:t>
      </w:r>
    </w:p>
    <w:p>
      <w:pPr>
        <w:keepNext w:val="0"/>
        <w:keepLines w:val="0"/>
        <w:widowControl/>
        <w:suppressLineNumbers w:val="0"/>
        <w:spacing w:line="240" w:lineRule="auto"/>
        <w:jc w:val="center"/>
        <w:rPr>
          <w:color w:val="0000FF"/>
          <w:sz w:val="24"/>
          <w:szCs w:val="24"/>
          <w:highlight w:val="none"/>
        </w:rPr>
      </w:pPr>
      <w:r>
        <w:rPr>
          <w:rFonts w:hint="eastAsia" w:ascii="宋体" w:hAnsi="宋体" w:eastAsia="宋体" w:cs="宋体"/>
          <w:b/>
          <w:bCs/>
          <w:color w:val="0000FF"/>
          <w:kern w:val="0"/>
          <w:sz w:val="24"/>
          <w:szCs w:val="24"/>
          <w:highlight w:val="none"/>
          <w:lang w:val="en-US" w:eastAsia="zh-CN" w:bidi="ar"/>
        </w:rPr>
        <w:t xml:space="preserve">表 </w:t>
      </w:r>
      <w:r>
        <w:rPr>
          <w:rFonts w:hint="default" w:ascii="Times New Roman" w:hAnsi="Times New Roman" w:eastAsia="宋体" w:cs="Times New Roman"/>
          <w:b/>
          <w:bCs/>
          <w:color w:val="0000FF"/>
          <w:kern w:val="0"/>
          <w:sz w:val="24"/>
          <w:szCs w:val="24"/>
          <w:highlight w:val="none"/>
          <w:lang w:val="en-US" w:eastAsia="zh-CN" w:bidi="ar"/>
        </w:rPr>
        <w:t>5.1</w:t>
      </w:r>
      <w:r>
        <w:rPr>
          <w:rFonts w:hint="eastAsia" w:ascii="Times New Roman" w:hAnsi="Times New Roman" w:eastAsia="宋体" w:cs="Times New Roman"/>
          <w:b/>
          <w:bCs/>
          <w:color w:val="0000FF"/>
          <w:kern w:val="0"/>
          <w:sz w:val="24"/>
          <w:szCs w:val="24"/>
          <w:highlight w:val="none"/>
          <w:lang w:val="en-US" w:eastAsia="zh-CN" w:bidi="ar"/>
        </w:rPr>
        <w:t>.7</w:t>
      </w:r>
      <w:r>
        <w:rPr>
          <w:rFonts w:hint="default" w:ascii="Times New Roman" w:hAnsi="Times New Roman" w:eastAsia="宋体" w:cs="Times New Roman"/>
          <w:b/>
          <w:bCs/>
          <w:color w:val="0000FF"/>
          <w:kern w:val="0"/>
          <w:sz w:val="24"/>
          <w:szCs w:val="24"/>
          <w:highlight w:val="none"/>
          <w:lang w:val="en-US" w:eastAsia="zh-CN" w:bidi="ar"/>
        </w:rPr>
        <w:t>-</w:t>
      </w:r>
      <w:r>
        <w:rPr>
          <w:rFonts w:hint="eastAsia" w:cs="Times New Roman"/>
          <w:b/>
          <w:bCs/>
          <w:color w:val="0000FF"/>
          <w:kern w:val="0"/>
          <w:sz w:val="24"/>
          <w:szCs w:val="24"/>
          <w:highlight w:val="none"/>
          <w:lang w:val="en-US" w:eastAsia="zh-CN" w:bidi="ar"/>
        </w:rPr>
        <w:t>4</w:t>
      </w:r>
      <w:r>
        <w:rPr>
          <w:rFonts w:hint="default" w:ascii="Times New Roman" w:hAnsi="Times New Roman" w:eastAsia="宋体" w:cs="Times New Roman"/>
          <w:b/>
          <w:bCs/>
          <w:color w:val="0000FF"/>
          <w:kern w:val="0"/>
          <w:sz w:val="24"/>
          <w:szCs w:val="24"/>
          <w:highlight w:val="none"/>
          <w:lang w:val="en-US" w:eastAsia="zh-CN" w:bidi="ar"/>
        </w:rPr>
        <w:t xml:space="preserve"> </w:t>
      </w:r>
      <w:r>
        <w:rPr>
          <w:rFonts w:hint="eastAsia" w:cs="Times New Roman"/>
          <w:b/>
          <w:bCs/>
          <w:color w:val="0000FF"/>
          <w:kern w:val="0"/>
          <w:sz w:val="24"/>
          <w:szCs w:val="24"/>
          <w:highlight w:val="none"/>
          <w:lang w:val="en-US" w:eastAsia="zh-CN" w:bidi="ar"/>
        </w:rPr>
        <w:t xml:space="preserve"> </w:t>
      </w:r>
      <w:r>
        <w:rPr>
          <w:rFonts w:hint="eastAsia" w:ascii="宋体" w:hAnsi="宋体" w:eastAsia="宋体" w:cs="宋体"/>
          <w:b/>
          <w:bCs/>
          <w:color w:val="0000FF"/>
          <w:kern w:val="0"/>
          <w:sz w:val="24"/>
          <w:szCs w:val="24"/>
          <w:highlight w:val="none"/>
          <w:lang w:val="en-US" w:eastAsia="zh-CN" w:bidi="ar"/>
        </w:rPr>
        <w:t>生态系统每年永久变化的生产量表</w:t>
      </w:r>
    </w:p>
    <w:tbl>
      <w:tblPr>
        <w:tblStyle w:val="29"/>
        <w:tblW w:w="8429"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501"/>
        <w:gridCol w:w="850"/>
        <w:gridCol w:w="1200"/>
        <w:gridCol w:w="1133"/>
        <w:gridCol w:w="1384"/>
        <w:gridCol w:w="1145"/>
        <w:gridCol w:w="121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spacing w:line="240" w:lineRule="auto"/>
              <w:rPr>
                <w:rFonts w:hint="default"/>
                <w:color w:val="0000FF"/>
              </w:rPr>
            </w:pPr>
            <w:r>
              <w:rPr>
                <w:rFonts w:hint="default"/>
                <w:color w:val="0000FF"/>
                <w:lang w:val="en-US" w:eastAsia="zh-CN"/>
              </w:rPr>
              <w:t>植被类型</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spacing w:line="240" w:lineRule="auto"/>
              <w:rPr>
                <w:rFonts w:hint="default"/>
                <w:color w:val="0000FF"/>
              </w:rPr>
            </w:pPr>
            <w:r>
              <w:rPr>
                <w:rFonts w:hint="eastAsia"/>
                <w:color w:val="0000FF"/>
                <w:lang w:val="en-US" w:eastAsia="zh-CN"/>
              </w:rPr>
              <w:t>生物量</w:t>
            </w:r>
            <w:r>
              <w:rPr>
                <w:rFonts w:hint="default"/>
                <w:color w:val="0000FF"/>
                <w:lang w:val="en-US" w:eastAsia="zh-CN"/>
              </w:rPr>
              <w:t>t/hm²</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spacing w:line="240" w:lineRule="auto"/>
              <w:rPr>
                <w:rFonts w:hint="default"/>
                <w:color w:val="0000FF"/>
              </w:rPr>
            </w:pPr>
            <w:r>
              <w:rPr>
                <w:rFonts w:hint="eastAsia"/>
                <w:color w:val="0000FF"/>
                <w:lang w:val="en-US" w:eastAsia="zh-CN"/>
              </w:rPr>
              <w:t>评价区</w:t>
            </w:r>
            <w:r>
              <w:rPr>
                <w:rFonts w:hint="default"/>
                <w:color w:val="0000FF"/>
                <w:lang w:val="en-US" w:eastAsia="zh-CN"/>
              </w:rPr>
              <w:t>面积(hm²)</w:t>
            </w:r>
          </w:p>
        </w:tc>
        <w:tc>
          <w:tcPr>
            <w:tcW w:w="11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spacing w:line="240" w:lineRule="auto"/>
              <w:rPr>
                <w:rFonts w:hint="default"/>
                <w:color w:val="0000FF"/>
              </w:rPr>
            </w:pPr>
            <w:r>
              <w:rPr>
                <w:rFonts w:hint="default"/>
                <w:color w:val="0000FF"/>
                <w:lang w:val="en-US" w:eastAsia="zh-CN"/>
              </w:rPr>
              <w:t>总</w:t>
            </w:r>
            <w:r>
              <w:rPr>
                <w:rFonts w:hint="eastAsia"/>
                <w:color w:val="0000FF"/>
                <w:lang w:val="en-US" w:eastAsia="zh-CN"/>
              </w:rPr>
              <w:t>生物量</w:t>
            </w:r>
            <w:r>
              <w:rPr>
                <w:rFonts w:hint="default"/>
                <w:color w:val="0000FF"/>
                <w:lang w:val="en-US" w:eastAsia="zh-CN"/>
              </w:rPr>
              <w:t>(t)</w:t>
            </w:r>
          </w:p>
        </w:tc>
        <w:tc>
          <w:tcPr>
            <w:tcW w:w="13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spacing w:line="240" w:lineRule="auto"/>
              <w:rPr>
                <w:rFonts w:hint="default"/>
                <w:color w:val="0000FF"/>
              </w:rPr>
            </w:pPr>
            <w:r>
              <w:rPr>
                <w:rFonts w:hint="default"/>
                <w:color w:val="0000FF"/>
                <w:lang w:val="en-US" w:eastAsia="zh-CN"/>
              </w:rPr>
              <w:t>占用面积(hm²)</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spacing w:line="240" w:lineRule="auto"/>
              <w:rPr>
                <w:rFonts w:hint="default"/>
                <w:color w:val="0000FF"/>
              </w:rPr>
            </w:pPr>
            <w:r>
              <w:rPr>
                <w:rFonts w:hint="default"/>
                <w:color w:val="0000FF"/>
                <w:lang w:val="en-US" w:eastAsia="zh-CN"/>
              </w:rPr>
              <w:t>损失的</w:t>
            </w:r>
            <w:r>
              <w:rPr>
                <w:rFonts w:hint="eastAsia"/>
                <w:color w:val="0000FF"/>
                <w:lang w:val="en-US" w:eastAsia="zh-CN"/>
              </w:rPr>
              <w:t>生物量</w:t>
            </w:r>
            <w:r>
              <w:rPr>
                <w:rFonts w:hint="default"/>
                <w:color w:val="0000FF"/>
                <w:lang w:val="en-US" w:eastAsia="zh-CN"/>
              </w:rPr>
              <w:t>(t)</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spacing w:line="240" w:lineRule="auto"/>
              <w:rPr>
                <w:rFonts w:hint="default"/>
                <w:color w:val="0000FF"/>
              </w:rPr>
            </w:pPr>
            <w:r>
              <w:rPr>
                <w:rFonts w:hint="default"/>
                <w:color w:val="0000FF"/>
                <w:lang w:val="en-US" w:eastAsia="zh-CN"/>
              </w:rPr>
              <w:t>占总</w:t>
            </w:r>
            <w:r>
              <w:rPr>
                <w:rFonts w:hint="eastAsia"/>
                <w:color w:val="0000FF"/>
                <w:lang w:val="en-US" w:eastAsia="zh-CN"/>
              </w:rPr>
              <w:t>生物量</w:t>
            </w:r>
            <w:r>
              <w:rPr>
                <w:rFonts w:hint="default"/>
                <w:color w:val="0000FF"/>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暖</w:t>
            </w:r>
            <w:r>
              <w:rPr>
                <w:rFonts w:hint="eastAsia"/>
                <w:color w:val="0000FF"/>
                <w:lang w:val="en-US" w:eastAsia="zh-CN"/>
              </w:rPr>
              <w:t>温</w:t>
            </w:r>
            <w:r>
              <w:rPr>
                <w:rFonts w:hint="default"/>
                <w:color w:val="0000FF"/>
                <w:lang w:val="en-US" w:eastAsia="zh-CN"/>
              </w:rPr>
              <w:t>性针叶林</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250</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138.22</w:t>
            </w:r>
          </w:p>
        </w:tc>
        <w:tc>
          <w:tcPr>
            <w:tcW w:w="11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34555</w:t>
            </w:r>
          </w:p>
        </w:tc>
        <w:tc>
          <w:tcPr>
            <w:tcW w:w="13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0.00</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0</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干热性灌丛</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270</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1190.43</w:t>
            </w:r>
          </w:p>
        </w:tc>
        <w:tc>
          <w:tcPr>
            <w:tcW w:w="11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321416.1</w:t>
            </w:r>
          </w:p>
        </w:tc>
        <w:tc>
          <w:tcPr>
            <w:tcW w:w="13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15.87</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4285.8</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干热性稀树灌木草丛</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130</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809.82</w:t>
            </w:r>
          </w:p>
        </w:tc>
        <w:tc>
          <w:tcPr>
            <w:tcW w:w="11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105276.6</w:t>
            </w:r>
          </w:p>
        </w:tc>
        <w:tc>
          <w:tcPr>
            <w:tcW w:w="13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8.69</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1129.26</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小计</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2138.47</w:t>
            </w:r>
          </w:p>
        </w:tc>
        <w:tc>
          <w:tcPr>
            <w:tcW w:w="11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461247.70</w:t>
            </w:r>
          </w:p>
        </w:tc>
        <w:tc>
          <w:tcPr>
            <w:tcW w:w="13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24.56</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5415.07</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人工林植被</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200</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556.32</w:t>
            </w:r>
          </w:p>
        </w:tc>
        <w:tc>
          <w:tcPr>
            <w:tcW w:w="11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111264</w:t>
            </w:r>
          </w:p>
        </w:tc>
        <w:tc>
          <w:tcPr>
            <w:tcW w:w="13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2.74</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548.4</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0.49%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园地植被</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45</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293.76</w:t>
            </w:r>
          </w:p>
        </w:tc>
        <w:tc>
          <w:tcPr>
            <w:tcW w:w="11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13219.2</w:t>
            </w:r>
          </w:p>
        </w:tc>
        <w:tc>
          <w:tcPr>
            <w:tcW w:w="13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5.90</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265.5</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耕地植被</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30</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1135.8</w:t>
            </w:r>
          </w:p>
        </w:tc>
        <w:tc>
          <w:tcPr>
            <w:tcW w:w="11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34074</w:t>
            </w:r>
          </w:p>
        </w:tc>
        <w:tc>
          <w:tcPr>
            <w:tcW w:w="13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18.72</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561.5</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小计</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1985.88</w:t>
            </w:r>
          </w:p>
        </w:tc>
        <w:tc>
          <w:tcPr>
            <w:tcW w:w="11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158557.20</w:t>
            </w:r>
          </w:p>
        </w:tc>
        <w:tc>
          <w:tcPr>
            <w:tcW w:w="13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27.36</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1375.40</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0.87%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其他</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185.17</w:t>
            </w:r>
          </w:p>
        </w:tc>
        <w:tc>
          <w:tcPr>
            <w:tcW w:w="11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0</w:t>
            </w:r>
          </w:p>
        </w:tc>
        <w:tc>
          <w:tcPr>
            <w:tcW w:w="13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2.47</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0</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50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合计</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w:t>
            </w:r>
          </w:p>
        </w:tc>
        <w:tc>
          <w:tcPr>
            <w:tcW w:w="1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4309.52</w:t>
            </w:r>
          </w:p>
        </w:tc>
        <w:tc>
          <w:tcPr>
            <w:tcW w:w="11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619804.90</w:t>
            </w:r>
          </w:p>
        </w:tc>
        <w:tc>
          <w:tcPr>
            <w:tcW w:w="13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54.39</w:t>
            </w:r>
          </w:p>
        </w:tc>
        <w:tc>
          <w:tcPr>
            <w:tcW w:w="11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6790.47</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1.10%</w:t>
            </w:r>
          </w:p>
        </w:tc>
      </w:tr>
    </w:tbl>
    <w:p>
      <w:pPr>
        <w:pStyle w:val="28"/>
        <w:ind w:left="0" w:leftChars="0" w:firstLine="0" w:firstLineChars="0"/>
        <w:rPr>
          <w:rFonts w:hint="default"/>
          <w:color w:val="auto"/>
          <w:highlight w:val="none"/>
          <w:lang w:val="en-US" w:eastAsia="zh-CN"/>
        </w:rPr>
      </w:pPr>
    </w:p>
    <w:p>
      <w:pPr>
        <w:bidi w:val="0"/>
        <w:ind w:firstLine="482" w:firstLineChars="200"/>
        <w:rPr>
          <w:rFonts w:hint="default"/>
          <w:b/>
          <w:bCs/>
          <w:color w:val="0000FF"/>
          <w:highlight w:val="none"/>
          <w:lang w:val="en-US" w:eastAsia="zh-CN"/>
        </w:rPr>
      </w:pPr>
      <w:r>
        <w:rPr>
          <w:rFonts w:hint="eastAsia"/>
          <w:b/>
          <w:bCs/>
          <w:color w:val="0000FF"/>
          <w:highlight w:val="none"/>
          <w:lang w:val="en-US" w:eastAsia="zh-CN"/>
        </w:rPr>
        <w:t>2</w:t>
      </w:r>
      <w:r>
        <w:rPr>
          <w:rFonts w:hint="default"/>
          <w:b/>
          <w:bCs/>
          <w:color w:val="0000FF"/>
          <w:highlight w:val="none"/>
          <w:lang w:val="en-US" w:eastAsia="zh-CN"/>
        </w:rPr>
        <w:t>、对生态系统生产力的影响</w:t>
      </w:r>
    </w:p>
    <w:p>
      <w:pPr>
        <w:bidi w:val="0"/>
        <w:ind w:firstLine="480" w:firstLineChars="200"/>
        <w:rPr>
          <w:rFonts w:hint="default"/>
          <w:color w:val="0000FF"/>
          <w:highlight w:val="none"/>
          <w:lang w:val="en-US" w:eastAsia="zh-CN"/>
        </w:rPr>
      </w:pPr>
      <w:r>
        <w:rPr>
          <w:rFonts w:hint="default"/>
          <w:color w:val="0000FF"/>
          <w:highlight w:val="none"/>
          <w:lang w:val="en-US" w:eastAsia="zh-CN"/>
        </w:rPr>
        <w:t>评价区面积4309.52hm²，其生态系统总的生产力约为</w:t>
      </w:r>
      <w:r>
        <w:rPr>
          <w:rFonts w:hint="eastAsia"/>
          <w:color w:val="0000FF"/>
          <w:highlight w:val="none"/>
          <w:lang w:val="en-US" w:eastAsia="zh-CN"/>
        </w:rPr>
        <w:t>26492.69</w:t>
      </w:r>
      <w:r>
        <w:rPr>
          <w:rFonts w:hint="default"/>
          <w:color w:val="0000FF"/>
          <w:highlight w:val="none"/>
          <w:lang w:val="en-US" w:eastAsia="zh-CN"/>
        </w:rPr>
        <w:t>t/a（干重）。由于拟建项目占用植被，将减少评价区生态系统的生产力，但项目建设将增加水域面积对当地生态系统的物质循环和能量流动产生一定积极的影响；由此使评价区生态系统生物生产力减少约</w:t>
      </w:r>
      <w:r>
        <w:rPr>
          <w:rFonts w:hint="eastAsia"/>
          <w:color w:val="0000FF"/>
          <w:highlight w:val="none"/>
          <w:lang w:val="en-US" w:eastAsia="zh-CN"/>
        </w:rPr>
        <w:t>304.12</w:t>
      </w:r>
      <w:r>
        <w:rPr>
          <w:rFonts w:hint="default"/>
          <w:color w:val="0000FF"/>
          <w:highlight w:val="none"/>
          <w:lang w:val="en-US" w:eastAsia="zh-CN"/>
        </w:rPr>
        <w:t>t/a（干重），评价区生态系统植被生产力的变化率为</w:t>
      </w:r>
      <w:r>
        <w:rPr>
          <w:rFonts w:hint="eastAsia"/>
          <w:color w:val="0000FF"/>
          <w:highlight w:val="none"/>
          <w:lang w:val="en-US" w:eastAsia="zh-CN"/>
        </w:rPr>
        <w:t>1.15</w:t>
      </w:r>
      <w:r>
        <w:rPr>
          <w:rFonts w:hint="default"/>
          <w:color w:val="0000FF"/>
          <w:highlight w:val="none"/>
          <w:lang w:val="en-US" w:eastAsia="zh-CN"/>
        </w:rPr>
        <w:t>%。</w:t>
      </w:r>
    </w:p>
    <w:p>
      <w:pPr>
        <w:keepNext w:val="0"/>
        <w:keepLines w:val="0"/>
        <w:widowControl/>
        <w:suppressLineNumbers w:val="0"/>
        <w:spacing w:line="240" w:lineRule="auto"/>
        <w:jc w:val="center"/>
        <w:rPr>
          <w:color w:val="0000FF"/>
          <w:sz w:val="24"/>
          <w:szCs w:val="24"/>
          <w:highlight w:val="none"/>
        </w:rPr>
      </w:pPr>
      <w:r>
        <w:rPr>
          <w:rFonts w:hint="eastAsia" w:ascii="宋体" w:hAnsi="宋体" w:eastAsia="宋体" w:cs="宋体"/>
          <w:b/>
          <w:bCs/>
          <w:color w:val="0000FF"/>
          <w:kern w:val="0"/>
          <w:sz w:val="24"/>
          <w:szCs w:val="24"/>
          <w:highlight w:val="none"/>
          <w:lang w:val="en-US" w:eastAsia="zh-CN" w:bidi="ar"/>
        </w:rPr>
        <w:t>表</w:t>
      </w:r>
      <w:r>
        <w:rPr>
          <w:rFonts w:hint="default" w:ascii="Times New Roman" w:hAnsi="Times New Roman" w:eastAsia="宋体" w:cs="Times New Roman"/>
          <w:b/>
          <w:bCs/>
          <w:color w:val="0000FF"/>
          <w:kern w:val="0"/>
          <w:sz w:val="24"/>
          <w:szCs w:val="24"/>
          <w:highlight w:val="none"/>
          <w:lang w:val="en-US" w:eastAsia="zh-CN" w:bidi="ar"/>
        </w:rPr>
        <w:t>5.1</w:t>
      </w:r>
      <w:r>
        <w:rPr>
          <w:rFonts w:hint="eastAsia" w:ascii="Times New Roman" w:hAnsi="Times New Roman" w:eastAsia="宋体" w:cs="Times New Roman"/>
          <w:b/>
          <w:bCs/>
          <w:color w:val="0000FF"/>
          <w:kern w:val="0"/>
          <w:sz w:val="24"/>
          <w:szCs w:val="24"/>
          <w:highlight w:val="none"/>
          <w:lang w:val="en-US" w:eastAsia="zh-CN" w:bidi="ar"/>
        </w:rPr>
        <w:t>.7</w:t>
      </w:r>
      <w:r>
        <w:rPr>
          <w:rFonts w:hint="default" w:ascii="Times New Roman" w:hAnsi="Times New Roman" w:eastAsia="宋体" w:cs="Times New Roman"/>
          <w:b/>
          <w:bCs/>
          <w:color w:val="0000FF"/>
          <w:kern w:val="0"/>
          <w:sz w:val="24"/>
          <w:szCs w:val="24"/>
          <w:highlight w:val="none"/>
          <w:lang w:val="en-US" w:eastAsia="zh-CN" w:bidi="ar"/>
        </w:rPr>
        <w:t>-</w:t>
      </w:r>
      <w:r>
        <w:rPr>
          <w:rFonts w:hint="eastAsia" w:cs="Times New Roman"/>
          <w:b/>
          <w:bCs/>
          <w:color w:val="0000FF"/>
          <w:kern w:val="0"/>
          <w:sz w:val="24"/>
          <w:szCs w:val="24"/>
          <w:highlight w:val="none"/>
          <w:lang w:val="en-US" w:eastAsia="zh-CN" w:bidi="ar"/>
        </w:rPr>
        <w:t xml:space="preserve">5 </w:t>
      </w:r>
      <w:r>
        <w:rPr>
          <w:rFonts w:hint="default" w:ascii="Times New Roman" w:hAnsi="Times New Roman" w:eastAsia="宋体" w:cs="Times New Roman"/>
          <w:b/>
          <w:bCs/>
          <w:color w:val="0000FF"/>
          <w:kern w:val="0"/>
          <w:sz w:val="24"/>
          <w:szCs w:val="24"/>
          <w:highlight w:val="none"/>
          <w:lang w:val="en-US" w:eastAsia="zh-CN" w:bidi="ar"/>
        </w:rPr>
        <w:t xml:space="preserve"> </w:t>
      </w:r>
      <w:r>
        <w:rPr>
          <w:rFonts w:hint="eastAsia" w:ascii="宋体" w:hAnsi="宋体" w:eastAsia="宋体" w:cs="宋体"/>
          <w:b/>
          <w:bCs/>
          <w:color w:val="0000FF"/>
          <w:kern w:val="0"/>
          <w:sz w:val="24"/>
          <w:szCs w:val="24"/>
          <w:highlight w:val="none"/>
          <w:lang w:val="en-US" w:eastAsia="zh-CN" w:bidi="ar"/>
        </w:rPr>
        <w:t>生态系统每年永久变化的生产量表</w:t>
      </w:r>
    </w:p>
    <w:tbl>
      <w:tblPr>
        <w:tblStyle w:val="29"/>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634"/>
        <w:gridCol w:w="1327"/>
        <w:gridCol w:w="1047"/>
        <w:gridCol w:w="1109"/>
        <w:gridCol w:w="846"/>
        <w:gridCol w:w="1424"/>
        <w:gridCol w:w="113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spacing w:line="240" w:lineRule="auto"/>
              <w:rPr>
                <w:rFonts w:hint="default"/>
                <w:color w:val="0000FF"/>
              </w:rPr>
            </w:pPr>
            <w:r>
              <w:rPr>
                <w:rFonts w:hint="default"/>
                <w:color w:val="0000FF"/>
                <w:lang w:val="en-US" w:eastAsia="zh-CN"/>
              </w:rPr>
              <w:t>植被类型</w:t>
            </w:r>
          </w:p>
        </w:tc>
        <w:tc>
          <w:tcPr>
            <w:tcW w:w="7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spacing w:line="240" w:lineRule="auto"/>
              <w:rPr>
                <w:rFonts w:hint="default"/>
                <w:color w:val="0000FF"/>
              </w:rPr>
            </w:pPr>
            <w:r>
              <w:rPr>
                <w:rFonts w:hint="default"/>
                <w:color w:val="0000FF"/>
                <w:lang w:val="en-US" w:eastAsia="zh-CN"/>
              </w:rPr>
              <w:t>平均生产力t/hm².a</w:t>
            </w:r>
          </w:p>
        </w:tc>
        <w:tc>
          <w:tcPr>
            <w:tcW w:w="6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spacing w:line="240" w:lineRule="auto"/>
              <w:rPr>
                <w:rFonts w:hint="default"/>
                <w:color w:val="0000FF"/>
              </w:rPr>
            </w:pPr>
            <w:r>
              <w:rPr>
                <w:rFonts w:hint="default"/>
                <w:color w:val="0000FF"/>
                <w:lang w:val="en-US" w:eastAsia="zh-CN"/>
              </w:rPr>
              <w:t>面积(hm²)</w:t>
            </w:r>
          </w:p>
        </w:tc>
        <w:tc>
          <w:tcPr>
            <w:tcW w:w="6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spacing w:line="240" w:lineRule="auto"/>
              <w:rPr>
                <w:rFonts w:hint="default"/>
                <w:color w:val="0000FF"/>
              </w:rPr>
            </w:pPr>
            <w:r>
              <w:rPr>
                <w:rFonts w:hint="default"/>
                <w:color w:val="0000FF"/>
                <w:lang w:val="en-US" w:eastAsia="zh-CN"/>
              </w:rPr>
              <w:t>总生产力(t/a)</w:t>
            </w:r>
          </w:p>
        </w:tc>
        <w:tc>
          <w:tcPr>
            <w:tcW w:w="4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spacing w:line="240" w:lineRule="auto"/>
              <w:rPr>
                <w:rFonts w:hint="default"/>
                <w:color w:val="0000FF"/>
              </w:rPr>
            </w:pPr>
            <w:r>
              <w:rPr>
                <w:rFonts w:hint="default"/>
                <w:color w:val="0000FF"/>
                <w:lang w:val="en-US" w:eastAsia="zh-CN"/>
              </w:rPr>
              <w:t>占用面积</w:t>
            </w:r>
          </w:p>
        </w:tc>
        <w:tc>
          <w:tcPr>
            <w:tcW w:w="8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spacing w:line="240" w:lineRule="auto"/>
              <w:rPr>
                <w:rFonts w:hint="default"/>
                <w:color w:val="0000FF"/>
              </w:rPr>
            </w:pPr>
            <w:r>
              <w:rPr>
                <w:rFonts w:hint="default"/>
                <w:color w:val="0000FF"/>
                <w:lang w:val="en-US" w:eastAsia="zh-CN"/>
              </w:rPr>
              <w:t>损失的生产力(t/a)</w:t>
            </w:r>
          </w:p>
        </w:tc>
        <w:tc>
          <w:tcPr>
            <w:tcW w:w="6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spacing w:line="240" w:lineRule="auto"/>
              <w:rPr>
                <w:rFonts w:hint="default"/>
                <w:color w:val="0000FF"/>
              </w:rPr>
            </w:pPr>
            <w:r>
              <w:rPr>
                <w:rFonts w:hint="default"/>
                <w:color w:val="0000FF"/>
                <w:lang w:val="en-US" w:eastAsia="zh-CN"/>
              </w:rPr>
              <w:t>占总生产力%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暖</w:t>
            </w:r>
            <w:r>
              <w:rPr>
                <w:rFonts w:hint="eastAsia"/>
                <w:color w:val="0000FF"/>
                <w:lang w:val="en-US" w:eastAsia="zh-CN"/>
              </w:rPr>
              <w:t>温</w:t>
            </w:r>
            <w:r>
              <w:rPr>
                <w:rFonts w:hint="default"/>
                <w:color w:val="0000FF"/>
                <w:lang w:val="en-US" w:eastAsia="zh-CN"/>
              </w:rPr>
              <w:t>性针叶林</w:t>
            </w:r>
          </w:p>
        </w:tc>
        <w:tc>
          <w:tcPr>
            <w:tcW w:w="13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11</w:t>
            </w:r>
          </w:p>
        </w:tc>
        <w:tc>
          <w:tcPr>
            <w:tcW w:w="6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138.22</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1520.42 </w:t>
            </w:r>
          </w:p>
        </w:tc>
        <w:tc>
          <w:tcPr>
            <w:tcW w:w="4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0.00</w:t>
            </w:r>
          </w:p>
        </w:tc>
        <w:tc>
          <w:tcPr>
            <w:tcW w:w="14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11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灌丛</w:t>
            </w:r>
          </w:p>
        </w:tc>
        <w:tc>
          <w:tcPr>
            <w:tcW w:w="13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5</w:t>
            </w:r>
          </w:p>
        </w:tc>
        <w:tc>
          <w:tcPr>
            <w:tcW w:w="6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1190.43</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5952.15 </w:t>
            </w:r>
          </w:p>
        </w:tc>
        <w:tc>
          <w:tcPr>
            <w:tcW w:w="4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15.87</w:t>
            </w:r>
          </w:p>
        </w:tc>
        <w:tc>
          <w:tcPr>
            <w:tcW w:w="14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79.37 </w:t>
            </w:r>
          </w:p>
        </w:tc>
        <w:tc>
          <w:tcPr>
            <w:tcW w:w="11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1.33%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jc w:val="both"/>
              <w:rPr>
                <w:rFonts w:hint="default"/>
                <w:color w:val="0000FF"/>
              </w:rPr>
            </w:pPr>
            <w:r>
              <w:rPr>
                <w:rFonts w:hint="default"/>
                <w:color w:val="0000FF"/>
                <w:lang w:val="en-US" w:eastAsia="zh-CN"/>
              </w:rPr>
              <w:t>稀树灌木草丛</w:t>
            </w:r>
          </w:p>
        </w:tc>
        <w:tc>
          <w:tcPr>
            <w:tcW w:w="13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5</w:t>
            </w:r>
          </w:p>
        </w:tc>
        <w:tc>
          <w:tcPr>
            <w:tcW w:w="6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809.82</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4049.10 </w:t>
            </w:r>
          </w:p>
        </w:tc>
        <w:tc>
          <w:tcPr>
            <w:tcW w:w="4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8.69</w:t>
            </w:r>
          </w:p>
        </w:tc>
        <w:tc>
          <w:tcPr>
            <w:tcW w:w="14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43.43 </w:t>
            </w:r>
          </w:p>
        </w:tc>
        <w:tc>
          <w:tcPr>
            <w:tcW w:w="11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1.07%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小计</w:t>
            </w:r>
          </w:p>
        </w:tc>
        <w:tc>
          <w:tcPr>
            <w:tcW w:w="13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w:t>
            </w:r>
          </w:p>
        </w:tc>
        <w:tc>
          <w:tcPr>
            <w:tcW w:w="6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2138.47</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11521.67 </w:t>
            </w:r>
          </w:p>
        </w:tc>
        <w:tc>
          <w:tcPr>
            <w:tcW w:w="4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24.56</w:t>
            </w:r>
          </w:p>
        </w:tc>
        <w:tc>
          <w:tcPr>
            <w:tcW w:w="14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122.80 </w:t>
            </w:r>
          </w:p>
        </w:tc>
        <w:tc>
          <w:tcPr>
            <w:tcW w:w="11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1.07%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人工林植被</w:t>
            </w:r>
          </w:p>
        </w:tc>
        <w:tc>
          <w:tcPr>
            <w:tcW w:w="13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11</w:t>
            </w:r>
          </w:p>
        </w:tc>
        <w:tc>
          <w:tcPr>
            <w:tcW w:w="6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556.32</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6119.52 </w:t>
            </w:r>
          </w:p>
        </w:tc>
        <w:tc>
          <w:tcPr>
            <w:tcW w:w="4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2.74</w:t>
            </w:r>
          </w:p>
        </w:tc>
        <w:tc>
          <w:tcPr>
            <w:tcW w:w="14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30.16 </w:t>
            </w:r>
          </w:p>
        </w:tc>
        <w:tc>
          <w:tcPr>
            <w:tcW w:w="11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0.49%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园地植被</w:t>
            </w:r>
          </w:p>
        </w:tc>
        <w:tc>
          <w:tcPr>
            <w:tcW w:w="13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5</w:t>
            </w:r>
          </w:p>
        </w:tc>
        <w:tc>
          <w:tcPr>
            <w:tcW w:w="6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293.76</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1468.80 </w:t>
            </w:r>
          </w:p>
        </w:tc>
        <w:tc>
          <w:tcPr>
            <w:tcW w:w="4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5.90</w:t>
            </w:r>
          </w:p>
        </w:tc>
        <w:tc>
          <w:tcPr>
            <w:tcW w:w="14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29.5</w:t>
            </w:r>
          </w:p>
        </w:tc>
        <w:tc>
          <w:tcPr>
            <w:tcW w:w="11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2.01%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耕地植被</w:t>
            </w:r>
          </w:p>
        </w:tc>
        <w:tc>
          <w:tcPr>
            <w:tcW w:w="13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6.5</w:t>
            </w:r>
          </w:p>
        </w:tc>
        <w:tc>
          <w:tcPr>
            <w:tcW w:w="6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1135.80</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7382.70 </w:t>
            </w:r>
          </w:p>
        </w:tc>
        <w:tc>
          <w:tcPr>
            <w:tcW w:w="4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18.72</w:t>
            </w:r>
          </w:p>
        </w:tc>
        <w:tc>
          <w:tcPr>
            <w:tcW w:w="14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121.66 </w:t>
            </w:r>
          </w:p>
        </w:tc>
        <w:tc>
          <w:tcPr>
            <w:tcW w:w="11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1.65%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9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小计</w:t>
            </w:r>
          </w:p>
        </w:tc>
        <w:tc>
          <w:tcPr>
            <w:tcW w:w="13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w:t>
            </w:r>
          </w:p>
        </w:tc>
        <w:tc>
          <w:tcPr>
            <w:tcW w:w="6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1985.88</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14971.02 </w:t>
            </w:r>
          </w:p>
        </w:tc>
        <w:tc>
          <w:tcPr>
            <w:tcW w:w="4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27.36</w:t>
            </w:r>
          </w:p>
        </w:tc>
        <w:tc>
          <w:tcPr>
            <w:tcW w:w="14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181.32 </w:t>
            </w:r>
          </w:p>
        </w:tc>
        <w:tc>
          <w:tcPr>
            <w:tcW w:w="11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1.21%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其他</w:t>
            </w:r>
          </w:p>
        </w:tc>
        <w:tc>
          <w:tcPr>
            <w:tcW w:w="13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w:t>
            </w:r>
          </w:p>
        </w:tc>
        <w:tc>
          <w:tcPr>
            <w:tcW w:w="6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185.17</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w:t>
            </w:r>
          </w:p>
        </w:tc>
        <w:tc>
          <w:tcPr>
            <w:tcW w:w="4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2.47</w:t>
            </w:r>
          </w:p>
        </w:tc>
        <w:tc>
          <w:tcPr>
            <w:tcW w:w="14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11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9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合计</w:t>
            </w:r>
          </w:p>
        </w:tc>
        <w:tc>
          <w:tcPr>
            <w:tcW w:w="13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6.15 </w:t>
            </w:r>
          </w:p>
        </w:tc>
        <w:tc>
          <w:tcPr>
            <w:tcW w:w="61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4309.52</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26492.69 </w:t>
            </w:r>
          </w:p>
        </w:tc>
        <w:tc>
          <w:tcPr>
            <w:tcW w:w="49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pStyle w:val="42"/>
              <w:bidi w:val="0"/>
              <w:rPr>
                <w:rFonts w:hint="default"/>
                <w:color w:val="0000FF"/>
              </w:rPr>
            </w:pPr>
            <w:r>
              <w:rPr>
                <w:rFonts w:hint="default"/>
                <w:color w:val="0000FF"/>
                <w:lang w:val="en-US" w:eastAsia="zh-CN"/>
              </w:rPr>
              <w:t>54.39</w:t>
            </w:r>
          </w:p>
        </w:tc>
        <w:tc>
          <w:tcPr>
            <w:tcW w:w="14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304.12 </w:t>
            </w:r>
          </w:p>
        </w:tc>
        <w:tc>
          <w:tcPr>
            <w:tcW w:w="11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1.15%</w:t>
            </w:r>
          </w:p>
        </w:tc>
      </w:tr>
    </w:tbl>
    <w:p>
      <w:pPr>
        <w:pStyle w:val="28"/>
        <w:rPr>
          <w:rFonts w:hint="default"/>
          <w:color w:val="0000FF"/>
          <w:highlight w:val="none"/>
          <w:lang w:val="en-US" w:eastAsia="zh-CN"/>
        </w:rPr>
      </w:pPr>
    </w:p>
    <w:p>
      <w:pPr>
        <w:bidi w:val="0"/>
        <w:ind w:firstLine="480" w:firstLineChars="200"/>
        <w:rPr>
          <w:rFonts w:hint="default"/>
          <w:color w:val="auto"/>
          <w:sz w:val="24"/>
          <w:szCs w:val="24"/>
          <w:highlight w:val="none"/>
          <w:lang w:val="en-US"/>
        </w:rPr>
      </w:pPr>
      <w:r>
        <w:rPr>
          <w:rFonts w:hint="default"/>
          <w:color w:val="0000FF"/>
          <w:highlight w:val="none"/>
          <w:lang w:val="en-US" w:eastAsia="zh-CN"/>
        </w:rPr>
        <w:t>恢复稳定性与高亚稳定元素（如植被）的数量和生产能力较为密切。工程建成后，各种土地类型发生变化，林地、草地、耕地等面积减少，水域面积增加，这将使评价区生态系统生物量减少。工程建设后，将造成评价区植被生物量减少约6790.47t，植被生产力减少</w:t>
      </w:r>
      <w:r>
        <w:rPr>
          <w:rFonts w:hint="eastAsia"/>
          <w:color w:val="0000FF"/>
          <w:highlight w:val="none"/>
          <w:lang w:val="en-US" w:eastAsia="zh-CN"/>
        </w:rPr>
        <w:t>304.12</w:t>
      </w:r>
      <w:r>
        <w:rPr>
          <w:rFonts w:hint="default"/>
          <w:color w:val="0000FF"/>
          <w:highlight w:val="none"/>
          <w:lang w:val="en-US" w:eastAsia="zh-CN"/>
        </w:rPr>
        <w:t>t/a。因此，工程引起的干扰是可以承受的，生态系统的完整性和稳定性没有发生大的改变。</w:t>
      </w:r>
    </w:p>
    <w:bookmarkEnd w:id="550"/>
    <w:bookmarkEnd w:id="551"/>
    <w:bookmarkEnd w:id="552"/>
    <w:bookmarkEnd w:id="553"/>
    <w:bookmarkEnd w:id="554"/>
    <w:bookmarkEnd w:id="595"/>
    <w:p>
      <w:pPr>
        <w:pStyle w:val="3"/>
        <w:numPr>
          <w:ilvl w:val="1"/>
          <w:numId w:val="2"/>
        </w:numPr>
        <w:tabs>
          <w:tab w:val="left" w:pos="420"/>
        </w:tabs>
        <w:bidi w:val="0"/>
        <w:rPr>
          <w:rFonts w:hint="eastAsia"/>
          <w:color w:val="auto"/>
          <w:lang w:eastAsia="zh-CN"/>
        </w:rPr>
      </w:pPr>
      <w:bookmarkStart w:id="596" w:name="_Toc25701"/>
      <w:bookmarkStart w:id="597" w:name="_Toc8774"/>
      <w:bookmarkStart w:id="598" w:name="_Toc6352"/>
      <w:bookmarkStart w:id="599" w:name="_Toc10102"/>
      <w:r>
        <w:rPr>
          <w:rFonts w:hint="eastAsia"/>
          <w:color w:val="auto"/>
          <w:lang w:val="en-US" w:eastAsia="zh-CN"/>
        </w:rPr>
        <w:t>运营</w:t>
      </w:r>
      <w:r>
        <w:rPr>
          <w:rFonts w:hint="default"/>
          <w:color w:val="auto"/>
        </w:rPr>
        <w:t>期环境影响</w:t>
      </w:r>
      <w:r>
        <w:rPr>
          <w:rFonts w:hint="eastAsia"/>
          <w:color w:val="auto"/>
          <w:lang w:eastAsia="zh-CN"/>
        </w:rPr>
        <w:t>评价</w:t>
      </w:r>
      <w:bookmarkEnd w:id="596"/>
      <w:bookmarkEnd w:id="597"/>
      <w:bookmarkEnd w:id="598"/>
      <w:bookmarkEnd w:id="599"/>
    </w:p>
    <w:p>
      <w:pPr>
        <w:pStyle w:val="4"/>
        <w:numPr>
          <w:ilvl w:val="2"/>
          <w:numId w:val="2"/>
        </w:numPr>
        <w:tabs>
          <w:tab w:val="left" w:pos="420"/>
        </w:tabs>
        <w:bidi w:val="0"/>
        <w:rPr>
          <w:rFonts w:hint="eastAsia"/>
          <w:color w:val="auto"/>
          <w:lang w:val="en-US" w:eastAsia="zh-CN"/>
        </w:rPr>
      </w:pPr>
      <w:bookmarkStart w:id="600" w:name="_Toc5960"/>
      <w:bookmarkStart w:id="601" w:name="_Toc12071"/>
      <w:bookmarkStart w:id="602" w:name="_Toc19265"/>
      <w:r>
        <w:rPr>
          <w:rFonts w:hint="eastAsia"/>
          <w:color w:val="auto"/>
          <w:lang w:val="en-US" w:eastAsia="zh-CN"/>
        </w:rPr>
        <w:t>大气环境影响分析</w:t>
      </w:r>
      <w:bookmarkEnd w:id="600"/>
      <w:bookmarkEnd w:id="601"/>
      <w:bookmarkEnd w:id="602"/>
    </w:p>
    <w:p>
      <w:pPr>
        <w:bidi w:val="0"/>
        <w:ind w:firstLine="480" w:firstLineChars="200"/>
        <w:rPr>
          <w:color w:val="0000FF"/>
          <w:highlight w:val="none"/>
        </w:rPr>
      </w:pPr>
      <w:r>
        <w:rPr>
          <w:rFonts w:hint="eastAsia"/>
          <w:color w:val="0000FF"/>
          <w:lang w:val="en-US" w:eastAsia="zh-CN"/>
        </w:rPr>
        <w:t>管理所</w:t>
      </w:r>
      <w:r>
        <w:rPr>
          <w:rFonts w:hint="default"/>
          <w:color w:val="0000FF"/>
          <w:lang w:eastAsia="zh-CN"/>
        </w:rPr>
        <w:t>油烟产生速率为</w:t>
      </w:r>
      <w:r>
        <w:rPr>
          <w:rFonts w:hint="eastAsia"/>
          <w:color w:val="0000FF"/>
          <w:lang w:val="en-US" w:eastAsia="zh-CN"/>
        </w:rPr>
        <w:t>0.0011</w:t>
      </w:r>
      <w:r>
        <w:rPr>
          <w:rFonts w:hint="default"/>
          <w:color w:val="0000FF"/>
          <w:lang w:eastAsia="zh-CN"/>
        </w:rPr>
        <w:t>kg/h，产生浓度为</w:t>
      </w:r>
      <w:r>
        <w:rPr>
          <w:rFonts w:hint="eastAsia"/>
          <w:color w:val="0000FF"/>
          <w:lang w:val="en-US" w:eastAsia="zh-CN"/>
        </w:rPr>
        <w:t>0.275</w:t>
      </w:r>
      <w:r>
        <w:rPr>
          <w:rFonts w:hint="default"/>
          <w:color w:val="0000FF"/>
          <w:lang w:eastAsia="zh-CN"/>
        </w:rPr>
        <w:t>mg/m</w:t>
      </w:r>
      <w:r>
        <w:rPr>
          <w:rFonts w:hint="default"/>
          <w:color w:val="0000FF"/>
          <w:vertAlign w:val="superscript"/>
          <w:lang w:eastAsia="zh-CN"/>
        </w:rPr>
        <w:t>3</w:t>
      </w:r>
      <w:r>
        <w:rPr>
          <w:rFonts w:hint="default"/>
          <w:color w:val="0000FF"/>
          <w:lang w:eastAsia="zh-CN"/>
        </w:rPr>
        <w:t>（风量为</w:t>
      </w:r>
      <w:r>
        <w:rPr>
          <w:rFonts w:hint="eastAsia"/>
          <w:color w:val="0000FF"/>
          <w:lang w:val="en-US" w:eastAsia="zh-CN"/>
        </w:rPr>
        <w:t>4</w:t>
      </w:r>
      <w:r>
        <w:rPr>
          <w:rFonts w:hint="default"/>
          <w:color w:val="0000FF"/>
          <w:lang w:eastAsia="zh-CN"/>
        </w:rPr>
        <w:t>000m</w:t>
      </w:r>
      <w:r>
        <w:rPr>
          <w:rFonts w:hint="default"/>
          <w:color w:val="0000FF"/>
          <w:vertAlign w:val="superscript"/>
          <w:lang w:eastAsia="zh-CN"/>
        </w:rPr>
        <w:t>3</w:t>
      </w:r>
      <w:r>
        <w:rPr>
          <w:rFonts w:hint="default"/>
          <w:color w:val="0000FF"/>
          <w:lang w:eastAsia="zh-CN"/>
        </w:rPr>
        <w:t>/h）。本项目运营期食堂拟采用抽油烟机处理，处理效率为40%，油烟排放量约为0.000</w:t>
      </w:r>
      <w:r>
        <w:rPr>
          <w:rFonts w:hint="eastAsia"/>
          <w:color w:val="0000FF"/>
          <w:lang w:val="en-US" w:eastAsia="zh-CN"/>
        </w:rPr>
        <w:t>7</w:t>
      </w:r>
      <w:r>
        <w:rPr>
          <w:rFonts w:hint="default"/>
          <w:color w:val="0000FF"/>
          <w:lang w:eastAsia="zh-CN"/>
        </w:rPr>
        <w:t>kg/h，食堂油烟排放浓度约为0.</w:t>
      </w:r>
      <w:r>
        <w:rPr>
          <w:rFonts w:hint="eastAsia"/>
          <w:color w:val="0000FF"/>
          <w:lang w:val="en-US" w:eastAsia="zh-CN"/>
        </w:rPr>
        <w:t>165</w:t>
      </w:r>
      <w:r>
        <w:rPr>
          <w:rFonts w:hint="default"/>
          <w:color w:val="0000FF"/>
          <w:lang w:eastAsia="zh-CN"/>
        </w:rPr>
        <w:t>mg/m</w:t>
      </w:r>
      <w:r>
        <w:rPr>
          <w:rFonts w:hint="default"/>
          <w:color w:val="0000FF"/>
          <w:vertAlign w:val="superscript"/>
          <w:lang w:eastAsia="zh-CN"/>
        </w:rPr>
        <w:t>3</w:t>
      </w:r>
      <w:r>
        <w:rPr>
          <w:rFonts w:hint="default"/>
          <w:color w:val="0000FF"/>
          <w:lang w:eastAsia="zh-CN"/>
        </w:rPr>
        <w:t>。</w:t>
      </w:r>
    </w:p>
    <w:p>
      <w:pPr>
        <w:pStyle w:val="4"/>
        <w:numPr>
          <w:ilvl w:val="2"/>
          <w:numId w:val="2"/>
        </w:numPr>
        <w:tabs>
          <w:tab w:val="left" w:pos="420"/>
        </w:tabs>
        <w:bidi w:val="0"/>
        <w:rPr>
          <w:rFonts w:hint="eastAsia"/>
          <w:color w:val="auto"/>
          <w:lang w:val="en-US" w:eastAsia="zh-CN"/>
        </w:rPr>
      </w:pPr>
      <w:bookmarkStart w:id="603" w:name="_Toc14220"/>
      <w:bookmarkStart w:id="604" w:name="_Toc31413"/>
      <w:bookmarkStart w:id="605" w:name="_Toc29378"/>
      <w:r>
        <w:rPr>
          <w:rFonts w:hint="eastAsia"/>
          <w:color w:val="auto"/>
          <w:lang w:val="en-US" w:eastAsia="zh-CN"/>
        </w:rPr>
        <w:t>地表水环境影响分析</w:t>
      </w:r>
      <w:bookmarkEnd w:id="603"/>
      <w:bookmarkEnd w:id="604"/>
      <w:bookmarkEnd w:id="605"/>
    </w:p>
    <w:p>
      <w:pPr>
        <w:pStyle w:val="5"/>
        <w:numPr>
          <w:ilvl w:val="3"/>
          <w:numId w:val="23"/>
        </w:numPr>
        <w:bidi w:val="0"/>
        <w:ind w:left="480" w:leftChars="0" w:firstLineChars="0"/>
        <w:rPr>
          <w:rFonts w:hint="default"/>
          <w:color w:val="auto"/>
        </w:rPr>
      </w:pPr>
      <w:r>
        <w:rPr>
          <w:rFonts w:hint="eastAsia"/>
          <w:color w:val="auto"/>
          <w:lang w:eastAsia="zh-CN"/>
        </w:rPr>
        <w:t>水资源及水文情势影响分析</w:t>
      </w:r>
    </w:p>
    <w:p>
      <w:pPr>
        <w:keepNext w:val="0"/>
        <w:keepLines w:val="0"/>
        <w:pageBreakBefore w:val="0"/>
        <w:widowControl w:val="0"/>
        <w:kinsoku/>
        <w:wordWrap/>
        <w:overflowPunct/>
        <w:topLinePunct w:val="0"/>
        <w:autoSpaceDE/>
        <w:autoSpaceDN/>
        <w:bidi w:val="0"/>
        <w:adjustRightInd/>
        <w:snapToGrid w:val="0"/>
        <w:spacing w:line="360" w:lineRule="auto"/>
        <w:ind w:left="0" w:right="0" w:firstLine="482"/>
        <w:textAlignment w:val="auto"/>
        <w:rPr>
          <w:rFonts w:hint="default" w:ascii="宋体" w:hAnsi="宋体" w:eastAsia="宋体" w:cs="宋体"/>
          <w:b/>
          <w:bCs/>
          <w:color w:val="auto"/>
          <w:spacing w:val="1"/>
          <w:sz w:val="24"/>
          <w:szCs w:val="24"/>
          <w:lang w:val="en-US" w:eastAsia="zh-CN"/>
        </w:rPr>
      </w:pPr>
      <w:r>
        <w:rPr>
          <w:rFonts w:hint="eastAsia" w:ascii="宋体" w:hAnsi="宋体" w:cs="宋体"/>
          <w:b/>
          <w:bCs/>
          <w:color w:val="auto"/>
          <w:spacing w:val="1"/>
          <w:sz w:val="24"/>
          <w:szCs w:val="24"/>
          <w:lang w:val="en-US" w:eastAsia="zh-CN"/>
        </w:rPr>
        <w:t>1、水资源利用影响分析</w:t>
      </w:r>
    </w:p>
    <w:p>
      <w:pPr>
        <w:keepNext w:val="0"/>
        <w:keepLines w:val="0"/>
        <w:pageBreakBefore w:val="0"/>
        <w:widowControl w:val="0"/>
        <w:kinsoku/>
        <w:wordWrap/>
        <w:overflowPunct/>
        <w:topLinePunct w:val="0"/>
        <w:autoSpaceDE/>
        <w:autoSpaceDN/>
        <w:bidi w:val="0"/>
        <w:adjustRightInd/>
        <w:snapToGrid w:val="0"/>
        <w:spacing w:line="360" w:lineRule="auto"/>
        <w:ind w:left="0" w:right="0" w:firstLine="482"/>
        <w:textAlignment w:val="auto"/>
        <w:rPr>
          <w:rFonts w:hint="default" w:ascii="宋体" w:hAnsi="宋体" w:eastAsia="宋体" w:cs="宋体"/>
          <w:b/>
          <w:bCs/>
          <w:color w:val="auto"/>
          <w:spacing w:val="1"/>
          <w:sz w:val="24"/>
          <w:szCs w:val="24"/>
          <w:lang w:val="en-US" w:eastAsia="zh-CN"/>
        </w:rPr>
      </w:pPr>
      <w:r>
        <w:rPr>
          <w:rFonts w:hint="eastAsia" w:ascii="宋体" w:hAnsi="宋体" w:cs="宋体"/>
          <w:b/>
          <w:bCs/>
          <w:color w:val="auto"/>
          <w:spacing w:val="1"/>
          <w:sz w:val="24"/>
          <w:szCs w:val="24"/>
          <w:lang w:eastAsia="zh-CN"/>
        </w:rPr>
        <w:t>（</w:t>
      </w:r>
      <w:r>
        <w:rPr>
          <w:rFonts w:hint="eastAsia" w:ascii="宋体" w:hAnsi="宋体" w:cs="宋体"/>
          <w:b/>
          <w:bCs/>
          <w:color w:val="auto"/>
          <w:spacing w:val="1"/>
          <w:sz w:val="24"/>
          <w:szCs w:val="24"/>
          <w:lang w:val="en-US" w:eastAsia="zh-CN"/>
        </w:rPr>
        <w:t>1</w:t>
      </w:r>
      <w:r>
        <w:rPr>
          <w:rFonts w:hint="eastAsia" w:ascii="宋体" w:hAnsi="宋体" w:cs="宋体"/>
          <w:b/>
          <w:bCs/>
          <w:color w:val="auto"/>
          <w:spacing w:val="1"/>
          <w:sz w:val="24"/>
          <w:szCs w:val="24"/>
          <w:lang w:eastAsia="zh-CN"/>
        </w:rPr>
        <w:t>）</w:t>
      </w:r>
      <w:r>
        <w:rPr>
          <w:rFonts w:hint="eastAsia" w:ascii="宋体" w:hAnsi="宋体" w:cs="宋体"/>
          <w:b/>
          <w:bCs/>
          <w:color w:val="auto"/>
          <w:spacing w:val="1"/>
          <w:sz w:val="24"/>
          <w:szCs w:val="24"/>
          <w:lang w:val="en-US" w:eastAsia="zh-CN"/>
        </w:rPr>
        <w:t>取水水资源利用影响分析</w:t>
      </w:r>
    </w:p>
    <w:p>
      <w:pPr>
        <w:numPr>
          <w:ilvl w:val="0"/>
          <w:numId w:val="0"/>
        </w:numPr>
        <w:ind w:firstLine="480" w:firstLineChars="200"/>
        <w:rPr>
          <w:rFonts w:hint="default"/>
          <w:color w:val="auto"/>
          <w:lang w:val="en-US" w:eastAsia="zh-CN"/>
        </w:rPr>
      </w:pPr>
      <w:r>
        <w:rPr>
          <w:rFonts w:hint="eastAsia"/>
          <w:color w:val="auto"/>
          <w:lang w:val="en-US" w:eastAsia="zh-CN"/>
        </w:rPr>
        <w:t>“金沙江乌东德水电站水资源综合利用</w:t>
      </w:r>
      <w:r>
        <w:rPr>
          <w:rFonts w:hint="default"/>
          <w:color w:val="auto"/>
          <w:lang w:val="en-US" w:eastAsia="zh-CN"/>
        </w:rPr>
        <w:t>—</w:t>
      </w:r>
      <w:r>
        <w:rPr>
          <w:rFonts w:hint="eastAsia"/>
          <w:color w:val="auto"/>
          <w:lang w:val="en-US" w:eastAsia="zh-CN"/>
        </w:rPr>
        <w:t>元谋县姜驿乡提水工程”在建的</w:t>
      </w:r>
      <w:r>
        <w:rPr>
          <w:rFonts w:hint="default"/>
          <w:color w:val="auto"/>
          <w:lang w:val="en-US" w:eastAsia="zh-CN"/>
        </w:rPr>
        <w:t>2040m³</w:t>
      </w:r>
      <w:r>
        <w:rPr>
          <w:rFonts w:hint="eastAsia"/>
          <w:color w:val="auto"/>
          <w:lang w:val="en-US" w:eastAsia="zh-CN"/>
        </w:rPr>
        <w:t>高位水池为本次水源，</w:t>
      </w:r>
      <w:r>
        <w:rPr>
          <w:rFonts w:hint="eastAsia"/>
          <w:color w:val="0000FF"/>
          <w:highlight w:val="none"/>
          <w:lang w:val="en-US" w:eastAsia="zh-CN"/>
        </w:rPr>
        <w:t>该工程拟从金沙江乌东德电站库区取水，由2040m³高位水池接东干管向东片区供水。本项目由3.9万m³管首调节水池接北干管及金马分干管向西片区供水；本项目由长42m，管径DN800的管道从2040m³高位水池引水至3.9万m³管首调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color w:val="0000FF"/>
          <w:lang w:val="en-US" w:eastAsia="zh-CN"/>
        </w:rPr>
      </w:pPr>
      <w:r>
        <w:rPr>
          <w:rFonts w:hint="default" w:ascii="Times New Roman" w:hAnsi="Times New Roman" w:cs="Times New Roman"/>
          <w:b w:val="0"/>
          <w:bCs w:val="0"/>
          <w:color w:val="0000FF"/>
          <w:sz w:val="24"/>
          <w:szCs w:val="24"/>
          <w:shd w:val="clear"/>
          <w:lang w:val="en-US" w:eastAsia="zh-CN"/>
        </w:rPr>
        <w:t>根据金沙江乌东德水电站水资源综合利用—元谋县姜驿乡提水工程水资源论证报告：该项目灌区面积为9.94万亩，其中姜中片区4.4万亩、贡茶片区2.41万亩、金河片区3.13万亩，本项目为该项目中定义的“姜中片区”，预留水量为911.4万m</w:t>
      </w:r>
      <w:r>
        <w:rPr>
          <w:rFonts w:hint="default" w:ascii="Times New Roman" w:hAnsi="Times New Roman" w:cs="Times New Roman"/>
          <w:b w:val="0"/>
          <w:bCs w:val="0"/>
          <w:color w:val="0000FF"/>
          <w:sz w:val="24"/>
          <w:szCs w:val="24"/>
          <w:shd w:val="clear"/>
          <w:vertAlign w:val="superscript"/>
          <w:lang w:val="en-US" w:eastAsia="zh-CN"/>
        </w:rPr>
        <w:t>3</w:t>
      </w:r>
      <w:r>
        <w:rPr>
          <w:rFonts w:hint="default" w:ascii="Times New Roman" w:hAnsi="Times New Roman" w:cs="Times New Roman"/>
          <w:b w:val="0"/>
          <w:bCs w:val="0"/>
          <w:color w:val="0000FF"/>
          <w:sz w:val="24"/>
          <w:szCs w:val="24"/>
          <w:shd w:val="clear"/>
          <w:lang w:val="en-US" w:eastAsia="zh-CN"/>
        </w:rPr>
        <w:t>（集镇生活用水3.4万m</w:t>
      </w:r>
      <w:r>
        <w:rPr>
          <w:rFonts w:hint="default" w:ascii="Times New Roman" w:hAnsi="Times New Roman" w:cs="Times New Roman"/>
          <w:b w:val="0"/>
          <w:bCs w:val="0"/>
          <w:color w:val="0000FF"/>
          <w:sz w:val="24"/>
          <w:szCs w:val="24"/>
          <w:shd w:val="clear"/>
          <w:vertAlign w:val="superscript"/>
          <w:lang w:val="en-US" w:eastAsia="zh-CN"/>
        </w:rPr>
        <w:t>3</w:t>
      </w:r>
      <w:r>
        <w:rPr>
          <w:rFonts w:hint="default" w:ascii="Times New Roman" w:hAnsi="Times New Roman" w:cs="Times New Roman"/>
          <w:b w:val="0"/>
          <w:bCs w:val="0"/>
          <w:color w:val="0000FF"/>
          <w:sz w:val="24"/>
          <w:szCs w:val="24"/>
          <w:shd w:val="clear"/>
          <w:lang w:val="en-US" w:eastAsia="zh-CN"/>
        </w:rPr>
        <w:t>，农村生活用水12.5万m</w:t>
      </w:r>
      <w:r>
        <w:rPr>
          <w:rFonts w:hint="default" w:ascii="Times New Roman" w:hAnsi="Times New Roman" w:cs="Times New Roman"/>
          <w:b w:val="0"/>
          <w:bCs w:val="0"/>
          <w:color w:val="0000FF"/>
          <w:sz w:val="24"/>
          <w:szCs w:val="24"/>
          <w:shd w:val="clear"/>
          <w:vertAlign w:val="superscript"/>
          <w:lang w:val="en-US" w:eastAsia="zh-CN"/>
        </w:rPr>
        <w:t>3</w:t>
      </w:r>
      <w:r>
        <w:rPr>
          <w:rFonts w:hint="default" w:ascii="Times New Roman" w:hAnsi="Times New Roman" w:cs="Times New Roman"/>
          <w:b w:val="0"/>
          <w:bCs w:val="0"/>
          <w:color w:val="0000FF"/>
          <w:sz w:val="24"/>
          <w:szCs w:val="24"/>
          <w:shd w:val="clear"/>
          <w:lang w:val="en-US" w:eastAsia="zh-CN"/>
        </w:rPr>
        <w:t>，高效农灌用水895.5万m</w:t>
      </w:r>
      <w:r>
        <w:rPr>
          <w:rFonts w:hint="default" w:ascii="Times New Roman" w:hAnsi="Times New Roman" w:cs="Times New Roman"/>
          <w:b w:val="0"/>
          <w:bCs w:val="0"/>
          <w:color w:val="0000FF"/>
          <w:sz w:val="24"/>
          <w:szCs w:val="24"/>
          <w:shd w:val="clear"/>
          <w:vertAlign w:val="superscript"/>
          <w:lang w:val="en-US" w:eastAsia="zh-CN"/>
        </w:rPr>
        <w:t>3</w:t>
      </w:r>
      <w:r>
        <w:rPr>
          <w:rFonts w:hint="default" w:ascii="Times New Roman" w:hAnsi="Times New Roman" w:cs="Times New Roman"/>
          <w:b w:val="0"/>
          <w:bCs w:val="0"/>
          <w:color w:val="0000FF"/>
          <w:sz w:val="24"/>
          <w:szCs w:val="24"/>
          <w:shd w:val="clear"/>
          <w:vertAlign w:val="baseline"/>
          <w:lang w:val="en-US" w:eastAsia="zh-CN"/>
        </w:rPr>
        <w:t>）</w:t>
      </w:r>
      <w:r>
        <w:rPr>
          <w:rFonts w:hint="default" w:ascii="Times New Roman" w:hAnsi="Times New Roman" w:cs="Times New Roman"/>
          <w:b w:val="0"/>
          <w:bCs w:val="0"/>
          <w:color w:val="0000FF"/>
          <w:sz w:val="24"/>
          <w:szCs w:val="24"/>
          <w:shd w:val="clear"/>
          <w:lang w:val="en-US" w:eastAsia="zh-CN"/>
        </w:rPr>
        <w:t>。本项目规划实施阶段复核后的灌溉面积为3.49万亩，且片区已有</w:t>
      </w:r>
      <w:r>
        <w:rPr>
          <w:rFonts w:hint="default" w:ascii="Times New Roman" w:hAnsi="Times New Roman" w:cs="Times New Roman"/>
          <w:b w:val="0"/>
          <w:bCs w:val="0"/>
          <w:color w:val="0000FF"/>
          <w:sz w:val="24"/>
          <w:szCs w:val="24"/>
          <w:lang w:val="en-US" w:eastAsia="zh-CN"/>
        </w:rPr>
        <w:t>姜驿乡抗旱应急供水工程提供生活用水，无生活用水需求。仅考虑灌溉用水量为</w:t>
      </w:r>
      <w:r>
        <w:rPr>
          <w:rFonts w:hint="default" w:ascii="Times New Roman" w:hAnsi="Times New Roman" w:cs="Times New Roman"/>
          <w:color w:val="0000FF"/>
          <w:sz w:val="24"/>
          <w:szCs w:val="24"/>
          <w:highlight w:val="none"/>
          <w:shd w:val="clear"/>
          <w:lang w:val="en-US" w:eastAsia="zh-CN"/>
        </w:rPr>
        <w:t>760.7万m³，因此小于</w:t>
      </w:r>
      <w:r>
        <w:rPr>
          <w:rFonts w:hint="default" w:ascii="Times New Roman" w:hAnsi="Times New Roman" w:cs="Times New Roman"/>
          <w:b w:val="0"/>
          <w:bCs w:val="0"/>
          <w:color w:val="0000FF"/>
          <w:sz w:val="24"/>
          <w:szCs w:val="24"/>
          <w:lang w:val="en-US" w:eastAsia="zh-CN"/>
        </w:rPr>
        <w:t>金沙江乌东德水电站水资源综合利用—元谋县姜驿乡提水工程预留的水量。</w:t>
      </w:r>
    </w:p>
    <w:p>
      <w:pPr>
        <w:numPr>
          <w:ilvl w:val="0"/>
          <w:numId w:val="0"/>
        </w:numPr>
        <w:ind w:firstLine="480" w:firstLineChars="200"/>
        <w:rPr>
          <w:color w:val="auto"/>
        </w:rPr>
      </w:pPr>
      <w:r>
        <w:rPr>
          <w:rFonts w:hint="eastAsia"/>
          <w:color w:val="0000FF"/>
          <w:lang w:val="en-US" w:eastAsia="zh-CN"/>
        </w:rPr>
        <w:t>金沙江乌东德水电站水资源综合利用</w:t>
      </w:r>
      <w:r>
        <w:rPr>
          <w:rFonts w:hint="default"/>
          <w:color w:val="0000FF"/>
          <w:lang w:val="en-US" w:eastAsia="zh-CN"/>
        </w:rPr>
        <w:t>—</w:t>
      </w:r>
      <w:r>
        <w:rPr>
          <w:rFonts w:hint="eastAsia"/>
          <w:color w:val="0000FF"/>
          <w:lang w:val="en-US" w:eastAsia="zh-CN"/>
        </w:rPr>
        <w:t>元谋县姜驿乡提水工程</w:t>
      </w:r>
      <w:r>
        <w:rPr>
          <w:rFonts w:hint="eastAsia"/>
          <w:color w:val="auto"/>
          <w:lang w:val="en-US" w:eastAsia="zh-CN"/>
        </w:rPr>
        <w:t>已委托昆明阳光恒业环境工程有限公司进行了环境影响评价。</w:t>
      </w:r>
      <w:r>
        <w:rPr>
          <w:rFonts w:hint="eastAsia"/>
          <w:color w:val="auto"/>
          <w:highlight w:val="none"/>
          <w:lang w:val="en-US" w:eastAsia="zh-CN"/>
        </w:rPr>
        <w:t>并于2023年5月26日取得了楚雄州生态环境局准予行政许可决定书（楚环许准〔2023〕54 号），目前已开工，预计2025年竣工，从时间顺序上来看，本项目依托其高位水池作为水源具有可行性。</w:t>
      </w:r>
      <w:r>
        <w:rPr>
          <w:rFonts w:hint="eastAsia" w:ascii="宋体" w:hAnsi="宋体" w:cs="宋体"/>
          <w:color w:val="auto"/>
          <w:spacing w:val="1"/>
          <w:sz w:val="24"/>
          <w:szCs w:val="24"/>
          <w:lang w:val="en-US" w:eastAsia="zh-CN"/>
        </w:rPr>
        <w:t>该工程取水水源为</w:t>
      </w:r>
      <w:r>
        <w:rPr>
          <w:rFonts w:hint="eastAsia"/>
          <w:color w:val="auto"/>
          <w:lang w:val="en-US" w:eastAsia="zh-CN"/>
        </w:rPr>
        <w:t>乌东德水电站，已进行的</w:t>
      </w:r>
      <w:r>
        <w:rPr>
          <w:rFonts w:hint="eastAsia" w:ascii="宋体" w:hAnsi="宋体" w:cs="宋体"/>
          <w:color w:val="auto"/>
          <w:spacing w:val="1"/>
          <w:sz w:val="24"/>
          <w:szCs w:val="24"/>
          <w:lang w:val="en-US" w:eastAsia="zh-CN"/>
        </w:rPr>
        <w:t>环境影响评价结论为：“</w:t>
      </w:r>
      <w:r>
        <w:rPr>
          <w:rFonts w:hint="eastAsia"/>
          <w:color w:val="auto"/>
          <w:lang w:val="en-US" w:eastAsia="zh-CN"/>
        </w:rPr>
        <w:t>乌东德水电站坝址多年平均流量</w:t>
      </w:r>
      <w:r>
        <w:rPr>
          <w:rFonts w:hint="default"/>
          <w:color w:val="auto"/>
          <w:lang w:val="en-US" w:eastAsia="zh-CN"/>
        </w:rPr>
        <w:t>3850m³/s</w:t>
      </w:r>
      <w:r>
        <w:rPr>
          <w:rFonts w:hint="eastAsia"/>
          <w:color w:val="auto"/>
          <w:lang w:val="en-US" w:eastAsia="zh-CN"/>
        </w:rPr>
        <w:t>，多年平均径流量为</w:t>
      </w:r>
      <w:r>
        <w:rPr>
          <w:rFonts w:hint="default"/>
          <w:color w:val="auto"/>
          <w:lang w:val="en-US" w:eastAsia="zh-CN"/>
        </w:rPr>
        <w:t>1210</w:t>
      </w:r>
      <w:r>
        <w:rPr>
          <w:rFonts w:hint="eastAsia"/>
          <w:color w:val="auto"/>
          <w:lang w:val="en-US" w:eastAsia="zh-CN"/>
        </w:rPr>
        <w:t>亿</w:t>
      </w:r>
      <w:r>
        <w:rPr>
          <w:rFonts w:hint="default"/>
          <w:color w:val="auto"/>
          <w:lang w:val="en-US" w:eastAsia="zh-CN"/>
        </w:rPr>
        <w:t>m³</w:t>
      </w:r>
      <w:r>
        <w:rPr>
          <w:rFonts w:hint="eastAsia"/>
          <w:color w:val="auto"/>
          <w:lang w:val="en-US" w:eastAsia="zh-CN"/>
        </w:rPr>
        <w:t>，电站装机容量</w:t>
      </w:r>
      <w:r>
        <w:rPr>
          <w:rFonts w:hint="default"/>
          <w:color w:val="auto"/>
          <w:lang w:val="en-US" w:eastAsia="zh-CN"/>
        </w:rPr>
        <w:t>10200MW</w:t>
      </w:r>
      <w:r>
        <w:rPr>
          <w:rFonts w:hint="eastAsia"/>
          <w:color w:val="auto"/>
          <w:lang w:val="en-US" w:eastAsia="zh-CN"/>
        </w:rPr>
        <w:t>，具有日调节性能，多年平均年发电量</w:t>
      </w:r>
      <w:r>
        <w:rPr>
          <w:rFonts w:hint="default"/>
          <w:color w:val="auto"/>
          <w:lang w:val="en-US" w:eastAsia="zh-CN"/>
        </w:rPr>
        <w:t>389.3</w:t>
      </w:r>
      <w:r>
        <w:rPr>
          <w:rFonts w:hint="eastAsia"/>
          <w:color w:val="auto"/>
          <w:lang w:val="en-US" w:eastAsia="zh-CN"/>
        </w:rPr>
        <w:t>亿</w:t>
      </w:r>
      <w:r>
        <w:rPr>
          <w:rFonts w:hint="default"/>
          <w:color w:val="auto"/>
          <w:lang w:val="en-US" w:eastAsia="zh-CN"/>
        </w:rPr>
        <w:t>kW•h</w:t>
      </w:r>
      <w:r>
        <w:rPr>
          <w:rFonts w:hint="eastAsia"/>
          <w:color w:val="auto"/>
          <w:lang w:val="en-US" w:eastAsia="zh-CN"/>
        </w:rPr>
        <w:t>。本工程设计提水量为</w:t>
      </w:r>
      <w:r>
        <w:rPr>
          <w:rFonts w:hint="default"/>
          <w:color w:val="auto"/>
          <w:lang w:val="en-US" w:eastAsia="zh-CN"/>
        </w:rPr>
        <w:t>1984.6</w:t>
      </w:r>
      <w:r>
        <w:rPr>
          <w:rFonts w:hint="eastAsia"/>
          <w:color w:val="auto"/>
          <w:lang w:val="en-US" w:eastAsia="zh-CN"/>
        </w:rPr>
        <w:t>万</w:t>
      </w:r>
      <w:r>
        <w:rPr>
          <w:rFonts w:hint="default"/>
          <w:color w:val="auto"/>
          <w:lang w:val="en-US" w:eastAsia="zh-CN"/>
        </w:rPr>
        <w:t>m³</w:t>
      </w:r>
      <w:r>
        <w:rPr>
          <w:rFonts w:hint="eastAsia"/>
          <w:color w:val="auto"/>
          <w:lang w:val="en-US" w:eastAsia="zh-CN"/>
        </w:rPr>
        <w:t>，占乌东德水电站多年平均来水量的</w:t>
      </w:r>
      <w:r>
        <w:rPr>
          <w:rFonts w:hint="default"/>
          <w:color w:val="auto"/>
          <w:lang w:val="en-US" w:eastAsia="zh-CN"/>
        </w:rPr>
        <w:t>0.016%</w:t>
      </w:r>
      <w:r>
        <w:rPr>
          <w:rFonts w:hint="eastAsia"/>
          <w:color w:val="auto"/>
          <w:lang w:val="en-US" w:eastAsia="zh-CN"/>
        </w:rPr>
        <w:t>，本工程提水对乌东德水电站发电影响也仅为</w:t>
      </w:r>
      <w:r>
        <w:rPr>
          <w:rFonts w:hint="default"/>
          <w:color w:val="auto"/>
          <w:lang w:val="en-US" w:eastAsia="zh-CN"/>
        </w:rPr>
        <w:t>622.88</w:t>
      </w:r>
      <w:r>
        <w:rPr>
          <w:rFonts w:hint="eastAsia"/>
          <w:color w:val="auto"/>
          <w:lang w:val="en-US" w:eastAsia="zh-CN"/>
        </w:rPr>
        <w:t>万</w:t>
      </w:r>
      <w:r>
        <w:rPr>
          <w:rFonts w:hint="default"/>
          <w:color w:val="auto"/>
          <w:lang w:val="en-US" w:eastAsia="zh-CN"/>
        </w:rPr>
        <w:t>kW•h</w:t>
      </w:r>
      <w:r>
        <w:rPr>
          <w:rFonts w:hint="eastAsia"/>
          <w:color w:val="auto"/>
          <w:lang w:val="en-US" w:eastAsia="zh-CN"/>
        </w:rPr>
        <w:t>（仅为多年平均发电量的</w:t>
      </w:r>
      <w:r>
        <w:rPr>
          <w:rFonts w:hint="default"/>
          <w:color w:val="auto"/>
          <w:lang w:val="en-US" w:eastAsia="zh-CN"/>
        </w:rPr>
        <w:t>0.016%</w:t>
      </w:r>
      <w:r>
        <w:rPr>
          <w:rFonts w:hint="eastAsia"/>
          <w:color w:val="auto"/>
          <w:lang w:val="en-US" w:eastAsia="zh-CN"/>
        </w:rPr>
        <w:t>）。由此可见，本提水工程对乌东德水电站发电的影响不大。本工程的建设不会对库区水资源利用造成不利影响。”</w:t>
      </w:r>
    </w:p>
    <w:p>
      <w:pPr>
        <w:keepNext w:val="0"/>
        <w:keepLines w:val="0"/>
        <w:pageBreakBefore w:val="0"/>
        <w:widowControl w:val="0"/>
        <w:kinsoku/>
        <w:wordWrap/>
        <w:overflowPunct/>
        <w:topLinePunct w:val="0"/>
        <w:autoSpaceDE/>
        <w:autoSpaceDN/>
        <w:bidi w:val="0"/>
        <w:adjustRightInd/>
        <w:snapToGrid w:val="0"/>
        <w:spacing w:line="360" w:lineRule="auto"/>
        <w:ind w:left="0" w:right="0" w:firstLine="482"/>
        <w:textAlignment w:val="auto"/>
        <w:rPr>
          <w:rFonts w:hint="default" w:ascii="宋体" w:hAnsi="宋体" w:cs="宋体"/>
          <w:color w:val="auto"/>
          <w:spacing w:val="1"/>
          <w:sz w:val="24"/>
          <w:szCs w:val="24"/>
          <w:lang w:val="en-US" w:eastAsia="zh-CN"/>
        </w:rPr>
      </w:pPr>
      <w:r>
        <w:rPr>
          <w:rFonts w:hint="eastAsia" w:ascii="宋体" w:hAnsi="宋体" w:cs="宋体"/>
          <w:color w:val="auto"/>
          <w:spacing w:val="1"/>
          <w:sz w:val="24"/>
          <w:szCs w:val="24"/>
          <w:lang w:val="en-US" w:eastAsia="zh-CN"/>
        </w:rPr>
        <w:t>因此，该工程为本灌区</w:t>
      </w:r>
      <w:r>
        <w:rPr>
          <w:rFonts w:hint="eastAsia"/>
          <w:color w:val="auto"/>
          <w:lang w:val="en-US" w:eastAsia="zh-CN"/>
        </w:rPr>
        <w:t>分配的水量为</w:t>
      </w:r>
      <w:r>
        <w:rPr>
          <w:rFonts w:hint="default"/>
          <w:color w:val="auto"/>
          <w:lang w:val="en-US" w:eastAsia="zh-CN"/>
        </w:rPr>
        <w:t>911.4</w:t>
      </w:r>
      <w:r>
        <w:rPr>
          <w:rFonts w:hint="eastAsia"/>
          <w:color w:val="auto"/>
          <w:lang w:val="en-US" w:eastAsia="zh-CN"/>
        </w:rPr>
        <w:t>万m³，本工程建成后仅从该工程高位水池取水，设计（取水）供水量</w:t>
      </w:r>
      <w:r>
        <w:rPr>
          <w:rFonts w:hint="eastAsia"/>
          <w:color w:val="auto"/>
          <w:highlight w:val="none"/>
          <w:lang w:val="en-US" w:eastAsia="zh-CN"/>
        </w:rPr>
        <w:t>为760.7万m</w:t>
      </w:r>
      <w:r>
        <w:rPr>
          <w:rFonts w:hint="eastAsia"/>
          <w:color w:val="auto"/>
          <w:highlight w:val="none"/>
          <w:vertAlign w:val="superscript"/>
          <w:lang w:val="en-US" w:eastAsia="zh-CN"/>
        </w:rPr>
        <w:t>3</w:t>
      </w:r>
      <w:r>
        <w:rPr>
          <w:rFonts w:hint="eastAsia"/>
          <w:color w:val="auto"/>
          <w:highlight w:val="none"/>
          <w:vertAlign w:val="baseline"/>
          <w:lang w:val="en-US" w:eastAsia="zh-CN"/>
        </w:rPr>
        <w:t>，</w:t>
      </w:r>
      <w:r>
        <w:rPr>
          <w:rFonts w:hint="eastAsia"/>
          <w:color w:val="0000FF"/>
          <w:highlight w:val="none"/>
          <w:vertAlign w:val="baseline"/>
          <w:lang w:val="en-US" w:eastAsia="zh-CN"/>
        </w:rPr>
        <w:t>未突破</w:t>
      </w:r>
      <w:r>
        <w:rPr>
          <w:rFonts w:hint="eastAsia"/>
          <w:color w:val="auto"/>
          <w:lang w:val="en-US" w:eastAsia="zh-CN"/>
        </w:rPr>
        <w:t>金沙江乌东德水电站水资源综合利用</w:t>
      </w:r>
      <w:r>
        <w:rPr>
          <w:rFonts w:hint="default"/>
          <w:color w:val="auto"/>
          <w:lang w:val="en-US" w:eastAsia="zh-CN"/>
        </w:rPr>
        <w:t>—</w:t>
      </w:r>
      <w:r>
        <w:rPr>
          <w:rFonts w:hint="eastAsia"/>
          <w:color w:val="auto"/>
          <w:lang w:val="en-US" w:eastAsia="zh-CN"/>
        </w:rPr>
        <w:t>元谋县姜驿乡提水工程</w:t>
      </w:r>
      <w:r>
        <w:rPr>
          <w:rFonts w:hint="eastAsia"/>
          <w:color w:val="0000FF"/>
          <w:lang w:val="en-US" w:eastAsia="zh-CN"/>
        </w:rPr>
        <w:t>已批复的水量</w:t>
      </w:r>
      <w:r>
        <w:rPr>
          <w:rFonts w:hint="eastAsia"/>
          <w:color w:val="auto"/>
          <w:lang w:val="en-US" w:eastAsia="zh-CN"/>
        </w:rPr>
        <w:t>。</w:t>
      </w:r>
      <w:r>
        <w:rPr>
          <w:rFonts w:hint="eastAsia" w:ascii="宋体" w:hAnsi="宋体" w:cs="宋体"/>
          <w:color w:val="auto"/>
          <w:spacing w:val="1"/>
          <w:sz w:val="24"/>
          <w:szCs w:val="24"/>
          <w:lang w:val="en-US" w:eastAsia="zh-CN"/>
        </w:rPr>
        <w:t>已考虑在金沙江乌东德水电站水资源综合利用—元谋县姜驿乡提水工程取水水资源利用影响内，</w:t>
      </w:r>
      <w:r>
        <w:rPr>
          <w:rFonts w:hint="eastAsia" w:ascii="宋体" w:hAnsi="宋体" w:cs="宋体"/>
          <w:color w:val="0000FF"/>
          <w:spacing w:val="1"/>
          <w:sz w:val="24"/>
          <w:szCs w:val="24"/>
          <w:lang w:val="en-US" w:eastAsia="zh-CN"/>
        </w:rPr>
        <w:t>不新增用水量，</w:t>
      </w:r>
      <w:r>
        <w:rPr>
          <w:rFonts w:hint="eastAsia" w:ascii="宋体" w:hAnsi="宋体" w:cs="宋体"/>
          <w:color w:val="auto"/>
          <w:spacing w:val="1"/>
          <w:sz w:val="24"/>
          <w:szCs w:val="24"/>
          <w:lang w:val="en-US" w:eastAsia="zh-CN"/>
        </w:rPr>
        <w:t>本工程不再进行评价。</w:t>
      </w:r>
    </w:p>
    <w:p>
      <w:pPr>
        <w:keepNext w:val="0"/>
        <w:keepLines w:val="0"/>
        <w:pageBreakBefore w:val="0"/>
        <w:widowControl w:val="0"/>
        <w:kinsoku/>
        <w:wordWrap/>
        <w:overflowPunct/>
        <w:topLinePunct w:val="0"/>
        <w:autoSpaceDE/>
        <w:autoSpaceDN/>
        <w:bidi w:val="0"/>
        <w:adjustRightInd/>
        <w:snapToGrid w:val="0"/>
        <w:spacing w:line="360" w:lineRule="auto"/>
        <w:ind w:left="0" w:right="0" w:firstLine="482"/>
        <w:textAlignment w:val="auto"/>
        <w:rPr>
          <w:rFonts w:hint="default" w:ascii="宋体" w:hAnsi="宋体" w:eastAsia="宋体" w:cs="宋体"/>
          <w:b/>
          <w:bCs/>
          <w:color w:val="auto"/>
          <w:spacing w:val="1"/>
          <w:sz w:val="24"/>
          <w:szCs w:val="24"/>
          <w:lang w:val="en-US" w:eastAsia="zh-CN"/>
        </w:rPr>
      </w:pPr>
      <w:r>
        <w:rPr>
          <w:rFonts w:hint="eastAsia" w:ascii="宋体" w:hAnsi="宋体" w:cs="宋体"/>
          <w:b/>
          <w:bCs/>
          <w:color w:val="auto"/>
          <w:spacing w:val="1"/>
          <w:sz w:val="24"/>
          <w:szCs w:val="24"/>
          <w:lang w:eastAsia="zh-CN"/>
        </w:rPr>
        <w:t>（</w:t>
      </w:r>
      <w:r>
        <w:rPr>
          <w:rFonts w:hint="eastAsia" w:ascii="宋体" w:hAnsi="宋体" w:cs="宋体"/>
          <w:b/>
          <w:bCs/>
          <w:color w:val="auto"/>
          <w:spacing w:val="1"/>
          <w:sz w:val="24"/>
          <w:szCs w:val="24"/>
          <w:lang w:val="en-US" w:eastAsia="zh-CN"/>
        </w:rPr>
        <w:t>2</w:t>
      </w:r>
      <w:r>
        <w:rPr>
          <w:rFonts w:hint="eastAsia" w:ascii="宋体" w:hAnsi="宋体" w:cs="宋体"/>
          <w:b/>
          <w:bCs/>
          <w:color w:val="auto"/>
          <w:spacing w:val="1"/>
          <w:sz w:val="24"/>
          <w:szCs w:val="24"/>
          <w:lang w:eastAsia="zh-CN"/>
        </w:rPr>
        <w:t>）</w:t>
      </w:r>
      <w:r>
        <w:rPr>
          <w:rFonts w:hint="eastAsia" w:ascii="宋体" w:hAnsi="宋体" w:cs="宋体"/>
          <w:b/>
          <w:bCs/>
          <w:color w:val="auto"/>
          <w:spacing w:val="1"/>
          <w:sz w:val="24"/>
          <w:szCs w:val="24"/>
          <w:lang w:val="en-US" w:eastAsia="zh-CN"/>
        </w:rPr>
        <w:t>灌区水资源利用影响分析</w:t>
      </w:r>
    </w:p>
    <w:p>
      <w:pPr>
        <w:keepNext w:val="0"/>
        <w:keepLines w:val="0"/>
        <w:pageBreakBefore w:val="0"/>
        <w:widowControl w:val="0"/>
        <w:numPr>
          <w:ilvl w:val="0"/>
          <w:numId w:val="0"/>
        </w:numPr>
        <w:kinsoku/>
        <w:wordWrap/>
        <w:overflowPunct/>
        <w:topLinePunct w:val="0"/>
        <w:autoSpaceDE/>
        <w:autoSpaceDN/>
        <w:bidi w:val="0"/>
        <w:adjustRightInd/>
        <w:snapToGrid w:val="0"/>
        <w:ind w:firstLine="480" w:firstLineChars="200"/>
        <w:textAlignment w:val="auto"/>
        <w:rPr>
          <w:rFonts w:hint="default"/>
          <w:color w:val="auto"/>
          <w:highlight w:val="none"/>
          <w:lang w:val="en-US" w:eastAsia="zh-CN"/>
        </w:rPr>
      </w:pPr>
      <w:r>
        <w:rPr>
          <w:rFonts w:hint="default"/>
          <w:color w:val="auto"/>
          <w:highlight w:val="none"/>
          <w:lang w:val="en-US" w:eastAsia="zh-CN"/>
        </w:rPr>
        <w:t>现状水平年，项目区灌溉面积3.49万亩，均为常规灌溉，灌溉水利用系数仅为0.56。</w:t>
      </w:r>
      <w:r>
        <w:rPr>
          <w:rFonts w:hint="default"/>
          <w:color w:val="auto"/>
          <w:highlight w:val="none"/>
          <w:shd w:val="clear"/>
          <w:lang w:val="en-US" w:eastAsia="zh-CN"/>
        </w:rPr>
        <w:t>灌区总需水量为1993.8万m³，水利工程总供水量</w:t>
      </w:r>
      <w:r>
        <w:rPr>
          <w:rFonts w:hint="eastAsia"/>
          <w:color w:val="auto"/>
          <w:highlight w:val="none"/>
          <w:shd w:val="clear"/>
          <w:lang w:val="en-US" w:eastAsia="zh-CN"/>
        </w:rPr>
        <w:t>124.5</w:t>
      </w:r>
      <w:r>
        <w:rPr>
          <w:rFonts w:hint="default"/>
          <w:color w:val="auto"/>
          <w:highlight w:val="none"/>
          <w:shd w:val="clear"/>
          <w:lang w:val="en-US" w:eastAsia="zh-CN"/>
        </w:rPr>
        <w:t>万m³，缺水量18</w:t>
      </w:r>
      <w:r>
        <w:rPr>
          <w:rFonts w:hint="eastAsia"/>
          <w:color w:val="auto"/>
          <w:highlight w:val="none"/>
          <w:shd w:val="clear"/>
          <w:lang w:val="en-US" w:eastAsia="zh-CN"/>
        </w:rPr>
        <w:t>69.3</w:t>
      </w:r>
      <w:r>
        <w:rPr>
          <w:rFonts w:hint="default"/>
          <w:color w:val="auto"/>
          <w:highlight w:val="none"/>
          <w:shd w:val="clear"/>
          <w:lang w:val="en-US" w:eastAsia="zh-CN"/>
        </w:rPr>
        <w:t>万m³，</w:t>
      </w:r>
      <w:r>
        <w:rPr>
          <w:rFonts w:hint="default"/>
          <w:color w:val="auto"/>
          <w:highlight w:val="none"/>
          <w:lang w:val="en-US" w:eastAsia="zh-CN"/>
        </w:rPr>
        <w:t>缺水量占总需水量的9</w:t>
      </w:r>
      <w:r>
        <w:rPr>
          <w:rFonts w:hint="eastAsia"/>
          <w:color w:val="auto"/>
          <w:highlight w:val="none"/>
          <w:lang w:val="en-US" w:eastAsia="zh-CN"/>
        </w:rPr>
        <w:t>3</w:t>
      </w:r>
      <w:r>
        <w:rPr>
          <w:rFonts w:hint="default"/>
          <w:color w:val="auto"/>
          <w:highlight w:val="none"/>
          <w:lang w:val="en-US" w:eastAsia="zh-CN"/>
        </w:rPr>
        <w:t>.</w:t>
      </w:r>
      <w:r>
        <w:rPr>
          <w:rFonts w:hint="eastAsia"/>
          <w:color w:val="auto"/>
          <w:highlight w:val="none"/>
          <w:lang w:val="en-US" w:eastAsia="zh-CN"/>
        </w:rPr>
        <w:t>76</w:t>
      </w:r>
      <w:r>
        <w:rPr>
          <w:rFonts w:hint="default"/>
          <w:color w:val="auto"/>
          <w:highlight w:val="none"/>
          <w:lang w:val="en-US" w:eastAsia="zh-CN"/>
        </w:rPr>
        <w:t>%。其中：集镇生活需水量4.6万m³，供水量4.6万m³，供需水平衡，保证0.1009万人集镇人口生活用水；农村生活需水量34.5万m³，供水量34.5万m³，供需水平衡，保证0.6891万人农村人口和1.3046万头大小牲畜生活用水；农业灌溉需水量为1993.8万m³，供水量</w:t>
      </w:r>
      <w:r>
        <w:rPr>
          <w:rFonts w:hint="eastAsia"/>
          <w:color w:val="auto"/>
          <w:highlight w:val="none"/>
          <w:lang w:val="en-US" w:eastAsia="zh-CN"/>
        </w:rPr>
        <w:t>85.4</w:t>
      </w:r>
      <w:r>
        <w:rPr>
          <w:rFonts w:hint="default"/>
          <w:color w:val="auto"/>
          <w:highlight w:val="none"/>
          <w:lang w:val="en-US" w:eastAsia="zh-CN"/>
        </w:rPr>
        <w:t>万m³，保证灌溉面积0.14万亩，缺水量</w:t>
      </w:r>
      <w:r>
        <w:rPr>
          <w:rFonts w:hint="eastAsia"/>
          <w:color w:val="auto"/>
          <w:highlight w:val="none"/>
          <w:lang w:val="en-US" w:eastAsia="zh-CN"/>
        </w:rPr>
        <w:t>1869.3</w:t>
      </w:r>
      <w:r>
        <w:rPr>
          <w:rFonts w:hint="default"/>
          <w:color w:val="auto"/>
          <w:highlight w:val="none"/>
          <w:lang w:val="en-US" w:eastAsia="zh-CN"/>
        </w:rPr>
        <w:t>万m³，缺灌面积3.35万亩。由于项目区产水量低、水利工程可供水量少，且大多耕地属于望天田，形成了地多水少的局面，导致灌区现状水平年农灌缺水状况十分严峻。</w:t>
      </w:r>
    </w:p>
    <w:p>
      <w:pPr>
        <w:keepNext w:val="0"/>
        <w:keepLines w:val="0"/>
        <w:pageBreakBefore w:val="0"/>
        <w:widowControl w:val="0"/>
        <w:kinsoku/>
        <w:wordWrap/>
        <w:overflowPunct/>
        <w:topLinePunct w:val="0"/>
        <w:autoSpaceDE/>
        <w:autoSpaceDN/>
        <w:bidi w:val="0"/>
        <w:adjustRightInd/>
        <w:snapToGrid w:val="0"/>
        <w:spacing w:line="360" w:lineRule="auto"/>
        <w:ind w:left="0" w:right="0" w:firstLine="480"/>
        <w:textAlignment w:val="auto"/>
        <w:rPr>
          <w:color w:val="auto"/>
        </w:rPr>
      </w:pPr>
      <w:r>
        <w:rPr>
          <w:rFonts w:hint="default"/>
          <w:color w:val="auto"/>
          <w:highlight w:val="none"/>
          <w:lang w:val="en-US" w:eastAsia="zh-CN"/>
        </w:rPr>
        <w:t>规划水平年</w:t>
      </w:r>
      <w:r>
        <w:rPr>
          <w:rFonts w:hint="eastAsia"/>
          <w:color w:val="auto"/>
          <w:highlight w:val="none"/>
          <w:lang w:val="en-US" w:eastAsia="zh-CN"/>
        </w:rPr>
        <w:t>2035年</w:t>
      </w:r>
      <w:r>
        <w:rPr>
          <w:rFonts w:hint="default"/>
          <w:color w:val="auto"/>
          <w:highlight w:val="none"/>
          <w:lang w:val="en-US" w:eastAsia="zh-CN"/>
        </w:rPr>
        <w:t>，项目实施后，灌溉水利用系数提高，灌溉需水量减小。</w:t>
      </w:r>
      <w:r>
        <w:rPr>
          <w:rFonts w:hint="default"/>
          <w:color w:val="auto"/>
          <w:highlight w:val="none"/>
          <w:shd w:val="clear"/>
          <w:lang w:val="en-US" w:eastAsia="zh-CN"/>
        </w:rPr>
        <w:t>灌区总需水量为885.2万m³，</w:t>
      </w:r>
      <w:r>
        <w:rPr>
          <w:rFonts w:hint="eastAsia"/>
          <w:color w:val="auto"/>
          <w:highlight w:val="none"/>
          <w:shd w:val="clear"/>
          <w:lang w:val="en-US" w:eastAsia="zh-CN"/>
        </w:rPr>
        <w:t>现有水利工程供水量124.5万m³，本项目新增供水量760.7万m³，</w:t>
      </w:r>
      <w:r>
        <w:rPr>
          <w:rFonts w:hint="default"/>
          <w:color w:val="auto"/>
          <w:highlight w:val="none"/>
          <w:shd w:val="clear"/>
          <w:lang w:val="en-US" w:eastAsia="zh-CN"/>
        </w:rPr>
        <w:t>总供水量为885.2万m³，</w:t>
      </w:r>
      <w:r>
        <w:rPr>
          <w:rFonts w:hint="default"/>
          <w:color w:val="auto"/>
          <w:highlight w:val="none"/>
          <w:lang w:val="en-US" w:eastAsia="zh-CN"/>
        </w:rPr>
        <w:t>缺水量0万m³。其中：集镇生活需水量</w:t>
      </w:r>
      <w:r>
        <w:rPr>
          <w:rFonts w:hint="eastAsia"/>
          <w:color w:val="auto"/>
          <w:highlight w:val="none"/>
          <w:lang w:val="en-US" w:eastAsia="zh-CN"/>
        </w:rPr>
        <w:t>6</w:t>
      </w:r>
      <w:r>
        <w:rPr>
          <w:rFonts w:hint="default"/>
          <w:color w:val="auto"/>
          <w:highlight w:val="none"/>
          <w:lang w:val="en-US" w:eastAsia="zh-CN"/>
        </w:rPr>
        <w:t>万m³，供水量</w:t>
      </w:r>
      <w:r>
        <w:rPr>
          <w:rFonts w:hint="eastAsia"/>
          <w:color w:val="auto"/>
          <w:highlight w:val="none"/>
          <w:lang w:val="en-US" w:eastAsia="zh-CN"/>
        </w:rPr>
        <w:t>6</w:t>
      </w:r>
      <w:r>
        <w:rPr>
          <w:rFonts w:hint="default"/>
          <w:color w:val="auto"/>
          <w:highlight w:val="none"/>
          <w:lang w:val="en-US" w:eastAsia="zh-CN"/>
        </w:rPr>
        <w:t>万m³，供需水平衡，保证0.1096万人集镇人口生活用水；农村生活需水量43.</w:t>
      </w:r>
      <w:r>
        <w:rPr>
          <w:rFonts w:hint="eastAsia"/>
          <w:color w:val="auto"/>
          <w:highlight w:val="none"/>
          <w:lang w:val="en-US" w:eastAsia="zh-CN"/>
        </w:rPr>
        <w:t>2</w:t>
      </w:r>
      <w:r>
        <w:rPr>
          <w:rFonts w:hint="default"/>
          <w:color w:val="auto"/>
          <w:highlight w:val="none"/>
          <w:lang w:val="en-US" w:eastAsia="zh-CN"/>
        </w:rPr>
        <w:t>万m³，供水量43.</w:t>
      </w:r>
      <w:r>
        <w:rPr>
          <w:rFonts w:hint="eastAsia"/>
          <w:color w:val="auto"/>
          <w:highlight w:val="none"/>
          <w:lang w:val="en-US" w:eastAsia="zh-CN"/>
        </w:rPr>
        <w:t>2</w:t>
      </w:r>
      <w:r>
        <w:rPr>
          <w:rFonts w:hint="default"/>
          <w:color w:val="auto"/>
          <w:highlight w:val="none"/>
          <w:lang w:val="en-US" w:eastAsia="zh-CN"/>
        </w:rPr>
        <w:t>万m³，供需水平衡，保证0.7058万人农村人口和1.4254万头大小牲畜生活用水；农业灌溉需水量83</w:t>
      </w:r>
      <w:r>
        <w:rPr>
          <w:rFonts w:hint="eastAsia"/>
          <w:color w:val="auto"/>
          <w:highlight w:val="none"/>
          <w:lang w:val="en-US" w:eastAsia="zh-CN"/>
        </w:rPr>
        <w:t>6</w:t>
      </w:r>
      <w:r>
        <w:rPr>
          <w:rFonts w:hint="default"/>
          <w:color w:val="auto"/>
          <w:highlight w:val="none"/>
          <w:lang w:val="en-US" w:eastAsia="zh-CN"/>
        </w:rPr>
        <w:t>万m³，供水量83</w:t>
      </w:r>
      <w:r>
        <w:rPr>
          <w:rFonts w:hint="eastAsia"/>
          <w:color w:val="auto"/>
          <w:highlight w:val="none"/>
          <w:lang w:val="en-US" w:eastAsia="zh-CN"/>
        </w:rPr>
        <w:t>6</w:t>
      </w:r>
      <w:r>
        <w:rPr>
          <w:rFonts w:hint="default"/>
          <w:color w:val="auto"/>
          <w:highlight w:val="none"/>
          <w:lang w:val="en-US" w:eastAsia="zh-CN"/>
        </w:rPr>
        <w:t>万m³，缺水量0万m³，保证灌溉面积3.49万亩，其中：常规灌溉0.22万亩，高效灌溉3.27万亩。</w:t>
      </w:r>
    </w:p>
    <w:p>
      <w:pPr>
        <w:pStyle w:val="35"/>
        <w:rPr>
          <w:rFonts w:hint="default"/>
          <w:b/>
          <w:bCs/>
          <w:color w:val="auto"/>
          <w:lang w:val="en-US" w:eastAsia="zh-CN"/>
        </w:rPr>
      </w:pPr>
      <w:r>
        <w:rPr>
          <w:rFonts w:hint="eastAsia"/>
          <w:b/>
          <w:bCs/>
          <w:color w:val="auto"/>
          <w:lang w:val="en-US" w:eastAsia="zh-CN"/>
        </w:rPr>
        <w:t>2、水文情势影响分析</w:t>
      </w:r>
    </w:p>
    <w:p>
      <w:pPr>
        <w:keepNext w:val="0"/>
        <w:keepLines w:val="0"/>
        <w:pageBreakBefore w:val="0"/>
        <w:widowControl w:val="0"/>
        <w:numPr>
          <w:ilvl w:val="0"/>
          <w:numId w:val="0"/>
        </w:numPr>
        <w:kinsoku/>
        <w:wordWrap/>
        <w:overflowPunct/>
        <w:topLinePunct w:val="0"/>
        <w:autoSpaceDE/>
        <w:autoSpaceDN/>
        <w:bidi w:val="0"/>
        <w:adjustRightInd/>
        <w:snapToGrid w:val="0"/>
        <w:ind w:firstLine="482" w:firstLineChars="200"/>
        <w:textAlignment w:val="auto"/>
        <w:rPr>
          <w:rFonts w:hint="eastAsia"/>
          <w:b/>
          <w:bCs/>
          <w:color w:val="auto"/>
          <w:lang w:val="en-US" w:eastAsia="zh-CN"/>
        </w:rPr>
      </w:pPr>
      <w:r>
        <w:rPr>
          <w:rFonts w:hint="eastAsia"/>
          <w:b/>
          <w:bCs/>
          <w:color w:val="auto"/>
          <w:lang w:val="en-US" w:eastAsia="zh-CN"/>
        </w:rPr>
        <w:t>（1）取水水文情势影响分析</w:t>
      </w:r>
    </w:p>
    <w:p>
      <w:pPr>
        <w:bidi w:val="0"/>
        <w:rPr>
          <w:rFonts w:hint="eastAsia"/>
          <w:color w:val="auto"/>
          <w:lang w:val="en-US" w:eastAsia="zh-CN"/>
        </w:rPr>
      </w:pPr>
      <w:r>
        <w:rPr>
          <w:rFonts w:hint="eastAsia"/>
          <w:color w:val="auto"/>
          <w:lang w:val="en-US" w:eastAsia="zh-CN"/>
        </w:rPr>
        <w:t>《金沙江乌东德水电站水资源综合利用</w:t>
      </w:r>
      <w:r>
        <w:rPr>
          <w:rFonts w:hint="default"/>
          <w:color w:val="auto"/>
          <w:lang w:val="en-US" w:eastAsia="zh-CN"/>
        </w:rPr>
        <w:t>—</w:t>
      </w:r>
      <w:r>
        <w:rPr>
          <w:rFonts w:hint="eastAsia"/>
          <w:color w:val="auto"/>
          <w:lang w:val="en-US" w:eastAsia="zh-CN"/>
        </w:rPr>
        <w:t>元谋县姜驿乡提水工程》在建的</w:t>
      </w:r>
      <w:r>
        <w:rPr>
          <w:rFonts w:hint="default"/>
          <w:color w:val="auto"/>
          <w:lang w:val="en-US" w:eastAsia="zh-CN"/>
        </w:rPr>
        <w:t>2040m³</w:t>
      </w:r>
      <w:r>
        <w:rPr>
          <w:rFonts w:hint="eastAsia"/>
          <w:color w:val="auto"/>
          <w:lang w:val="en-US" w:eastAsia="zh-CN"/>
        </w:rPr>
        <w:t>高位水池为本次水源，本工程在该高位水池旁新建</w:t>
      </w:r>
      <w:r>
        <w:rPr>
          <w:rFonts w:hint="default"/>
          <w:color w:val="auto"/>
          <w:lang w:val="en-US" w:eastAsia="zh-CN"/>
        </w:rPr>
        <w:t>3.9</w:t>
      </w:r>
      <w:r>
        <w:rPr>
          <w:rFonts w:hint="eastAsia"/>
          <w:color w:val="auto"/>
          <w:lang w:val="en-US" w:eastAsia="zh-CN"/>
        </w:rPr>
        <w:t>万</w:t>
      </w:r>
      <w:r>
        <w:rPr>
          <w:rFonts w:hint="default"/>
          <w:color w:val="auto"/>
          <w:lang w:val="en-US" w:eastAsia="zh-CN"/>
        </w:rPr>
        <w:t>m³</w:t>
      </w:r>
      <w:r>
        <w:rPr>
          <w:rFonts w:hint="eastAsia"/>
          <w:color w:val="auto"/>
          <w:lang w:val="en-US" w:eastAsia="zh-CN"/>
        </w:rPr>
        <w:t>管首高位调节水池位取水。</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color w:val="0000FF"/>
          <w:lang w:val="en-US" w:eastAsia="zh-CN"/>
        </w:rPr>
      </w:pPr>
      <w:r>
        <w:rPr>
          <w:rFonts w:hint="default" w:ascii="Times New Roman" w:hAnsi="Times New Roman" w:cs="Times New Roman"/>
          <w:b w:val="0"/>
          <w:bCs w:val="0"/>
          <w:color w:val="0000FF"/>
          <w:sz w:val="24"/>
          <w:szCs w:val="24"/>
          <w:lang w:val="en-US" w:eastAsia="zh-CN"/>
        </w:rPr>
        <w:t>根据金沙江乌东德水电站水资源综合利用—元谋县姜驿乡提水工程水资源论证报告：该项目灌区面积为9.94万亩，其中姜中片区4.4万亩、贡茶片区2.41万亩、金河片区3.13万亩，本项目为该项目中定义的“姜中片区”，预留水量为911.4万m</w:t>
      </w:r>
      <w:r>
        <w:rPr>
          <w:rFonts w:hint="default" w:ascii="Times New Roman" w:hAnsi="Times New Roman" w:cs="Times New Roman"/>
          <w:b w:val="0"/>
          <w:bCs w:val="0"/>
          <w:color w:val="0000FF"/>
          <w:sz w:val="24"/>
          <w:szCs w:val="24"/>
          <w:vertAlign w:val="superscript"/>
          <w:lang w:val="en-US" w:eastAsia="zh-CN"/>
        </w:rPr>
        <w:t>3</w:t>
      </w:r>
      <w:r>
        <w:rPr>
          <w:rFonts w:hint="default" w:ascii="Times New Roman" w:hAnsi="Times New Roman" w:cs="Times New Roman"/>
          <w:b w:val="0"/>
          <w:bCs w:val="0"/>
          <w:color w:val="0000FF"/>
          <w:sz w:val="24"/>
          <w:szCs w:val="24"/>
          <w:lang w:val="en-US" w:eastAsia="zh-CN"/>
        </w:rPr>
        <w:t>（集镇生活用水3.4万m</w:t>
      </w:r>
      <w:r>
        <w:rPr>
          <w:rFonts w:hint="default" w:ascii="Times New Roman" w:hAnsi="Times New Roman" w:cs="Times New Roman"/>
          <w:b w:val="0"/>
          <w:bCs w:val="0"/>
          <w:color w:val="0000FF"/>
          <w:sz w:val="24"/>
          <w:szCs w:val="24"/>
          <w:vertAlign w:val="superscript"/>
          <w:lang w:val="en-US" w:eastAsia="zh-CN"/>
        </w:rPr>
        <w:t>3</w:t>
      </w:r>
      <w:r>
        <w:rPr>
          <w:rFonts w:hint="default" w:ascii="Times New Roman" w:hAnsi="Times New Roman" w:cs="Times New Roman"/>
          <w:b w:val="0"/>
          <w:bCs w:val="0"/>
          <w:color w:val="0000FF"/>
          <w:sz w:val="24"/>
          <w:szCs w:val="24"/>
          <w:lang w:val="en-US" w:eastAsia="zh-CN"/>
        </w:rPr>
        <w:t>，农村生活用水12.5万m</w:t>
      </w:r>
      <w:r>
        <w:rPr>
          <w:rFonts w:hint="default" w:ascii="Times New Roman" w:hAnsi="Times New Roman" w:cs="Times New Roman"/>
          <w:b w:val="0"/>
          <w:bCs w:val="0"/>
          <w:color w:val="0000FF"/>
          <w:sz w:val="24"/>
          <w:szCs w:val="24"/>
          <w:vertAlign w:val="superscript"/>
          <w:lang w:val="en-US" w:eastAsia="zh-CN"/>
        </w:rPr>
        <w:t>3</w:t>
      </w:r>
      <w:r>
        <w:rPr>
          <w:rFonts w:hint="default" w:ascii="Times New Roman" w:hAnsi="Times New Roman" w:cs="Times New Roman"/>
          <w:b w:val="0"/>
          <w:bCs w:val="0"/>
          <w:color w:val="0000FF"/>
          <w:sz w:val="24"/>
          <w:szCs w:val="24"/>
          <w:lang w:val="en-US" w:eastAsia="zh-CN"/>
        </w:rPr>
        <w:t>，高效农灌用水895.5万m</w:t>
      </w:r>
      <w:r>
        <w:rPr>
          <w:rFonts w:hint="default" w:ascii="Times New Roman" w:hAnsi="Times New Roman" w:cs="Times New Roman"/>
          <w:b w:val="0"/>
          <w:bCs w:val="0"/>
          <w:color w:val="0000FF"/>
          <w:sz w:val="24"/>
          <w:szCs w:val="24"/>
          <w:vertAlign w:val="superscript"/>
          <w:lang w:val="en-US" w:eastAsia="zh-CN"/>
        </w:rPr>
        <w:t>3</w:t>
      </w:r>
      <w:r>
        <w:rPr>
          <w:rFonts w:hint="default" w:ascii="Times New Roman" w:hAnsi="Times New Roman" w:cs="Times New Roman"/>
          <w:b w:val="0"/>
          <w:bCs w:val="0"/>
          <w:color w:val="0000FF"/>
          <w:sz w:val="24"/>
          <w:szCs w:val="24"/>
          <w:vertAlign w:val="baseline"/>
          <w:lang w:val="en-US" w:eastAsia="zh-CN"/>
        </w:rPr>
        <w:t>）</w:t>
      </w:r>
      <w:r>
        <w:rPr>
          <w:rFonts w:hint="default" w:ascii="Times New Roman" w:hAnsi="Times New Roman" w:cs="Times New Roman"/>
          <w:b w:val="0"/>
          <w:bCs w:val="0"/>
          <w:color w:val="0000FF"/>
          <w:sz w:val="24"/>
          <w:szCs w:val="24"/>
          <w:lang w:val="en-US" w:eastAsia="zh-CN"/>
        </w:rPr>
        <w:t>。本项目规划实施阶段复核后的灌溉面积为3.49万亩，且片区已有姜驿乡抗旱应急供水工程提供生活用水，无生活用水需求。仅考虑灌溉用水量为</w:t>
      </w:r>
      <w:r>
        <w:rPr>
          <w:rFonts w:hint="default" w:ascii="Times New Roman" w:hAnsi="Times New Roman" w:cs="Times New Roman"/>
          <w:color w:val="0000FF"/>
          <w:sz w:val="24"/>
          <w:szCs w:val="24"/>
          <w:highlight w:val="none"/>
          <w:shd w:val="clear"/>
          <w:lang w:val="en-US" w:eastAsia="zh-CN"/>
        </w:rPr>
        <w:t>760.7万m³，因此小于</w:t>
      </w:r>
      <w:r>
        <w:rPr>
          <w:rFonts w:hint="default" w:ascii="Times New Roman" w:hAnsi="Times New Roman" w:cs="Times New Roman"/>
          <w:b w:val="0"/>
          <w:bCs w:val="0"/>
          <w:color w:val="0000FF"/>
          <w:sz w:val="24"/>
          <w:szCs w:val="24"/>
          <w:lang w:val="en-US" w:eastAsia="zh-CN"/>
        </w:rPr>
        <w:t>金沙江乌东德水电站水资源综合利用—元谋县姜驿乡提水工程预留的水量。</w:t>
      </w:r>
    </w:p>
    <w:p>
      <w:pPr>
        <w:keepNext w:val="0"/>
        <w:keepLines w:val="0"/>
        <w:widowControl/>
        <w:suppressLineNumbers w:val="0"/>
        <w:jc w:val="left"/>
        <w:rPr>
          <w:rFonts w:hint="default"/>
          <w:color w:val="auto"/>
          <w:lang w:val="en-US" w:eastAsia="zh-CN"/>
        </w:rPr>
      </w:pPr>
      <w:r>
        <w:rPr>
          <w:rFonts w:hint="eastAsia" w:ascii="宋体" w:hAnsi="宋体" w:cs="宋体"/>
          <w:color w:val="0000FF"/>
          <w:spacing w:val="1"/>
          <w:sz w:val="24"/>
          <w:szCs w:val="24"/>
          <w:lang w:val="en-US" w:eastAsia="zh-CN"/>
        </w:rPr>
        <w:t>金沙江乌东德水电站水资源综合利用—元谋县姜驿乡提水工程</w:t>
      </w:r>
      <w:r>
        <w:rPr>
          <w:rFonts w:hint="eastAsia" w:ascii="宋体" w:hAnsi="宋体" w:cs="宋体"/>
          <w:color w:val="auto"/>
          <w:spacing w:val="1"/>
          <w:sz w:val="24"/>
          <w:szCs w:val="24"/>
          <w:lang w:val="en-US" w:eastAsia="zh-CN"/>
        </w:rPr>
        <w:t>取水水源为</w:t>
      </w:r>
      <w:r>
        <w:rPr>
          <w:rFonts w:hint="eastAsia"/>
          <w:color w:val="auto"/>
          <w:lang w:val="en-US" w:eastAsia="zh-CN"/>
        </w:rPr>
        <w:t>乌东德水电站，该工程已进行的</w:t>
      </w:r>
      <w:r>
        <w:rPr>
          <w:rFonts w:hint="eastAsia" w:ascii="宋体" w:hAnsi="宋体" w:cs="宋体"/>
          <w:color w:val="auto"/>
          <w:spacing w:val="1"/>
          <w:sz w:val="24"/>
          <w:szCs w:val="24"/>
          <w:lang w:val="en-US" w:eastAsia="zh-CN"/>
        </w:rPr>
        <w:t>环境影响评价结论为：“</w:t>
      </w:r>
      <w:r>
        <w:rPr>
          <w:rFonts w:hint="eastAsia" w:ascii="宋体" w:hAnsi="宋体" w:eastAsia="宋体" w:cs="宋体"/>
          <w:color w:val="auto"/>
          <w:kern w:val="0"/>
          <w:sz w:val="24"/>
          <w:szCs w:val="24"/>
          <w:lang w:val="en-US" w:eastAsia="zh-CN" w:bidi="ar"/>
        </w:rPr>
        <w:t>取水金沙江乌东德库区多年平均径流量为</w:t>
      </w:r>
      <w:r>
        <w:rPr>
          <w:rFonts w:hint="default" w:ascii="Times New Roman" w:hAnsi="Times New Roman" w:eastAsia="宋体" w:cs="Times New Roman"/>
          <w:color w:val="0000FF"/>
          <w:kern w:val="0"/>
          <w:sz w:val="24"/>
          <w:szCs w:val="24"/>
          <w:lang w:val="en-US" w:eastAsia="zh-CN" w:bidi="ar"/>
        </w:rPr>
        <w:t>1210</w:t>
      </w:r>
      <w:r>
        <w:rPr>
          <w:rFonts w:hint="eastAsia" w:ascii="宋体" w:hAnsi="宋体" w:cs="宋体"/>
          <w:color w:val="0000FF"/>
          <w:kern w:val="0"/>
          <w:sz w:val="24"/>
          <w:szCs w:val="24"/>
          <w:lang w:val="en-US" w:eastAsia="zh-CN" w:bidi="ar"/>
        </w:rPr>
        <w:t>亿</w:t>
      </w:r>
      <w:r>
        <w:rPr>
          <w:rFonts w:hint="default" w:ascii="Times New Roman" w:hAnsi="Times New Roman" w:eastAsia="宋体" w:cs="Times New Roman"/>
          <w:color w:val="0000FF"/>
          <w:kern w:val="0"/>
          <w:sz w:val="24"/>
          <w:szCs w:val="24"/>
          <w:lang w:val="en-US" w:eastAsia="zh-CN" w:bidi="ar"/>
        </w:rPr>
        <w:t>m³</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1902.587m³/s</w:t>
      </w:r>
      <w:r>
        <w:rPr>
          <w:rFonts w:hint="eastAsia" w:ascii="宋体" w:hAnsi="宋体" w:eastAsia="宋体" w:cs="宋体"/>
          <w:color w:val="auto"/>
          <w:kern w:val="0"/>
          <w:sz w:val="24"/>
          <w:szCs w:val="24"/>
          <w:lang w:val="en-US" w:eastAsia="zh-CN" w:bidi="ar"/>
        </w:rPr>
        <w:t>。项目年取水</w:t>
      </w:r>
      <w:r>
        <w:rPr>
          <w:rFonts w:hint="default" w:ascii="Times New Roman" w:hAnsi="Times New Roman" w:eastAsia="宋体" w:cs="Times New Roman"/>
          <w:color w:val="auto"/>
          <w:kern w:val="0"/>
          <w:sz w:val="24"/>
          <w:szCs w:val="24"/>
          <w:lang w:val="en-US" w:eastAsia="zh-CN" w:bidi="ar"/>
        </w:rPr>
        <w:t>1984.6</w:t>
      </w:r>
      <w:r>
        <w:rPr>
          <w:rFonts w:hint="eastAsia" w:ascii="宋体" w:hAnsi="宋体" w:eastAsia="宋体" w:cs="宋体"/>
          <w:color w:val="auto"/>
          <w:kern w:val="0"/>
          <w:sz w:val="24"/>
          <w:szCs w:val="24"/>
          <w:lang w:val="en-US" w:eastAsia="zh-CN" w:bidi="ar"/>
        </w:rPr>
        <w:t>万</w:t>
      </w:r>
      <w:r>
        <w:rPr>
          <w:rFonts w:hint="default" w:ascii="Times New Roman" w:hAnsi="Times New Roman" w:eastAsia="宋体" w:cs="Times New Roman"/>
          <w:color w:val="auto"/>
          <w:kern w:val="0"/>
          <w:sz w:val="24"/>
          <w:szCs w:val="24"/>
          <w:lang w:val="en-US" w:eastAsia="zh-CN" w:bidi="ar"/>
        </w:rPr>
        <w:t>m³</w:t>
      </w:r>
      <w:r>
        <w:rPr>
          <w:rFonts w:hint="eastAsia" w:ascii="宋体" w:hAnsi="宋体" w:eastAsia="宋体" w:cs="宋体"/>
          <w:color w:val="auto"/>
          <w:kern w:val="0"/>
          <w:sz w:val="24"/>
          <w:szCs w:val="24"/>
          <w:lang w:val="en-US" w:eastAsia="zh-CN" w:bidi="ar"/>
        </w:rPr>
        <w:t>，仅占取水金沙江乌东德库区流量的</w:t>
      </w:r>
      <w:r>
        <w:rPr>
          <w:rFonts w:hint="default" w:ascii="Times New Roman" w:hAnsi="Times New Roman" w:eastAsia="宋体" w:cs="Times New Roman"/>
          <w:color w:val="auto"/>
          <w:kern w:val="0"/>
          <w:sz w:val="24"/>
          <w:szCs w:val="24"/>
          <w:lang w:val="en-US" w:eastAsia="zh-CN" w:bidi="ar"/>
        </w:rPr>
        <w:t>0.016%</w:t>
      </w:r>
      <w:r>
        <w:rPr>
          <w:rFonts w:hint="eastAsia" w:ascii="宋体" w:hAnsi="宋体" w:eastAsia="宋体" w:cs="宋体"/>
          <w:color w:val="auto"/>
          <w:kern w:val="0"/>
          <w:sz w:val="24"/>
          <w:szCs w:val="24"/>
          <w:lang w:val="en-US" w:eastAsia="zh-CN" w:bidi="ar"/>
        </w:rPr>
        <w:t>。取水流量较小，对下游河段水文情势影响很小。综上所述，本工程引水对乌东德库区及坝后金沙江河段水文情势的影响很小</w:t>
      </w:r>
      <w:r>
        <w:rPr>
          <w:rFonts w:hint="eastAsia" w:ascii="宋体" w:hAnsi="宋体" w:cs="宋体"/>
          <w:color w:val="auto"/>
          <w:spacing w:val="1"/>
          <w:sz w:val="24"/>
          <w:szCs w:val="24"/>
          <w:lang w:val="en-US" w:eastAsia="zh-CN"/>
        </w:rPr>
        <w:t>”。</w:t>
      </w:r>
    </w:p>
    <w:p>
      <w:pPr>
        <w:keepNext w:val="0"/>
        <w:keepLines w:val="0"/>
        <w:pageBreakBefore w:val="0"/>
        <w:widowControl w:val="0"/>
        <w:kinsoku/>
        <w:wordWrap/>
        <w:overflowPunct/>
        <w:topLinePunct w:val="0"/>
        <w:autoSpaceDE/>
        <w:autoSpaceDN/>
        <w:bidi w:val="0"/>
        <w:adjustRightInd/>
        <w:snapToGrid w:val="0"/>
        <w:ind w:left="0" w:leftChars="0" w:firstLine="480" w:firstLineChars="200"/>
        <w:textAlignment w:val="auto"/>
        <w:rPr>
          <w:rFonts w:hint="default"/>
          <w:color w:val="0000FF"/>
          <w:lang w:val="en-US" w:eastAsia="zh-CN"/>
        </w:rPr>
      </w:pPr>
      <w:r>
        <w:rPr>
          <w:rFonts w:hint="eastAsia"/>
          <w:color w:val="0000FF"/>
          <w:lang w:val="en-US" w:eastAsia="zh-CN"/>
        </w:rPr>
        <w:t>本工程建成后仅从该工程高位水池取水，设计（取水）供水量</w:t>
      </w:r>
      <w:r>
        <w:rPr>
          <w:rFonts w:hint="eastAsia"/>
          <w:color w:val="0000FF"/>
          <w:highlight w:val="none"/>
          <w:lang w:val="en-US" w:eastAsia="zh-CN"/>
        </w:rPr>
        <w:t>为760.7万m</w:t>
      </w:r>
      <w:r>
        <w:rPr>
          <w:rFonts w:hint="eastAsia"/>
          <w:color w:val="0000FF"/>
          <w:highlight w:val="none"/>
          <w:vertAlign w:val="superscript"/>
          <w:lang w:val="en-US" w:eastAsia="zh-CN"/>
        </w:rPr>
        <w:t>3</w:t>
      </w:r>
      <w:r>
        <w:rPr>
          <w:rFonts w:hint="eastAsia"/>
          <w:color w:val="0000FF"/>
          <w:highlight w:val="none"/>
          <w:vertAlign w:val="baseline"/>
          <w:lang w:val="en-US" w:eastAsia="zh-CN"/>
        </w:rPr>
        <w:t>，未突破金沙江乌东德水电站水资源综合利用—元谋县姜驿乡提水工程已批复水量，</w:t>
      </w:r>
      <w:r>
        <w:rPr>
          <w:rFonts w:hint="eastAsia" w:ascii="宋体" w:hAnsi="宋体" w:cs="宋体"/>
          <w:color w:val="0000FF"/>
          <w:spacing w:val="1"/>
          <w:sz w:val="24"/>
          <w:szCs w:val="24"/>
          <w:lang w:val="en-US" w:eastAsia="zh-CN"/>
        </w:rPr>
        <w:t>已考虑在该工程工程水文情势影响内，本工程不再评价。</w:t>
      </w:r>
    </w:p>
    <w:p>
      <w:pPr>
        <w:pStyle w:val="35"/>
        <w:numPr>
          <w:ilvl w:val="0"/>
          <w:numId w:val="0"/>
        </w:numPr>
        <w:ind w:leftChars="200"/>
        <w:rPr>
          <w:rFonts w:hint="eastAsia"/>
          <w:color w:val="0000FF"/>
          <w:lang w:val="en-US" w:eastAsia="zh-CN"/>
        </w:rPr>
      </w:pPr>
      <w:r>
        <w:rPr>
          <w:rFonts w:hint="eastAsia"/>
          <w:b/>
          <w:bCs/>
          <w:color w:val="0000FF"/>
          <w:lang w:val="en-US" w:eastAsia="zh-CN"/>
        </w:rPr>
        <w:t>（2）受水区水文情势影响分析</w:t>
      </w:r>
    </w:p>
    <w:p>
      <w:pPr>
        <w:bidi w:val="0"/>
        <w:ind w:firstLine="480" w:firstLineChars="200"/>
        <w:rPr>
          <w:rFonts w:hint="default" w:ascii="Times New Roman" w:hAnsi="Times New Roman" w:cs="Times New Roman"/>
          <w:color w:val="0000FF"/>
          <w:highlight w:val="none"/>
          <w:lang w:val="en-US" w:eastAsia="zh-CN"/>
        </w:rPr>
      </w:pPr>
      <w:r>
        <w:rPr>
          <w:rFonts w:hint="default"/>
          <w:color w:val="0000FF"/>
          <w:highlight w:val="none"/>
        </w:rPr>
        <w:t>工程实施后对受水区水文情势的影响主要是受水区内充蓄水库水文情势变化。</w:t>
      </w:r>
      <w:r>
        <w:rPr>
          <w:rFonts w:hint="eastAsia"/>
          <w:color w:val="0000FF"/>
          <w:highlight w:val="none"/>
          <w:lang w:val="en-US" w:eastAsia="zh-CN"/>
        </w:rPr>
        <w:t>本工程建成后一部分通过受水区水库供水，一部分直接供水，受水区水库</w:t>
      </w:r>
      <w:r>
        <w:rPr>
          <w:rFonts w:hint="eastAsia" w:cs="Times New Roman"/>
          <w:color w:val="0000FF"/>
          <w:highlight w:val="none"/>
          <w:lang w:val="en-US" w:eastAsia="zh-CN"/>
        </w:rPr>
        <w:t>分别为界牌箐水库、水平石水库以及预留分水口的姜中水库、</w:t>
      </w:r>
      <w:r>
        <w:rPr>
          <w:rFonts w:hint="eastAsia" w:cs="Times New Roman"/>
          <w:color w:val="0000FF"/>
          <w:highlight w:val="none"/>
          <w:shd w:val="clear"/>
          <w:lang w:val="en-US" w:eastAsia="zh-CN"/>
        </w:rPr>
        <w:t>李官坟水库</w:t>
      </w:r>
      <w:r>
        <w:rPr>
          <w:rFonts w:hint="default" w:ascii="Times New Roman" w:hAnsi="Times New Roman" w:cs="Times New Roman"/>
          <w:color w:val="0000FF"/>
          <w:highlight w:val="none"/>
          <w:lang w:val="en-US" w:eastAsia="zh-CN"/>
        </w:rPr>
        <w:t>。</w:t>
      </w:r>
    </w:p>
    <w:p>
      <w:pPr>
        <w:keepNext w:val="0"/>
        <w:keepLines w:val="0"/>
        <w:widowControl/>
        <w:suppressLineNumbers w:val="0"/>
        <w:jc w:val="left"/>
        <w:rPr>
          <w:rFonts w:hint="default" w:ascii="Times New Roman" w:hAnsi="Times New Roman" w:cs="Times New Roman"/>
          <w:b/>
          <w:bCs/>
          <w:color w:val="0000FF"/>
        </w:rPr>
      </w:pPr>
      <w:r>
        <w:rPr>
          <w:rFonts w:hint="default" w:ascii="Times New Roman" w:hAnsi="Times New Roman" w:cs="Times New Roman"/>
          <w:b/>
          <w:bCs/>
          <w:color w:val="0000FF"/>
          <w:kern w:val="0"/>
          <w:sz w:val="24"/>
          <w:szCs w:val="24"/>
          <w:lang w:val="en-US" w:eastAsia="zh-CN" w:bidi="ar"/>
        </w:rPr>
        <w:t>①</w:t>
      </w:r>
      <w:r>
        <w:rPr>
          <w:rFonts w:hint="eastAsia" w:cs="Times New Roman"/>
          <w:b/>
          <w:bCs/>
          <w:color w:val="0000FF"/>
          <w:kern w:val="0"/>
          <w:sz w:val="24"/>
          <w:szCs w:val="24"/>
          <w:lang w:val="en-US" w:eastAsia="zh-CN" w:bidi="ar"/>
        </w:rPr>
        <w:t>水量</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根据工程总体布置，本工程从金沙江乌东德水电站水资源综合利用—元谋县姜驿乡提水工程在建的2040m³高位水池</w:t>
      </w:r>
      <w:r>
        <w:rPr>
          <w:rFonts w:hint="default" w:ascii="Times New Roman" w:hAnsi="Times New Roman" w:cs="Times New Roman"/>
          <w:color w:val="auto"/>
          <w:kern w:val="0"/>
          <w:sz w:val="24"/>
          <w:szCs w:val="24"/>
          <w:lang w:val="en-US" w:eastAsia="zh-CN" w:bidi="ar"/>
        </w:rPr>
        <w:t>取水。北干管向北输水至平坦提水泵站、白秧树泵站，经平坦泵站提水管线、白秧树泵站1#提水管线、白秧树泵站2#提水管线输水。平坦泵站预留姜中水库、李官坟水库分水口，白秧树泵站1#提水管线输水至界牌箐水库，白秧树泵站2#提水管线输水至水平石水库；北干管向西南分为金马干管、金马1#、2#、3#、4#支管输水。</w:t>
      </w:r>
    </w:p>
    <w:p>
      <w:pPr>
        <w:keepNext w:val="0"/>
        <w:keepLines w:val="0"/>
        <w:pageBreakBefore w:val="0"/>
        <w:widowControl/>
        <w:suppressLineNumbers w:val="0"/>
        <w:kinsoku/>
        <w:wordWrap/>
        <w:overflowPunct/>
        <w:topLinePunct w:val="0"/>
        <w:autoSpaceDE/>
        <w:autoSpaceDN/>
        <w:bidi w:val="0"/>
        <w:adjustRightInd/>
        <w:snapToGrid w:val="0"/>
        <w:ind w:left="0" w:leftChars="0"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本工程</w:t>
      </w:r>
      <w:r>
        <w:rPr>
          <w:rFonts w:hint="default" w:ascii="Times New Roman" w:hAnsi="Times New Roman" w:cs="Times New Roman"/>
          <w:color w:val="auto"/>
          <w:kern w:val="0"/>
          <w:sz w:val="24"/>
          <w:szCs w:val="24"/>
          <w:lang w:val="en-US" w:eastAsia="zh-CN" w:bidi="ar"/>
        </w:rPr>
        <w:t>输水</w:t>
      </w:r>
      <w:r>
        <w:rPr>
          <w:rFonts w:hint="default" w:ascii="Times New Roman" w:hAnsi="Times New Roman" w:eastAsia="宋体" w:cs="Times New Roman"/>
          <w:color w:val="auto"/>
          <w:kern w:val="0"/>
          <w:sz w:val="24"/>
          <w:szCs w:val="24"/>
          <w:lang w:val="en-US" w:eastAsia="zh-CN" w:bidi="ar"/>
        </w:rPr>
        <w:t>的方式</w:t>
      </w:r>
      <w:r>
        <w:rPr>
          <w:rFonts w:hint="default" w:ascii="Times New Roman" w:hAnsi="Times New Roman" w:cs="Times New Roman"/>
          <w:color w:val="auto"/>
          <w:kern w:val="0"/>
          <w:sz w:val="24"/>
          <w:szCs w:val="24"/>
          <w:lang w:val="en-US" w:eastAsia="zh-CN" w:bidi="ar"/>
        </w:rPr>
        <w:t>及运行调度情况见表2.3.4-1；受水区水库水量分配情况见表5.2-1。</w:t>
      </w:r>
    </w:p>
    <w:p>
      <w:pPr>
        <w:pStyle w:val="35"/>
        <w:rPr>
          <w:rFonts w:hint="default"/>
          <w:color w:val="auto"/>
          <w:lang w:val="en-US" w:eastAsia="zh-CN"/>
        </w:rPr>
        <w:sectPr>
          <w:pgSz w:w="11906" w:h="16838"/>
          <w:pgMar w:top="1440" w:right="1800" w:bottom="1440" w:left="1800" w:header="851" w:footer="992" w:gutter="0"/>
          <w:pgNumType w:fmt="decimal"/>
          <w:cols w:space="425" w:num="1"/>
          <w:docGrid w:type="lines" w:linePitch="312" w:charSpace="0"/>
        </w:sectPr>
      </w:pPr>
    </w:p>
    <w:p>
      <w:pPr>
        <w:bidi w:val="0"/>
        <w:spacing w:line="240" w:lineRule="auto"/>
        <w:ind w:firstLine="482" w:firstLineChars="200"/>
        <w:jc w:val="center"/>
        <w:rPr>
          <w:rFonts w:hint="eastAsia"/>
          <w:color w:val="auto"/>
          <w:sz w:val="24"/>
          <w:szCs w:val="24"/>
          <w:vertAlign w:val="baseline"/>
          <w:lang w:val="en-US" w:eastAsia="zh-CN"/>
        </w:rPr>
      </w:pPr>
      <w:r>
        <w:rPr>
          <w:rFonts w:hint="eastAsia"/>
          <w:b/>
          <w:bCs/>
          <w:color w:val="auto"/>
          <w:sz w:val="24"/>
          <w:szCs w:val="24"/>
          <w:highlight w:val="none"/>
          <w:lang w:val="en-US" w:eastAsia="zh-CN"/>
        </w:rPr>
        <w:t>表5.2.2-1   本工程受水区水量平衡表    单位：万</w:t>
      </w:r>
      <w:r>
        <w:rPr>
          <w:rFonts w:hint="eastAsia"/>
          <w:color w:val="auto"/>
          <w:sz w:val="24"/>
          <w:szCs w:val="24"/>
          <w:vertAlign w:val="baseline"/>
          <w:lang w:val="en-US" w:eastAsia="zh-CN"/>
        </w:rPr>
        <w:t>m³</w:t>
      </w:r>
    </w:p>
    <w:tbl>
      <w:tblPr>
        <w:tblStyle w:val="29"/>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73"/>
        <w:gridCol w:w="1576"/>
        <w:gridCol w:w="1573"/>
        <w:gridCol w:w="1573"/>
        <w:gridCol w:w="1576"/>
        <w:gridCol w:w="1573"/>
        <w:gridCol w:w="1573"/>
        <w:gridCol w:w="1574"/>
        <w:gridCol w:w="157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555"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名称</w:t>
            </w:r>
          </w:p>
        </w:tc>
        <w:tc>
          <w:tcPr>
            <w:tcW w:w="555"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规模</w:t>
            </w:r>
          </w:p>
        </w:tc>
        <w:tc>
          <w:tcPr>
            <w:tcW w:w="555"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总库容</w:t>
            </w:r>
          </w:p>
        </w:tc>
        <w:tc>
          <w:tcPr>
            <w:tcW w:w="555"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兴利库容</w:t>
            </w:r>
          </w:p>
        </w:tc>
        <w:tc>
          <w:tcPr>
            <w:tcW w:w="555"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现状供水量</w:t>
            </w:r>
          </w:p>
        </w:tc>
        <w:tc>
          <w:tcPr>
            <w:tcW w:w="555"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本工程补水量</w:t>
            </w:r>
          </w:p>
        </w:tc>
        <w:tc>
          <w:tcPr>
            <w:tcW w:w="555"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补水后供水量</w:t>
            </w:r>
          </w:p>
        </w:tc>
        <w:tc>
          <w:tcPr>
            <w:tcW w:w="555"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增加供水量</w:t>
            </w:r>
          </w:p>
        </w:tc>
        <w:tc>
          <w:tcPr>
            <w:tcW w:w="555"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界牌箐水库</w:t>
            </w:r>
          </w:p>
        </w:tc>
        <w:tc>
          <w:tcPr>
            <w:tcW w:w="555" w:type="pct"/>
            <w:vMerge w:val="restar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小（</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）型</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10.1</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3.3</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2.1</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4.1</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白秧树泵站</w:t>
            </w:r>
            <w:r>
              <w:rPr>
                <w:rFonts w:hint="default" w:ascii="Times New Roman" w:hAnsi="Times New Roman" w:eastAsia="宋体" w:cs="Times New Roman"/>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提水管线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水平石水库</w:t>
            </w:r>
          </w:p>
        </w:tc>
        <w:tc>
          <w:tcPr>
            <w:tcW w:w="555" w:type="pct"/>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00"/>
                <w:sz w:val="21"/>
                <w:szCs w:val="21"/>
                <w:u w:val="none"/>
              </w:rPr>
            </w:pP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31.5</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22.2</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15.6</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10.2</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25.8</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10.2</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白秧树泵站</w:t>
            </w:r>
            <w:r>
              <w:rPr>
                <w:rFonts w:hint="default" w:ascii="Times New Roman" w:hAnsi="Times New Roman" w:eastAsia="宋体" w:cs="Times New Roman"/>
                <w:i w:val="0"/>
                <w:iCs w:val="0"/>
                <w:color w:val="000000"/>
                <w:kern w:val="0"/>
                <w:sz w:val="21"/>
                <w:szCs w:val="21"/>
                <w:u w:val="none"/>
                <w:lang w:val="en-US" w:eastAsia="zh-CN" w:bidi="ar"/>
              </w:rPr>
              <w:t>2#</w:t>
            </w:r>
            <w:r>
              <w:rPr>
                <w:rFonts w:hint="eastAsia" w:ascii="宋体" w:hAnsi="宋体" w:eastAsia="宋体" w:cs="宋体"/>
                <w:i w:val="0"/>
                <w:iCs w:val="0"/>
                <w:color w:val="000000"/>
                <w:kern w:val="0"/>
                <w:sz w:val="21"/>
                <w:szCs w:val="21"/>
                <w:u w:val="none"/>
                <w:lang w:val="en-US" w:eastAsia="zh-CN" w:bidi="ar"/>
              </w:rPr>
              <w:t>提水管线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姜中水库</w:t>
            </w:r>
          </w:p>
        </w:tc>
        <w:tc>
          <w:tcPr>
            <w:tcW w:w="555" w:type="pct"/>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00"/>
                <w:sz w:val="21"/>
                <w:szCs w:val="21"/>
                <w:u w:val="none"/>
              </w:rPr>
            </w:pP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11.3</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8.2</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7.5</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4.1</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11.6</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4.1</w:t>
            </w:r>
          </w:p>
        </w:tc>
        <w:tc>
          <w:tcPr>
            <w:tcW w:w="555" w:type="pct"/>
            <w:vMerge w:val="restar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通过闸阀预留分水口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李官坟水库</w:t>
            </w:r>
          </w:p>
        </w:tc>
        <w:tc>
          <w:tcPr>
            <w:tcW w:w="555" w:type="pct"/>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00"/>
                <w:sz w:val="21"/>
                <w:szCs w:val="21"/>
                <w:u w:val="none"/>
              </w:rPr>
            </w:pP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11.3</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3.8</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4.4</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555" w:type="pct"/>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111" w:type="pct"/>
            <w:gridSpan w:val="2"/>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小计</w:t>
            </w:r>
          </w:p>
        </w:tc>
        <w:tc>
          <w:tcPr>
            <w:tcW w:w="1573"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64.2</w:t>
            </w:r>
          </w:p>
        </w:tc>
        <w:tc>
          <w:tcPr>
            <w:tcW w:w="1573"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37.5</w:t>
            </w:r>
          </w:p>
        </w:tc>
        <w:tc>
          <w:tcPr>
            <w:tcW w:w="1576"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26.6</w:t>
            </w:r>
          </w:p>
        </w:tc>
        <w:tc>
          <w:tcPr>
            <w:tcW w:w="1573"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19.3</w:t>
            </w:r>
          </w:p>
        </w:tc>
        <w:tc>
          <w:tcPr>
            <w:tcW w:w="1573"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45.9</w:t>
            </w:r>
          </w:p>
        </w:tc>
        <w:tc>
          <w:tcPr>
            <w:tcW w:w="1574"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19.3</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2777" w:type="pct"/>
            <w:gridSpan w:val="5"/>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本工程新增</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741.4</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741.4</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管道直供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2777" w:type="pct"/>
            <w:gridSpan w:val="5"/>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合计供水量</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b/>
                <w:bCs/>
                <w:i w:val="0"/>
                <w:iCs w:val="0"/>
                <w:color w:val="000000"/>
                <w:sz w:val="21"/>
                <w:szCs w:val="21"/>
                <w:u w:val="none"/>
              </w:rPr>
            </w:pPr>
            <w:r>
              <w:rPr>
                <w:rFonts w:hint="default" w:ascii="Times New Roman" w:hAnsi="Times New Roman" w:eastAsia="宋体" w:cs="Times New Roman"/>
                <w:b/>
                <w:bCs/>
                <w:i w:val="0"/>
                <w:iCs w:val="0"/>
                <w:color w:val="000000"/>
                <w:kern w:val="0"/>
                <w:sz w:val="21"/>
                <w:szCs w:val="21"/>
                <w:u w:val="none"/>
                <w:lang w:val="en-US" w:eastAsia="zh-CN" w:bidi="ar"/>
              </w:rPr>
              <w:t>760.7</w:t>
            </w: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555"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b/>
                <w:bCs/>
                <w:i w:val="0"/>
                <w:iCs w:val="0"/>
                <w:color w:val="000000"/>
                <w:sz w:val="21"/>
                <w:szCs w:val="21"/>
                <w:u w:val="none"/>
              </w:rPr>
            </w:pPr>
          </w:p>
        </w:tc>
        <w:tc>
          <w:tcPr>
            <w:tcW w:w="555" w:type="pct"/>
            <w:tcBorders>
              <w:top w:val="nil"/>
              <w:left w:val="single" w:color="000000" w:sz="8" w:space="0"/>
              <w:bottom w:val="single" w:color="000000" w:sz="8" w:space="0"/>
              <w:right w:val="single" w:color="000000" w:sz="8"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rPr>
                <w:rFonts w:hint="eastAsia" w:ascii="宋体" w:hAnsi="宋体" w:eastAsia="宋体" w:cs="宋体"/>
                <w:i w:val="0"/>
                <w:iCs w:val="0"/>
                <w:color w:val="000000"/>
                <w:sz w:val="22"/>
                <w:szCs w:val="22"/>
                <w:u w:val="none"/>
              </w:rPr>
            </w:pPr>
          </w:p>
        </w:tc>
      </w:tr>
    </w:tbl>
    <w:p>
      <w:pPr>
        <w:bidi w:val="0"/>
        <w:spacing w:line="240" w:lineRule="auto"/>
        <w:ind w:firstLine="482" w:firstLineChars="200"/>
        <w:jc w:val="center"/>
        <w:rPr>
          <w:rFonts w:hint="default" w:eastAsia="宋体"/>
          <w:b/>
          <w:bCs/>
          <w:color w:val="auto"/>
          <w:sz w:val="24"/>
          <w:szCs w:val="24"/>
          <w:highlight w:val="none"/>
          <w:lang w:val="en-US" w:eastAsia="zh-CN"/>
        </w:rPr>
      </w:pPr>
    </w:p>
    <w:p>
      <w:pPr>
        <w:keepNext w:val="0"/>
        <w:keepLines w:val="0"/>
        <w:widowControl/>
        <w:suppressLineNumbers w:val="0"/>
        <w:shd w:val="clear"/>
        <w:jc w:val="left"/>
        <w:rPr>
          <w:rFonts w:hint="eastAsia" w:cs="Times New Roman"/>
          <w:color w:val="0000FF"/>
          <w:kern w:val="0"/>
          <w:sz w:val="24"/>
          <w:szCs w:val="24"/>
          <w:highlight w:val="none"/>
          <w:lang w:val="en-US" w:eastAsia="zh-CN" w:bidi="ar"/>
        </w:rPr>
      </w:pPr>
    </w:p>
    <w:p>
      <w:pPr>
        <w:keepNext w:val="0"/>
        <w:keepLines w:val="0"/>
        <w:widowControl/>
        <w:suppressLineNumbers w:val="0"/>
        <w:shd w:val="clear"/>
        <w:jc w:val="left"/>
        <w:rPr>
          <w:rFonts w:hint="eastAsia" w:cs="Times New Roman"/>
          <w:color w:val="0000FF"/>
          <w:kern w:val="0"/>
          <w:sz w:val="24"/>
          <w:szCs w:val="24"/>
          <w:highlight w:val="none"/>
          <w:lang w:val="en-US" w:eastAsia="zh-CN" w:bidi="ar"/>
        </w:rPr>
      </w:pPr>
    </w:p>
    <w:p>
      <w:pPr>
        <w:keepNext w:val="0"/>
        <w:keepLines w:val="0"/>
        <w:widowControl/>
        <w:suppressLineNumbers w:val="0"/>
        <w:shd w:val="clear"/>
        <w:jc w:val="left"/>
        <w:rPr>
          <w:rFonts w:hint="eastAsia" w:cs="Times New Roman"/>
          <w:color w:val="0000FF"/>
          <w:kern w:val="0"/>
          <w:sz w:val="24"/>
          <w:szCs w:val="24"/>
          <w:highlight w:val="none"/>
          <w:lang w:val="en-US" w:eastAsia="zh-CN" w:bidi="ar"/>
        </w:rPr>
      </w:pPr>
    </w:p>
    <w:p>
      <w:pPr>
        <w:keepNext w:val="0"/>
        <w:keepLines w:val="0"/>
        <w:widowControl/>
        <w:suppressLineNumbers w:val="0"/>
        <w:shd w:val="clear"/>
        <w:jc w:val="left"/>
        <w:rPr>
          <w:rFonts w:hint="eastAsia" w:cs="Times New Roman"/>
          <w:color w:val="0000FF"/>
          <w:kern w:val="0"/>
          <w:sz w:val="24"/>
          <w:szCs w:val="24"/>
          <w:highlight w:val="none"/>
          <w:lang w:val="en-US" w:eastAsia="zh-CN" w:bidi="ar"/>
        </w:rPr>
      </w:pPr>
    </w:p>
    <w:p>
      <w:pPr>
        <w:keepNext w:val="0"/>
        <w:keepLines w:val="0"/>
        <w:widowControl/>
        <w:suppressLineNumbers w:val="0"/>
        <w:shd w:val="clear"/>
        <w:jc w:val="left"/>
        <w:rPr>
          <w:rFonts w:hint="eastAsia" w:cs="Times New Roman"/>
          <w:color w:val="0000FF"/>
          <w:kern w:val="0"/>
          <w:sz w:val="24"/>
          <w:szCs w:val="24"/>
          <w:highlight w:val="none"/>
          <w:lang w:val="en-US" w:eastAsia="zh-CN" w:bidi="ar"/>
        </w:rPr>
      </w:pPr>
    </w:p>
    <w:p>
      <w:pPr>
        <w:keepNext w:val="0"/>
        <w:keepLines w:val="0"/>
        <w:widowControl/>
        <w:suppressLineNumbers w:val="0"/>
        <w:shd w:val="clear"/>
        <w:jc w:val="left"/>
        <w:rPr>
          <w:rFonts w:hint="eastAsia" w:cs="Times New Roman"/>
          <w:color w:val="0000FF"/>
          <w:kern w:val="0"/>
          <w:sz w:val="24"/>
          <w:szCs w:val="24"/>
          <w:highlight w:val="none"/>
          <w:lang w:val="en-US" w:eastAsia="zh-CN" w:bidi="ar"/>
        </w:rPr>
      </w:pPr>
    </w:p>
    <w:p>
      <w:pPr>
        <w:keepNext w:val="0"/>
        <w:keepLines w:val="0"/>
        <w:widowControl/>
        <w:suppressLineNumbers w:val="0"/>
        <w:shd w:val="clear"/>
        <w:jc w:val="left"/>
        <w:rPr>
          <w:rFonts w:hint="eastAsia" w:cs="Times New Roman"/>
          <w:color w:val="0000FF"/>
          <w:kern w:val="0"/>
          <w:sz w:val="24"/>
          <w:szCs w:val="24"/>
          <w:highlight w:val="none"/>
          <w:lang w:val="en-US" w:eastAsia="zh-CN" w:bidi="ar"/>
        </w:rPr>
      </w:pPr>
    </w:p>
    <w:p>
      <w:pPr>
        <w:keepNext w:val="0"/>
        <w:keepLines w:val="0"/>
        <w:widowControl/>
        <w:suppressLineNumbers w:val="0"/>
        <w:shd w:val="clear"/>
        <w:jc w:val="left"/>
        <w:rPr>
          <w:rFonts w:hint="eastAsia" w:cs="Times New Roman"/>
          <w:color w:val="0000FF"/>
          <w:kern w:val="0"/>
          <w:sz w:val="24"/>
          <w:szCs w:val="24"/>
          <w:highlight w:val="none"/>
          <w:lang w:val="en-US" w:eastAsia="zh-CN" w:bidi="ar"/>
        </w:rPr>
      </w:pPr>
    </w:p>
    <w:p>
      <w:pPr>
        <w:keepNext w:val="0"/>
        <w:keepLines w:val="0"/>
        <w:widowControl/>
        <w:suppressLineNumbers w:val="0"/>
        <w:shd w:val="clear"/>
        <w:jc w:val="left"/>
        <w:rPr>
          <w:rFonts w:hint="eastAsia" w:cs="Times New Roman"/>
          <w:color w:val="0000FF"/>
          <w:kern w:val="0"/>
          <w:sz w:val="24"/>
          <w:szCs w:val="24"/>
          <w:highlight w:val="none"/>
          <w:lang w:val="en-US" w:eastAsia="zh-CN" w:bidi="ar"/>
        </w:rPr>
      </w:pPr>
    </w:p>
    <w:p>
      <w:pPr>
        <w:keepNext w:val="0"/>
        <w:keepLines w:val="0"/>
        <w:widowControl/>
        <w:suppressLineNumbers w:val="0"/>
        <w:shd w:val="clear"/>
        <w:jc w:val="left"/>
        <w:rPr>
          <w:rFonts w:hint="eastAsia" w:cs="Times New Roman"/>
          <w:color w:val="0000FF"/>
          <w:kern w:val="0"/>
          <w:sz w:val="24"/>
          <w:szCs w:val="24"/>
          <w:highlight w:val="none"/>
          <w:lang w:val="en-US" w:eastAsia="zh-CN" w:bidi="ar"/>
        </w:rPr>
      </w:pPr>
    </w:p>
    <w:p>
      <w:pPr>
        <w:keepNext w:val="0"/>
        <w:keepLines w:val="0"/>
        <w:widowControl/>
        <w:suppressLineNumbers w:val="0"/>
        <w:shd w:val="clear"/>
        <w:jc w:val="left"/>
        <w:rPr>
          <w:rFonts w:hint="default" w:ascii="Times New Roman" w:hAnsi="Times New Roman" w:cs="Times New Roman"/>
          <w:color w:val="0000FF"/>
          <w:highlight w:val="none"/>
        </w:rPr>
      </w:pPr>
      <w:r>
        <w:rPr>
          <w:rFonts w:hint="eastAsia" w:cs="Times New Roman"/>
          <w:color w:val="0000FF"/>
          <w:kern w:val="0"/>
          <w:sz w:val="24"/>
          <w:szCs w:val="24"/>
          <w:highlight w:val="none"/>
          <w:lang w:val="en-US" w:eastAsia="zh-CN" w:bidi="ar"/>
        </w:rPr>
        <w:t>90％、75％保证率下，</w:t>
      </w:r>
      <w:r>
        <w:rPr>
          <w:rFonts w:hint="default" w:ascii="Times New Roman" w:hAnsi="Times New Roman" w:eastAsia="宋体" w:cs="Times New Roman"/>
          <w:color w:val="0000FF"/>
          <w:kern w:val="0"/>
          <w:sz w:val="24"/>
          <w:szCs w:val="24"/>
          <w:highlight w:val="none"/>
          <w:lang w:val="en-US" w:eastAsia="zh-CN" w:bidi="ar"/>
        </w:rPr>
        <w:t>通过本工程供水进入</w:t>
      </w:r>
      <w:r>
        <w:rPr>
          <w:rFonts w:hint="default" w:ascii="Times New Roman" w:hAnsi="Times New Roman" w:cs="Times New Roman"/>
          <w:color w:val="0000FF"/>
          <w:kern w:val="0"/>
          <w:sz w:val="24"/>
          <w:szCs w:val="24"/>
          <w:highlight w:val="none"/>
          <w:lang w:val="en-US" w:eastAsia="zh-CN" w:bidi="ar"/>
        </w:rPr>
        <w:t>界牌箐、水平石水库</w:t>
      </w:r>
      <w:r>
        <w:rPr>
          <w:rFonts w:hint="eastAsia" w:cs="Times New Roman"/>
          <w:color w:val="0000FF"/>
          <w:kern w:val="0"/>
          <w:sz w:val="24"/>
          <w:szCs w:val="24"/>
          <w:highlight w:val="none"/>
          <w:lang w:val="en-US" w:eastAsia="zh-CN" w:bidi="ar"/>
        </w:rPr>
        <w:t>、姜中水库、李官坟水库</w:t>
      </w:r>
      <w:r>
        <w:rPr>
          <w:rFonts w:hint="default" w:ascii="Times New Roman" w:hAnsi="Times New Roman" w:eastAsia="宋体" w:cs="Times New Roman"/>
          <w:color w:val="0000FF"/>
          <w:kern w:val="0"/>
          <w:sz w:val="24"/>
          <w:szCs w:val="24"/>
          <w:highlight w:val="none"/>
          <w:lang w:val="en-US" w:eastAsia="zh-CN" w:bidi="ar"/>
        </w:rPr>
        <w:t>的水量过程和对水库的水文情势影响分析详见表</w:t>
      </w:r>
      <w:r>
        <w:rPr>
          <w:rFonts w:hint="default" w:ascii="Times New Roman" w:hAnsi="Times New Roman" w:cs="Times New Roman"/>
          <w:color w:val="0000FF"/>
          <w:kern w:val="0"/>
          <w:sz w:val="24"/>
          <w:szCs w:val="24"/>
          <w:highlight w:val="none"/>
          <w:lang w:val="en-US" w:eastAsia="zh-CN" w:bidi="ar"/>
        </w:rPr>
        <w:t>5.2-2</w:t>
      </w:r>
      <w:r>
        <w:rPr>
          <w:rFonts w:hint="eastAsia" w:cs="Times New Roman"/>
          <w:color w:val="0000FF"/>
          <w:kern w:val="0"/>
          <w:sz w:val="24"/>
          <w:szCs w:val="24"/>
          <w:highlight w:val="none"/>
          <w:lang w:val="en-US" w:eastAsia="zh-CN" w:bidi="ar"/>
        </w:rPr>
        <w:t>、</w:t>
      </w:r>
      <w:r>
        <w:rPr>
          <w:rFonts w:hint="default" w:ascii="Times New Roman" w:hAnsi="Times New Roman" w:eastAsia="宋体" w:cs="Times New Roman"/>
          <w:color w:val="0000FF"/>
          <w:kern w:val="0"/>
          <w:sz w:val="24"/>
          <w:szCs w:val="24"/>
          <w:highlight w:val="none"/>
          <w:lang w:val="en-US" w:eastAsia="zh-CN" w:bidi="ar"/>
        </w:rPr>
        <w:t>表</w:t>
      </w:r>
      <w:r>
        <w:rPr>
          <w:rFonts w:hint="default" w:ascii="Times New Roman" w:hAnsi="Times New Roman" w:cs="Times New Roman"/>
          <w:color w:val="0000FF"/>
          <w:kern w:val="0"/>
          <w:sz w:val="24"/>
          <w:szCs w:val="24"/>
          <w:highlight w:val="none"/>
          <w:lang w:val="en-US" w:eastAsia="zh-CN" w:bidi="ar"/>
        </w:rPr>
        <w:t>5.2-</w:t>
      </w:r>
      <w:r>
        <w:rPr>
          <w:rFonts w:hint="eastAsia" w:cs="Times New Roman"/>
          <w:color w:val="0000FF"/>
          <w:kern w:val="0"/>
          <w:sz w:val="24"/>
          <w:szCs w:val="24"/>
          <w:highlight w:val="none"/>
          <w:lang w:val="en-US" w:eastAsia="zh-CN" w:bidi="ar"/>
        </w:rPr>
        <w:t>3</w:t>
      </w:r>
      <w:r>
        <w:rPr>
          <w:rFonts w:hint="default" w:ascii="Times New Roman" w:hAnsi="Times New Roman" w:eastAsia="宋体" w:cs="Times New Roman"/>
          <w:color w:val="0000FF"/>
          <w:kern w:val="0"/>
          <w:sz w:val="24"/>
          <w:szCs w:val="24"/>
          <w:highlight w:val="none"/>
          <w:lang w:val="en-US" w:eastAsia="zh-CN" w:bidi="ar"/>
        </w:rPr>
        <w:t>。</w:t>
      </w:r>
    </w:p>
    <w:p>
      <w:pPr>
        <w:keepNext w:val="0"/>
        <w:keepLines w:val="0"/>
        <w:widowControl/>
        <w:suppressLineNumbers w:val="0"/>
        <w:spacing w:line="240" w:lineRule="auto"/>
        <w:jc w:val="center"/>
        <w:rPr>
          <w:rFonts w:hint="default" w:ascii="Times New Roman" w:hAnsi="Times New Roman" w:eastAsia="宋体" w:cs="Times New Roman"/>
          <w:b/>
          <w:bCs/>
          <w:color w:val="0000FF"/>
          <w:kern w:val="0"/>
          <w:sz w:val="24"/>
          <w:szCs w:val="24"/>
          <w:lang w:val="en-US" w:eastAsia="zh-CN" w:bidi="ar"/>
        </w:rPr>
      </w:pPr>
      <w:r>
        <w:rPr>
          <w:rFonts w:hint="default" w:ascii="Times New Roman" w:hAnsi="Times New Roman" w:eastAsia="宋体" w:cs="Times New Roman"/>
          <w:b/>
          <w:bCs/>
          <w:color w:val="0000FF"/>
          <w:kern w:val="0"/>
          <w:sz w:val="24"/>
          <w:szCs w:val="24"/>
          <w:lang w:val="en-US" w:eastAsia="zh-CN" w:bidi="ar"/>
        </w:rPr>
        <w:t>表</w:t>
      </w:r>
      <w:r>
        <w:rPr>
          <w:rFonts w:hint="default" w:ascii="Times New Roman" w:hAnsi="Times New Roman" w:cs="Times New Roman"/>
          <w:b/>
          <w:bCs/>
          <w:color w:val="0000FF"/>
          <w:kern w:val="0"/>
          <w:sz w:val="24"/>
          <w:szCs w:val="24"/>
          <w:lang w:val="en-US" w:eastAsia="zh-CN" w:bidi="ar"/>
        </w:rPr>
        <w:t>5</w:t>
      </w:r>
      <w:r>
        <w:rPr>
          <w:rFonts w:hint="default" w:ascii="Times New Roman" w:hAnsi="Times New Roman" w:eastAsia="宋体" w:cs="Times New Roman"/>
          <w:b/>
          <w:bCs/>
          <w:color w:val="0000FF"/>
          <w:kern w:val="0"/>
          <w:sz w:val="24"/>
          <w:szCs w:val="24"/>
          <w:lang w:val="en-US" w:eastAsia="zh-CN" w:bidi="ar"/>
        </w:rPr>
        <w:t>.2</w:t>
      </w:r>
      <w:r>
        <w:rPr>
          <w:rFonts w:hint="eastAsia" w:ascii="Times New Roman" w:hAnsi="Times New Roman" w:eastAsia="宋体" w:cs="Times New Roman"/>
          <w:b/>
          <w:bCs/>
          <w:color w:val="0000FF"/>
          <w:kern w:val="0"/>
          <w:sz w:val="24"/>
          <w:szCs w:val="24"/>
          <w:lang w:val="en-US" w:eastAsia="zh-CN" w:bidi="ar"/>
        </w:rPr>
        <w:t>.2</w:t>
      </w:r>
      <w:r>
        <w:rPr>
          <w:rFonts w:hint="default" w:ascii="Times New Roman" w:hAnsi="Times New Roman" w:eastAsia="宋体" w:cs="Times New Roman"/>
          <w:b/>
          <w:bCs/>
          <w:color w:val="0000FF"/>
          <w:kern w:val="0"/>
          <w:sz w:val="24"/>
          <w:szCs w:val="24"/>
          <w:lang w:val="en-US" w:eastAsia="zh-CN" w:bidi="ar"/>
        </w:rPr>
        <w:t>-</w:t>
      </w:r>
      <w:r>
        <w:rPr>
          <w:rFonts w:hint="eastAsia" w:ascii="Times New Roman" w:hAnsi="Times New Roman" w:cs="Times New Roman"/>
          <w:b/>
          <w:bCs/>
          <w:color w:val="0000FF"/>
          <w:kern w:val="0"/>
          <w:sz w:val="24"/>
          <w:szCs w:val="24"/>
          <w:lang w:val="en-US" w:eastAsia="zh-CN" w:bidi="ar"/>
        </w:rPr>
        <w:t>2</w:t>
      </w:r>
      <w:r>
        <w:rPr>
          <w:rFonts w:hint="eastAsia" w:cs="Times New Roman"/>
          <w:b/>
          <w:bCs/>
          <w:color w:val="0000FF"/>
          <w:kern w:val="0"/>
          <w:sz w:val="24"/>
          <w:szCs w:val="24"/>
          <w:lang w:val="en-US" w:eastAsia="zh-CN" w:bidi="ar"/>
        </w:rPr>
        <w:t xml:space="preserve">   90％保证率下</w:t>
      </w:r>
      <w:r>
        <w:rPr>
          <w:rFonts w:hint="default" w:ascii="Times New Roman" w:hAnsi="Times New Roman" w:eastAsia="宋体" w:cs="Times New Roman"/>
          <w:b/>
          <w:bCs/>
          <w:color w:val="0000FF"/>
          <w:kern w:val="0"/>
          <w:sz w:val="24"/>
          <w:szCs w:val="24"/>
          <w:lang w:val="en-US" w:eastAsia="zh-CN" w:bidi="ar"/>
        </w:rPr>
        <w:t>本工程对受水水库供水水文情势变化表单位：万m³</w:t>
      </w:r>
    </w:p>
    <w:tbl>
      <w:tblPr>
        <w:tblStyle w:val="29"/>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64"/>
        <w:gridCol w:w="873"/>
        <w:gridCol w:w="1123"/>
        <w:gridCol w:w="859"/>
        <w:gridCol w:w="865"/>
        <w:gridCol w:w="865"/>
        <w:gridCol w:w="865"/>
        <w:gridCol w:w="865"/>
        <w:gridCol w:w="865"/>
        <w:gridCol w:w="865"/>
        <w:gridCol w:w="859"/>
        <w:gridCol w:w="859"/>
        <w:gridCol w:w="859"/>
        <w:gridCol w:w="859"/>
        <w:gridCol w:w="859"/>
        <w:gridCol w:w="8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50" w:hRule="atLeast"/>
        </w:trPr>
        <w:tc>
          <w:tcPr>
            <w:tcW w:w="34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水库</w:t>
            </w:r>
          </w:p>
        </w:tc>
        <w:tc>
          <w:tcPr>
            <w:tcW w:w="30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总库容</w:t>
            </w:r>
          </w:p>
        </w:tc>
        <w:tc>
          <w:tcPr>
            <w:tcW w:w="39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兴利库容</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过程</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6月</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7月</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8月</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9月</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10月</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11月</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12月</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1月</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2月</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3月</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4月</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340"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界牌箐水库</w:t>
            </w:r>
          </w:p>
        </w:tc>
        <w:tc>
          <w:tcPr>
            <w:tcW w:w="308"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10.1</w:t>
            </w:r>
          </w:p>
        </w:tc>
        <w:tc>
          <w:tcPr>
            <w:tcW w:w="39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入库径流</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1.31</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1.45</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1.07</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0.39</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0.21</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0.15</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0.14</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5" w:hRule="atLeast"/>
        </w:trPr>
        <w:tc>
          <w:tcPr>
            <w:tcW w:w="340"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本工程入库量</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0.34</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0.34</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0.34</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5" w:hRule="atLeast"/>
        </w:trPr>
        <w:tc>
          <w:tcPr>
            <w:tcW w:w="340"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总入库量</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0.56</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1.65</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1.79</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1.4</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0.73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0.54</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0.15</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0.14</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40"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生态流量</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40"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出库流量</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0.5597</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1.6497</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1.7897</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1.3997</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0.7297</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0.5397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0.1497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0.3697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0.1697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0.1297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0.1397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0.0897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5" w:hRule="atLeast"/>
        </w:trPr>
        <w:tc>
          <w:tcPr>
            <w:tcW w:w="340"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水量变幅（％）</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58.93%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20.61%</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18.99%</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23.57%</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46.58%</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61.11%</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340"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水平石水库</w:t>
            </w:r>
          </w:p>
        </w:tc>
        <w:tc>
          <w:tcPr>
            <w:tcW w:w="308"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31.5</w:t>
            </w:r>
          </w:p>
        </w:tc>
        <w:tc>
          <w:tcPr>
            <w:tcW w:w="39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22.2</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入库径流</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1.03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5.91</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6.53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4.83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1.77</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0.93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0.77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0.57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0.64</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5" w:hRule="atLeast"/>
        </w:trPr>
        <w:tc>
          <w:tcPr>
            <w:tcW w:w="340"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本工程入库量</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1.67</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1.73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1.73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1.67</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1.73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40"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总入库量</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2.7</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7.64</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8.26</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6.5</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3.5</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2.6</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0.77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0.57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0.64</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40"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生态流量</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40"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出库流量</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2.6997</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7.6397</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8.2597</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6.4997</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3.4997</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2.5997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0.6697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1.6697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0.7697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0.5697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0.6397</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0.3897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trPr>
        <w:tc>
          <w:tcPr>
            <w:tcW w:w="340"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水量变幅（％）</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61.85%</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22.64%</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20.94%</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25.69%</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49.43%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64.23%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340"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姜中水库</w:t>
            </w:r>
          </w:p>
        </w:tc>
        <w:tc>
          <w:tcPr>
            <w:tcW w:w="308"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11.3</w:t>
            </w:r>
          </w:p>
        </w:tc>
        <w:tc>
          <w:tcPr>
            <w:tcW w:w="396"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8.2</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入库径流</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0.48</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2.76</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3.05</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2.26</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0.83</w:t>
            </w:r>
          </w:p>
        </w:tc>
        <w:tc>
          <w:tcPr>
            <w:tcW w:w="3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0.43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0.31</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0.78</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0.36</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0.26</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5" w:hRule="atLeast"/>
        </w:trPr>
        <w:tc>
          <w:tcPr>
            <w:tcW w:w="340"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本工程入库量</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0.67</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0.69</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0.69</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0.67</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0.69</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0.67</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340"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总入库量</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1.15</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3.45</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3.74</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2.93</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1.52</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0.31</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0.78</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0.36</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0.26</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340"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生态流量</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340"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出库流量</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1.1494</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3.4494</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3.7394</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2.9294</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1.5194</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1.0994</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0.3094</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0.7794</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0.3594</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0.2594</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0.2994</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0.1794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trPr>
        <w:tc>
          <w:tcPr>
            <w:tcW w:w="340"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水量变幅（％）</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58.26%</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20.00%</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18.45%</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22.87%</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45.39%</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60.91%</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trPr>
        <w:tc>
          <w:tcPr>
            <w:tcW w:w="340"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李官坟水库</w:t>
            </w:r>
          </w:p>
        </w:tc>
        <w:tc>
          <w:tcPr>
            <w:tcW w:w="308"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11.3</w:t>
            </w:r>
          </w:p>
        </w:tc>
        <w:tc>
          <w:tcPr>
            <w:tcW w:w="396"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3.8</w:t>
            </w: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入库径流</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0.51</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1.09</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2.74</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1.07</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0.78</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0.28</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0.22</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0.22</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0.16</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0.12</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0.04</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5" w:hRule="atLeast"/>
        </w:trPr>
        <w:tc>
          <w:tcPr>
            <w:tcW w:w="340"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本工程入库量</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0.49</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0.51</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0.51</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0.49</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0.51</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0.49</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340"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总入库量</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3.25</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1.56</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1.29</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0.77</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0.22</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0.22</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0.16</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0.12</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0.04</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340"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生态流量</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340"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出库流量</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0.9994</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1.5994</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3.2494</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1.5594</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1.2894</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0.7694</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0.2194</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0.2194</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0.1594</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0.1194</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0.0394</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0.1794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trPr>
        <w:tc>
          <w:tcPr>
            <w:tcW w:w="340"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9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30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水量变幅（％）</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49.00%</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31.88%</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15.69%</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31.41%</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39.53%</w:t>
            </w:r>
          </w:p>
        </w:tc>
        <w:tc>
          <w:tcPr>
            <w:tcW w:w="30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63.64%</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30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bl>
    <w:p>
      <w:pPr>
        <w:rPr>
          <w:rFonts w:hint="default"/>
          <w:color w:val="0000FF"/>
          <w:lang w:val="en-US" w:eastAsia="zh-CN"/>
        </w:rPr>
      </w:pPr>
      <w:r>
        <w:rPr>
          <w:rFonts w:hint="default"/>
          <w:color w:val="0000FF"/>
          <w:sz w:val="21"/>
          <w:szCs w:val="21"/>
          <w:lang w:val="en-US" w:eastAsia="zh-CN"/>
        </w:rPr>
        <w:t>注：项目在丰水期向现有水库补水以备枯水期使用。故未计算12月、1月、2月、3月、4月</w:t>
      </w:r>
      <w:r>
        <w:rPr>
          <w:rFonts w:hint="eastAsia"/>
          <w:color w:val="0000FF"/>
          <w:sz w:val="21"/>
          <w:szCs w:val="21"/>
          <w:lang w:val="en-US" w:eastAsia="zh-CN"/>
        </w:rPr>
        <w:t>、5</w:t>
      </w:r>
      <w:r>
        <w:rPr>
          <w:rFonts w:hint="default"/>
          <w:color w:val="0000FF"/>
          <w:sz w:val="21"/>
          <w:szCs w:val="21"/>
          <w:lang w:val="en-US" w:eastAsia="zh-CN"/>
        </w:rPr>
        <w:t>月受水水库供水水文情势</w:t>
      </w:r>
      <w:r>
        <w:rPr>
          <w:rFonts w:hint="default"/>
          <w:color w:val="0000FF"/>
          <w:lang w:val="en-US" w:eastAsia="zh-CN"/>
        </w:rPr>
        <w:t>。</w:t>
      </w:r>
    </w:p>
    <w:p>
      <w:pPr>
        <w:pStyle w:val="35"/>
        <w:ind w:firstLine="643"/>
        <w:rPr>
          <w:rFonts w:hint="default" w:ascii="Times New Roman" w:hAnsi="Times New Roman" w:cs="Times New Roman"/>
          <w:b w:val="0"/>
          <w:bCs w:val="0"/>
          <w:color w:val="0000FF"/>
          <w:lang w:val="en-US" w:eastAsia="zh-CN"/>
        </w:rPr>
      </w:pPr>
      <w:r>
        <w:rPr>
          <w:rFonts w:hint="default" w:ascii="Times New Roman" w:hAnsi="Times New Roman" w:cs="Times New Roman"/>
          <w:b w:val="0"/>
          <w:bCs w:val="0"/>
          <w:color w:val="0000FF"/>
          <w:lang w:val="en-US" w:eastAsia="zh-CN"/>
        </w:rPr>
        <w:t>从表5.2.2-2可以看出，</w:t>
      </w:r>
      <w:r>
        <w:rPr>
          <w:rFonts w:hint="eastAsia" w:cs="Times New Roman"/>
          <w:b w:val="0"/>
          <w:bCs w:val="0"/>
          <w:color w:val="0000FF"/>
          <w:lang w:val="en-US" w:eastAsia="zh-CN"/>
        </w:rPr>
        <w:t>90％保证率下</w:t>
      </w:r>
      <w:r>
        <w:rPr>
          <w:rFonts w:hint="default" w:ascii="Times New Roman" w:hAnsi="Times New Roman" w:cs="Times New Roman"/>
          <w:b w:val="0"/>
          <w:bCs w:val="0"/>
          <w:color w:val="0000FF"/>
          <w:lang w:val="en-US" w:eastAsia="zh-CN"/>
        </w:rPr>
        <w:t>本工程供水量入库后界牌箐水库水量变幅为</w:t>
      </w:r>
      <w:r>
        <w:rPr>
          <w:rFonts w:hint="eastAsia" w:cs="Times New Roman"/>
          <w:b w:val="0"/>
          <w:bCs w:val="0"/>
          <w:color w:val="0000FF"/>
          <w:lang w:val="en-US" w:eastAsia="zh-CN"/>
        </w:rPr>
        <w:t>18.99</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61.11</w:t>
      </w:r>
      <w:r>
        <w:rPr>
          <w:rFonts w:hint="default" w:ascii="Times New Roman" w:hAnsi="Times New Roman" w:cs="Times New Roman"/>
          <w:b w:val="0"/>
          <w:bCs w:val="0"/>
          <w:color w:val="0000FF"/>
          <w:lang w:val="en-US" w:eastAsia="zh-CN"/>
        </w:rPr>
        <w:t>％；水平石水库水量变幅为</w:t>
      </w:r>
      <w:r>
        <w:rPr>
          <w:rFonts w:hint="eastAsia" w:cs="Times New Roman"/>
          <w:b w:val="0"/>
          <w:bCs w:val="0"/>
          <w:color w:val="0000FF"/>
          <w:lang w:val="en-US" w:eastAsia="zh-CN"/>
        </w:rPr>
        <w:t>20.94</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64.23</w:t>
      </w:r>
      <w:r>
        <w:rPr>
          <w:rFonts w:hint="default" w:ascii="Times New Roman" w:hAnsi="Times New Roman" w:cs="Times New Roman"/>
          <w:b w:val="0"/>
          <w:bCs w:val="0"/>
          <w:color w:val="0000FF"/>
          <w:lang w:val="en-US" w:eastAsia="zh-CN"/>
        </w:rPr>
        <w:t>％；姜中水库水量变幅为</w:t>
      </w:r>
      <w:r>
        <w:rPr>
          <w:rFonts w:hint="eastAsia" w:cs="Times New Roman"/>
          <w:b w:val="0"/>
          <w:bCs w:val="0"/>
          <w:color w:val="0000FF"/>
          <w:lang w:val="en-US" w:eastAsia="zh-CN"/>
        </w:rPr>
        <w:t>18.45</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~60.91</w:t>
      </w:r>
      <w:r>
        <w:rPr>
          <w:rFonts w:hint="default" w:ascii="Times New Roman" w:hAnsi="Times New Roman" w:cs="Times New Roman"/>
          <w:b w:val="0"/>
          <w:bCs w:val="0"/>
          <w:color w:val="0000FF"/>
          <w:lang w:val="en-US" w:eastAsia="zh-CN"/>
        </w:rPr>
        <w:t>％；李官坟水库水量变幅为</w:t>
      </w:r>
      <w:r>
        <w:rPr>
          <w:rFonts w:hint="eastAsia" w:cs="Times New Roman"/>
          <w:b w:val="0"/>
          <w:bCs w:val="0"/>
          <w:color w:val="0000FF"/>
          <w:lang w:val="en-US" w:eastAsia="zh-CN"/>
        </w:rPr>
        <w:t>15.69</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63.64</w:t>
      </w:r>
      <w:r>
        <w:rPr>
          <w:rFonts w:hint="default" w:ascii="Times New Roman" w:hAnsi="Times New Roman" w:cs="Times New Roman"/>
          <w:b w:val="0"/>
          <w:bCs w:val="0"/>
          <w:color w:val="0000FF"/>
          <w:lang w:val="en-US" w:eastAsia="zh-CN"/>
        </w:rPr>
        <w:t>%。</w:t>
      </w:r>
    </w:p>
    <w:p>
      <w:pPr>
        <w:keepNext w:val="0"/>
        <w:keepLines w:val="0"/>
        <w:widowControl/>
        <w:suppressLineNumbers w:val="0"/>
        <w:spacing w:line="240" w:lineRule="auto"/>
        <w:jc w:val="center"/>
        <w:rPr>
          <w:rFonts w:hint="default" w:ascii="Times New Roman" w:hAnsi="Times New Roman" w:eastAsia="宋体" w:cs="Times New Roman"/>
          <w:b/>
          <w:bCs/>
          <w:color w:val="0000FF"/>
          <w:kern w:val="0"/>
          <w:sz w:val="24"/>
          <w:szCs w:val="24"/>
          <w:lang w:val="en-US" w:eastAsia="zh-CN" w:bidi="ar"/>
        </w:rPr>
      </w:pPr>
      <w:r>
        <w:rPr>
          <w:rFonts w:hint="default" w:ascii="Times New Roman" w:hAnsi="Times New Roman" w:eastAsia="宋体" w:cs="Times New Roman"/>
          <w:b/>
          <w:bCs/>
          <w:color w:val="0000FF"/>
          <w:kern w:val="0"/>
          <w:sz w:val="24"/>
          <w:szCs w:val="24"/>
          <w:lang w:val="en-US" w:eastAsia="zh-CN" w:bidi="ar"/>
        </w:rPr>
        <w:t>表</w:t>
      </w:r>
      <w:r>
        <w:rPr>
          <w:rFonts w:hint="default" w:ascii="Times New Roman" w:hAnsi="Times New Roman" w:cs="Times New Roman"/>
          <w:b/>
          <w:bCs/>
          <w:color w:val="0000FF"/>
          <w:kern w:val="0"/>
          <w:sz w:val="24"/>
          <w:szCs w:val="24"/>
          <w:lang w:val="en-US" w:eastAsia="zh-CN" w:bidi="ar"/>
        </w:rPr>
        <w:t>5</w:t>
      </w:r>
      <w:r>
        <w:rPr>
          <w:rFonts w:hint="default" w:ascii="Times New Roman" w:hAnsi="Times New Roman" w:eastAsia="宋体" w:cs="Times New Roman"/>
          <w:b/>
          <w:bCs/>
          <w:color w:val="0000FF"/>
          <w:kern w:val="0"/>
          <w:sz w:val="24"/>
          <w:szCs w:val="24"/>
          <w:lang w:val="en-US" w:eastAsia="zh-CN" w:bidi="ar"/>
        </w:rPr>
        <w:t>.2</w:t>
      </w:r>
      <w:r>
        <w:rPr>
          <w:rFonts w:hint="eastAsia" w:ascii="Times New Roman" w:hAnsi="Times New Roman" w:eastAsia="宋体" w:cs="Times New Roman"/>
          <w:b/>
          <w:bCs/>
          <w:color w:val="0000FF"/>
          <w:kern w:val="0"/>
          <w:sz w:val="24"/>
          <w:szCs w:val="24"/>
          <w:lang w:val="en-US" w:eastAsia="zh-CN" w:bidi="ar"/>
        </w:rPr>
        <w:t>.2</w:t>
      </w:r>
      <w:r>
        <w:rPr>
          <w:rFonts w:hint="default" w:ascii="Times New Roman" w:hAnsi="Times New Roman" w:eastAsia="宋体" w:cs="Times New Roman"/>
          <w:b/>
          <w:bCs/>
          <w:color w:val="0000FF"/>
          <w:kern w:val="0"/>
          <w:sz w:val="24"/>
          <w:szCs w:val="24"/>
          <w:lang w:val="en-US" w:eastAsia="zh-CN" w:bidi="ar"/>
        </w:rPr>
        <w:t>-</w:t>
      </w:r>
      <w:r>
        <w:rPr>
          <w:rFonts w:hint="eastAsia" w:cs="Times New Roman"/>
          <w:b/>
          <w:bCs/>
          <w:color w:val="0000FF"/>
          <w:kern w:val="0"/>
          <w:sz w:val="24"/>
          <w:szCs w:val="24"/>
          <w:lang w:val="en-US" w:eastAsia="zh-CN" w:bidi="ar"/>
        </w:rPr>
        <w:t>3   75％保证率下</w:t>
      </w:r>
      <w:r>
        <w:rPr>
          <w:rFonts w:hint="default" w:ascii="Times New Roman" w:hAnsi="Times New Roman" w:eastAsia="宋体" w:cs="Times New Roman"/>
          <w:b/>
          <w:bCs/>
          <w:color w:val="0000FF"/>
          <w:kern w:val="0"/>
          <w:sz w:val="24"/>
          <w:szCs w:val="24"/>
          <w:lang w:val="en-US" w:eastAsia="zh-CN" w:bidi="ar"/>
        </w:rPr>
        <w:t>本工程对受水水库供水水文情势变化表单位：万 m³</w:t>
      </w:r>
    </w:p>
    <w:tbl>
      <w:tblPr>
        <w:tblStyle w:val="29"/>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69"/>
        <w:gridCol w:w="886"/>
        <w:gridCol w:w="818"/>
        <w:gridCol w:w="1312"/>
        <w:gridCol w:w="814"/>
        <w:gridCol w:w="894"/>
        <w:gridCol w:w="894"/>
        <w:gridCol w:w="894"/>
        <w:gridCol w:w="894"/>
        <w:gridCol w:w="894"/>
        <w:gridCol w:w="823"/>
        <w:gridCol w:w="834"/>
        <w:gridCol w:w="834"/>
        <w:gridCol w:w="834"/>
        <w:gridCol w:w="834"/>
        <w:gridCol w:w="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0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水库</w:t>
            </w:r>
          </w:p>
        </w:tc>
        <w:tc>
          <w:tcPr>
            <w:tcW w:w="3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总库容</w:t>
            </w:r>
          </w:p>
        </w:tc>
        <w:tc>
          <w:tcPr>
            <w:tcW w:w="2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兴利库容</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过程</w:t>
            </w:r>
          </w:p>
        </w:tc>
        <w:tc>
          <w:tcPr>
            <w:tcW w:w="28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w:t>
            </w:r>
            <w:r>
              <w:rPr>
                <w:rFonts w:hint="eastAsia" w:ascii="宋体" w:hAnsi="宋体" w:eastAsia="宋体" w:cs="宋体"/>
                <w:i w:val="0"/>
                <w:iCs w:val="0"/>
                <w:color w:val="0000FF"/>
                <w:kern w:val="0"/>
                <w:sz w:val="21"/>
                <w:szCs w:val="21"/>
                <w:u w:val="none"/>
                <w:lang w:val="en-US" w:eastAsia="zh-CN" w:bidi="ar"/>
              </w:rPr>
              <w:t>月</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7</w:t>
            </w:r>
            <w:r>
              <w:rPr>
                <w:rFonts w:hint="eastAsia" w:ascii="宋体" w:hAnsi="宋体" w:eastAsia="宋体" w:cs="宋体"/>
                <w:i w:val="0"/>
                <w:iCs w:val="0"/>
                <w:color w:val="0000FF"/>
                <w:kern w:val="0"/>
                <w:sz w:val="21"/>
                <w:szCs w:val="21"/>
                <w:u w:val="none"/>
                <w:lang w:val="en-US" w:eastAsia="zh-CN" w:bidi="ar"/>
              </w:rPr>
              <w:t>月</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8</w:t>
            </w:r>
            <w:r>
              <w:rPr>
                <w:rFonts w:hint="eastAsia" w:ascii="宋体" w:hAnsi="宋体" w:eastAsia="宋体" w:cs="宋体"/>
                <w:i w:val="0"/>
                <w:iCs w:val="0"/>
                <w:color w:val="0000FF"/>
                <w:kern w:val="0"/>
                <w:sz w:val="21"/>
                <w:szCs w:val="21"/>
                <w:u w:val="none"/>
                <w:lang w:val="en-US" w:eastAsia="zh-CN" w:bidi="ar"/>
              </w:rPr>
              <w:t>月</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9</w:t>
            </w:r>
            <w:r>
              <w:rPr>
                <w:rFonts w:hint="eastAsia" w:ascii="宋体" w:hAnsi="宋体" w:eastAsia="宋体" w:cs="宋体"/>
                <w:i w:val="0"/>
                <w:iCs w:val="0"/>
                <w:color w:val="0000FF"/>
                <w:kern w:val="0"/>
                <w:sz w:val="21"/>
                <w:szCs w:val="21"/>
                <w:u w:val="none"/>
                <w:lang w:val="en-US" w:eastAsia="zh-CN" w:bidi="ar"/>
              </w:rPr>
              <w:t>月</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10</w:t>
            </w:r>
            <w:r>
              <w:rPr>
                <w:rFonts w:hint="eastAsia" w:ascii="宋体" w:hAnsi="宋体" w:eastAsia="宋体" w:cs="宋体"/>
                <w:i w:val="0"/>
                <w:iCs w:val="0"/>
                <w:color w:val="0000FF"/>
                <w:kern w:val="0"/>
                <w:sz w:val="21"/>
                <w:szCs w:val="21"/>
                <w:u w:val="none"/>
                <w:lang w:val="en-US" w:eastAsia="zh-CN" w:bidi="ar"/>
              </w:rPr>
              <w:t>月</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w:t>
            </w:r>
            <w:r>
              <w:rPr>
                <w:rFonts w:hint="eastAsia" w:ascii="宋体" w:hAnsi="宋体" w:eastAsia="宋体" w:cs="宋体"/>
                <w:i w:val="0"/>
                <w:iCs w:val="0"/>
                <w:color w:val="0000FF"/>
                <w:kern w:val="0"/>
                <w:sz w:val="21"/>
                <w:szCs w:val="21"/>
                <w:u w:val="none"/>
                <w:lang w:val="en-US" w:eastAsia="zh-CN" w:bidi="ar"/>
              </w:rPr>
              <w:t>月</w:t>
            </w:r>
          </w:p>
        </w:tc>
        <w:tc>
          <w:tcPr>
            <w:tcW w:w="2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12</w:t>
            </w:r>
            <w:r>
              <w:rPr>
                <w:rFonts w:hint="eastAsia" w:ascii="宋体" w:hAnsi="宋体" w:eastAsia="宋体" w:cs="宋体"/>
                <w:i w:val="0"/>
                <w:iCs w:val="0"/>
                <w:color w:val="0000FF"/>
                <w:kern w:val="0"/>
                <w:sz w:val="21"/>
                <w:szCs w:val="21"/>
                <w:u w:val="none"/>
                <w:lang w:val="en-US" w:eastAsia="zh-CN" w:bidi="ar"/>
              </w:rPr>
              <w:t>月</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w:t>
            </w:r>
            <w:r>
              <w:rPr>
                <w:rFonts w:hint="eastAsia" w:ascii="宋体" w:hAnsi="宋体" w:eastAsia="宋体" w:cs="宋体"/>
                <w:i w:val="0"/>
                <w:iCs w:val="0"/>
                <w:color w:val="0000FF"/>
                <w:kern w:val="0"/>
                <w:sz w:val="21"/>
                <w:szCs w:val="21"/>
                <w:u w:val="none"/>
                <w:lang w:val="en-US" w:eastAsia="zh-CN" w:bidi="ar"/>
              </w:rPr>
              <w:t>月</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w:t>
            </w:r>
            <w:r>
              <w:rPr>
                <w:rFonts w:hint="eastAsia" w:ascii="宋体" w:hAnsi="宋体" w:eastAsia="宋体" w:cs="宋体"/>
                <w:i w:val="0"/>
                <w:iCs w:val="0"/>
                <w:color w:val="0000FF"/>
                <w:kern w:val="0"/>
                <w:sz w:val="21"/>
                <w:szCs w:val="21"/>
                <w:u w:val="none"/>
                <w:lang w:val="en-US" w:eastAsia="zh-CN" w:bidi="ar"/>
              </w:rPr>
              <w:t>月</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w:t>
            </w:r>
            <w:r>
              <w:rPr>
                <w:rFonts w:hint="eastAsia" w:ascii="宋体" w:hAnsi="宋体" w:eastAsia="宋体" w:cs="宋体"/>
                <w:i w:val="0"/>
                <w:iCs w:val="0"/>
                <w:color w:val="0000FF"/>
                <w:kern w:val="0"/>
                <w:sz w:val="21"/>
                <w:szCs w:val="21"/>
                <w:u w:val="none"/>
                <w:lang w:val="en-US" w:eastAsia="zh-CN" w:bidi="ar"/>
              </w:rPr>
              <w:t>月</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4</w:t>
            </w:r>
            <w:r>
              <w:rPr>
                <w:rFonts w:hint="eastAsia" w:ascii="宋体" w:hAnsi="宋体" w:eastAsia="宋体" w:cs="宋体"/>
                <w:i w:val="0"/>
                <w:iCs w:val="0"/>
                <w:color w:val="0000FF"/>
                <w:kern w:val="0"/>
                <w:sz w:val="21"/>
                <w:szCs w:val="21"/>
                <w:u w:val="none"/>
                <w:lang w:val="en-US" w:eastAsia="zh-CN" w:bidi="ar"/>
              </w:rPr>
              <w:t>月</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w:t>
            </w:r>
            <w:r>
              <w:rPr>
                <w:rFonts w:hint="eastAsia" w:ascii="宋体" w:hAnsi="宋体" w:eastAsia="宋体" w:cs="宋体"/>
                <w:i w:val="0"/>
                <w:iCs w:val="0"/>
                <w:color w:val="0000FF"/>
                <w:kern w:val="0"/>
                <w:sz w:val="21"/>
                <w:szCs w:val="21"/>
                <w:u w:val="none"/>
                <w:lang w:val="en-US" w:eastAsia="zh-CN" w:bidi="ar"/>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0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界牌箐水库</w:t>
            </w:r>
          </w:p>
        </w:tc>
        <w:tc>
          <w:tcPr>
            <w:tcW w:w="312"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10.1</w:t>
            </w:r>
          </w:p>
        </w:tc>
        <w:tc>
          <w:tcPr>
            <w:tcW w:w="288"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3.3</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入库径流</w:t>
            </w:r>
          </w:p>
        </w:tc>
        <w:tc>
          <w:tcPr>
            <w:tcW w:w="28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1.28</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1.65</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1.76</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1.68</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0.81</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0.31</w:t>
            </w:r>
          </w:p>
        </w:tc>
        <w:tc>
          <w:tcPr>
            <w:tcW w:w="2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0.27</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0.25</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0.14</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0.19</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0.06</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5" w:hRule="atLeast"/>
        </w:trPr>
        <w:tc>
          <w:tcPr>
            <w:tcW w:w="30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1"/>
                <w:szCs w:val="21"/>
                <w:u w:val="none"/>
              </w:rPr>
            </w:pPr>
          </w:p>
        </w:tc>
        <w:tc>
          <w:tcPr>
            <w:tcW w:w="31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28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本工程入库量</w:t>
            </w:r>
          </w:p>
        </w:tc>
        <w:tc>
          <w:tcPr>
            <w:tcW w:w="28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0.34</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0.34</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0.34</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0.33</w:t>
            </w:r>
          </w:p>
        </w:tc>
        <w:tc>
          <w:tcPr>
            <w:tcW w:w="2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0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1"/>
                <w:szCs w:val="21"/>
                <w:u w:val="none"/>
              </w:rPr>
            </w:pPr>
          </w:p>
        </w:tc>
        <w:tc>
          <w:tcPr>
            <w:tcW w:w="31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28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总入库量</w:t>
            </w:r>
          </w:p>
        </w:tc>
        <w:tc>
          <w:tcPr>
            <w:tcW w:w="28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1.61</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1.99</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2.1</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2.01</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1.15</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0.64</w:t>
            </w:r>
          </w:p>
        </w:tc>
        <w:tc>
          <w:tcPr>
            <w:tcW w:w="2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0.27</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0.25</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0.14</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0.19</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0.06</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0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1"/>
                <w:szCs w:val="21"/>
                <w:u w:val="none"/>
              </w:rPr>
            </w:pPr>
          </w:p>
        </w:tc>
        <w:tc>
          <w:tcPr>
            <w:tcW w:w="31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28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生态流量</w:t>
            </w:r>
          </w:p>
        </w:tc>
        <w:tc>
          <w:tcPr>
            <w:tcW w:w="28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0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1"/>
                <w:szCs w:val="21"/>
                <w:u w:val="none"/>
              </w:rPr>
            </w:pPr>
          </w:p>
        </w:tc>
        <w:tc>
          <w:tcPr>
            <w:tcW w:w="31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28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出库流量</w:t>
            </w:r>
          </w:p>
        </w:tc>
        <w:tc>
          <w:tcPr>
            <w:tcW w:w="28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1.6097</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1.9897</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2.0997</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2.0097</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1.1497</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0.6397</w:t>
            </w:r>
          </w:p>
        </w:tc>
        <w:tc>
          <w:tcPr>
            <w:tcW w:w="2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0.2697</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0.2497</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0.1397</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0.1897</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0.0597</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0.0497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trPr>
        <w:tc>
          <w:tcPr>
            <w:tcW w:w="30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1"/>
                <w:szCs w:val="21"/>
                <w:u w:val="none"/>
              </w:rPr>
            </w:pPr>
          </w:p>
        </w:tc>
        <w:tc>
          <w:tcPr>
            <w:tcW w:w="31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28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水量变幅（％）</w:t>
            </w:r>
          </w:p>
        </w:tc>
        <w:tc>
          <w:tcPr>
            <w:tcW w:w="28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20.50%</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17.09%</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16.19%</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16.42%</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29.57%</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51.56%</w:t>
            </w:r>
          </w:p>
        </w:tc>
        <w:tc>
          <w:tcPr>
            <w:tcW w:w="2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0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水平石水库</w:t>
            </w:r>
          </w:p>
        </w:tc>
        <w:tc>
          <w:tcPr>
            <w:tcW w:w="312"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31.5</w:t>
            </w:r>
          </w:p>
        </w:tc>
        <w:tc>
          <w:tcPr>
            <w:tcW w:w="288"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22.2</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入库径流</w:t>
            </w:r>
          </w:p>
        </w:tc>
        <w:tc>
          <w:tcPr>
            <w:tcW w:w="28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5.75</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7.43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7.92</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7.58</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3.66</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1.41</w:t>
            </w:r>
          </w:p>
        </w:tc>
        <w:tc>
          <w:tcPr>
            <w:tcW w:w="2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1.22</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1.1</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0.65</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0.84</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0.27</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5" w:hRule="atLeast"/>
        </w:trPr>
        <w:tc>
          <w:tcPr>
            <w:tcW w:w="30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1"/>
                <w:szCs w:val="21"/>
                <w:u w:val="none"/>
              </w:rPr>
            </w:pPr>
          </w:p>
        </w:tc>
        <w:tc>
          <w:tcPr>
            <w:tcW w:w="31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28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本工程入库量</w:t>
            </w:r>
          </w:p>
        </w:tc>
        <w:tc>
          <w:tcPr>
            <w:tcW w:w="28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1.67</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1.73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1.73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1.67</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1.73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1.67</w:t>
            </w:r>
          </w:p>
        </w:tc>
        <w:tc>
          <w:tcPr>
            <w:tcW w:w="2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0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1"/>
                <w:szCs w:val="21"/>
                <w:u w:val="none"/>
              </w:rPr>
            </w:pPr>
          </w:p>
        </w:tc>
        <w:tc>
          <w:tcPr>
            <w:tcW w:w="31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28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总入库量</w:t>
            </w:r>
          </w:p>
        </w:tc>
        <w:tc>
          <w:tcPr>
            <w:tcW w:w="28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7.42</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9.16</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9.65</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9.25</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5.39</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3.08</w:t>
            </w:r>
          </w:p>
        </w:tc>
        <w:tc>
          <w:tcPr>
            <w:tcW w:w="2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1.22</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0.65</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0.84</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0.27</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0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1"/>
                <w:szCs w:val="21"/>
                <w:u w:val="none"/>
              </w:rPr>
            </w:pPr>
          </w:p>
        </w:tc>
        <w:tc>
          <w:tcPr>
            <w:tcW w:w="31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28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生态流量</w:t>
            </w:r>
          </w:p>
        </w:tc>
        <w:tc>
          <w:tcPr>
            <w:tcW w:w="28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0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1"/>
                <w:szCs w:val="21"/>
                <w:u w:val="none"/>
              </w:rPr>
            </w:pPr>
          </w:p>
        </w:tc>
        <w:tc>
          <w:tcPr>
            <w:tcW w:w="31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28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出库流量</w:t>
            </w:r>
          </w:p>
        </w:tc>
        <w:tc>
          <w:tcPr>
            <w:tcW w:w="28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7.4197</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9.1597</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9.6497</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9.2497</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5.3897</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3.0797</w:t>
            </w:r>
          </w:p>
        </w:tc>
        <w:tc>
          <w:tcPr>
            <w:tcW w:w="2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1.2197</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1.0997</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0.6497</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0.8397</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0.2697</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trPr>
        <w:tc>
          <w:tcPr>
            <w:tcW w:w="30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1"/>
                <w:szCs w:val="21"/>
                <w:u w:val="none"/>
              </w:rPr>
            </w:pPr>
          </w:p>
        </w:tc>
        <w:tc>
          <w:tcPr>
            <w:tcW w:w="31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28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1"/>
                <w:szCs w:val="21"/>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水量变幅（％）</w:t>
            </w:r>
          </w:p>
        </w:tc>
        <w:tc>
          <w:tcPr>
            <w:tcW w:w="28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22.51%</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18.89%</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17.93%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18.05%</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32.10%</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54.22%</w:t>
            </w:r>
          </w:p>
        </w:tc>
        <w:tc>
          <w:tcPr>
            <w:tcW w:w="2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06"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2"/>
                <w:szCs w:val="22"/>
                <w:u w:val="none"/>
              </w:rPr>
            </w:pPr>
            <w:r>
              <w:rPr>
                <w:rFonts w:hint="eastAsia" w:ascii="宋体" w:hAnsi="宋体" w:eastAsia="宋体" w:cs="宋体"/>
                <w:i w:val="0"/>
                <w:iCs w:val="0"/>
                <w:color w:val="0000FF"/>
                <w:kern w:val="0"/>
                <w:sz w:val="22"/>
                <w:szCs w:val="22"/>
                <w:u w:val="none"/>
                <w:lang w:val="en-US" w:eastAsia="zh-CN" w:bidi="ar"/>
              </w:rPr>
              <w:t>姜中水库</w:t>
            </w:r>
          </w:p>
        </w:tc>
        <w:tc>
          <w:tcPr>
            <w:tcW w:w="312"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11.3</w:t>
            </w:r>
          </w:p>
        </w:tc>
        <w:tc>
          <w:tcPr>
            <w:tcW w:w="288"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8.2</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入库径流</w:t>
            </w:r>
          </w:p>
        </w:tc>
        <w:tc>
          <w:tcPr>
            <w:tcW w:w="28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2.68</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3.47</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3.7</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3.54</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1.71</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0.66</w:t>
            </w:r>
          </w:p>
        </w:tc>
        <w:tc>
          <w:tcPr>
            <w:tcW w:w="2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0.57</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0.52</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0.3</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0.39</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0.12</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0"/>
                <w:szCs w:val="20"/>
                <w:u w:val="none"/>
              </w:rPr>
            </w:pPr>
            <w:r>
              <w:rPr>
                <w:rFonts w:hint="default" w:ascii="Times New Roman" w:hAnsi="Times New Roman" w:eastAsia="宋体" w:cs="Times New Roman"/>
                <w:i w:val="0"/>
                <w:iCs w:val="0"/>
                <w:color w:val="0000FF"/>
                <w:kern w:val="0"/>
                <w:sz w:val="20"/>
                <w:szCs w:val="20"/>
                <w:u w:val="none"/>
                <w:lang w:val="en-US" w:eastAsia="zh-CN" w:bidi="ar"/>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5" w:hRule="atLeast"/>
        </w:trPr>
        <w:tc>
          <w:tcPr>
            <w:tcW w:w="30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2"/>
                <w:szCs w:val="22"/>
                <w:u w:val="none"/>
              </w:rPr>
            </w:pPr>
          </w:p>
        </w:tc>
        <w:tc>
          <w:tcPr>
            <w:tcW w:w="312"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28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本工程入库量</w:t>
            </w:r>
          </w:p>
        </w:tc>
        <w:tc>
          <w:tcPr>
            <w:tcW w:w="287"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0.67</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0.69</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0.69</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0.67</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0.69</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0.67</w:t>
            </w:r>
          </w:p>
        </w:tc>
        <w:tc>
          <w:tcPr>
            <w:tcW w:w="2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30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2"/>
                <w:szCs w:val="22"/>
                <w:u w:val="none"/>
              </w:rPr>
            </w:pPr>
          </w:p>
        </w:tc>
        <w:tc>
          <w:tcPr>
            <w:tcW w:w="312"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28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总入库量</w:t>
            </w:r>
          </w:p>
        </w:tc>
        <w:tc>
          <w:tcPr>
            <w:tcW w:w="287"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3.35</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4.16</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4.39</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4.21</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2.4</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1.33</w:t>
            </w:r>
          </w:p>
        </w:tc>
        <w:tc>
          <w:tcPr>
            <w:tcW w:w="2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0.57</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0.52</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0.3</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0.39</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0.12</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0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2"/>
                <w:szCs w:val="22"/>
                <w:u w:val="none"/>
              </w:rPr>
            </w:pPr>
          </w:p>
        </w:tc>
        <w:tc>
          <w:tcPr>
            <w:tcW w:w="312"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28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生态流量</w:t>
            </w:r>
          </w:p>
        </w:tc>
        <w:tc>
          <w:tcPr>
            <w:tcW w:w="28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2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30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2"/>
                <w:szCs w:val="22"/>
                <w:u w:val="none"/>
              </w:rPr>
            </w:pPr>
          </w:p>
        </w:tc>
        <w:tc>
          <w:tcPr>
            <w:tcW w:w="312"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28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出库流量</w:t>
            </w:r>
          </w:p>
        </w:tc>
        <w:tc>
          <w:tcPr>
            <w:tcW w:w="287"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3.3494</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4.1594</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4.3894</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4.2094</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2.3994</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1.3294</w:t>
            </w:r>
          </w:p>
        </w:tc>
        <w:tc>
          <w:tcPr>
            <w:tcW w:w="2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0.5694</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0.5194</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0.2994</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0.3894</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0.1194</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0.1094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trPr>
        <w:tc>
          <w:tcPr>
            <w:tcW w:w="30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2"/>
                <w:szCs w:val="22"/>
                <w:u w:val="none"/>
              </w:rPr>
            </w:pPr>
          </w:p>
        </w:tc>
        <w:tc>
          <w:tcPr>
            <w:tcW w:w="312"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28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水量变幅（％）</w:t>
            </w:r>
          </w:p>
        </w:tc>
        <w:tc>
          <w:tcPr>
            <w:tcW w:w="287"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20.00%</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16.59%</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15.72%</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15.91%</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28.75%</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50.38%</w:t>
            </w:r>
          </w:p>
        </w:tc>
        <w:tc>
          <w:tcPr>
            <w:tcW w:w="2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306"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2"/>
                <w:szCs w:val="22"/>
                <w:u w:val="none"/>
              </w:rPr>
            </w:pPr>
            <w:r>
              <w:rPr>
                <w:rFonts w:hint="eastAsia" w:ascii="宋体" w:hAnsi="宋体" w:eastAsia="宋体" w:cs="宋体"/>
                <w:i w:val="0"/>
                <w:iCs w:val="0"/>
                <w:color w:val="0000FF"/>
                <w:kern w:val="0"/>
                <w:sz w:val="22"/>
                <w:szCs w:val="22"/>
                <w:u w:val="none"/>
                <w:lang w:val="en-US" w:eastAsia="zh-CN" w:bidi="ar"/>
              </w:rPr>
              <w:t>李官坟水库</w:t>
            </w:r>
          </w:p>
        </w:tc>
        <w:tc>
          <w:tcPr>
            <w:tcW w:w="312"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11.3</w:t>
            </w:r>
          </w:p>
        </w:tc>
        <w:tc>
          <w:tcPr>
            <w:tcW w:w="288"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3.8</w:t>
            </w: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入库径流</w:t>
            </w:r>
          </w:p>
        </w:tc>
        <w:tc>
          <w:tcPr>
            <w:tcW w:w="287"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0.76</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1.62</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4.06</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1.59</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1.16</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0.42</w:t>
            </w:r>
          </w:p>
        </w:tc>
        <w:tc>
          <w:tcPr>
            <w:tcW w:w="2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0.32</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0.32</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0.24</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0.18</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0.06</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25" w:hRule="atLeast"/>
        </w:trPr>
        <w:tc>
          <w:tcPr>
            <w:tcW w:w="30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2"/>
                <w:szCs w:val="22"/>
                <w:u w:val="none"/>
              </w:rPr>
            </w:pPr>
          </w:p>
        </w:tc>
        <w:tc>
          <w:tcPr>
            <w:tcW w:w="312"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28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本工程入库量</w:t>
            </w:r>
          </w:p>
        </w:tc>
        <w:tc>
          <w:tcPr>
            <w:tcW w:w="287"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0.49</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0.51</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0.51</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0.49</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0.51</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0.49</w:t>
            </w:r>
          </w:p>
        </w:tc>
        <w:tc>
          <w:tcPr>
            <w:tcW w:w="2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30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2"/>
                <w:szCs w:val="22"/>
                <w:u w:val="none"/>
              </w:rPr>
            </w:pPr>
          </w:p>
        </w:tc>
        <w:tc>
          <w:tcPr>
            <w:tcW w:w="312"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28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总入库量</w:t>
            </w:r>
          </w:p>
        </w:tc>
        <w:tc>
          <w:tcPr>
            <w:tcW w:w="287"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1.25</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2.13</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4.57</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2.08</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1.67</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0.91</w:t>
            </w:r>
          </w:p>
        </w:tc>
        <w:tc>
          <w:tcPr>
            <w:tcW w:w="2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0.32</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0.32</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0.24</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0.18</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0.06</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30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2"/>
                <w:szCs w:val="22"/>
                <w:u w:val="none"/>
              </w:rPr>
            </w:pPr>
          </w:p>
        </w:tc>
        <w:tc>
          <w:tcPr>
            <w:tcW w:w="312"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28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生态流量</w:t>
            </w:r>
          </w:p>
        </w:tc>
        <w:tc>
          <w:tcPr>
            <w:tcW w:w="28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31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c>
          <w:tcPr>
            <w:tcW w:w="2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30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2"/>
                <w:szCs w:val="22"/>
                <w:u w:val="none"/>
              </w:rPr>
            </w:pPr>
          </w:p>
        </w:tc>
        <w:tc>
          <w:tcPr>
            <w:tcW w:w="312"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28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出库流量</w:t>
            </w:r>
          </w:p>
        </w:tc>
        <w:tc>
          <w:tcPr>
            <w:tcW w:w="287"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1.2497</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2.1297</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4.5697</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2.0797</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1.6697</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0.9097</w:t>
            </w:r>
          </w:p>
        </w:tc>
        <w:tc>
          <w:tcPr>
            <w:tcW w:w="2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0.3197</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0.3197</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0.2397</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0.1797</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0.0597</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0.2697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0" w:hRule="atLeast"/>
        </w:trPr>
        <w:tc>
          <w:tcPr>
            <w:tcW w:w="30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0000FF"/>
                <w:sz w:val="22"/>
                <w:szCs w:val="22"/>
                <w:u w:val="none"/>
              </w:rPr>
            </w:pPr>
          </w:p>
        </w:tc>
        <w:tc>
          <w:tcPr>
            <w:tcW w:w="312"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288"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0000FF"/>
                <w:sz w:val="22"/>
                <w:szCs w:val="22"/>
                <w:u w:val="none"/>
              </w:rPr>
            </w:pPr>
          </w:p>
        </w:tc>
        <w:tc>
          <w:tcPr>
            <w:tcW w:w="4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水量变幅（％）</w:t>
            </w:r>
          </w:p>
        </w:tc>
        <w:tc>
          <w:tcPr>
            <w:tcW w:w="287"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39.20%</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23.94%</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11.16%</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23.56%</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30.54%</w:t>
            </w:r>
          </w:p>
        </w:tc>
        <w:tc>
          <w:tcPr>
            <w:tcW w:w="31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53.85%</w:t>
            </w:r>
          </w:p>
        </w:tc>
        <w:tc>
          <w:tcPr>
            <w:tcW w:w="2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29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bl>
    <w:p>
      <w:pPr>
        <w:rPr>
          <w:rFonts w:hint="eastAsia"/>
          <w:color w:val="0000FF"/>
          <w:sz w:val="21"/>
          <w:szCs w:val="21"/>
          <w:lang w:val="en-US" w:eastAsia="zh-CN"/>
        </w:rPr>
      </w:pPr>
      <w:r>
        <w:rPr>
          <w:rFonts w:hint="eastAsia"/>
          <w:color w:val="0000FF"/>
          <w:sz w:val="21"/>
          <w:szCs w:val="21"/>
          <w:lang w:val="en-US" w:eastAsia="zh-CN"/>
        </w:rPr>
        <w:t>注：项目在丰水期向现有水库补水以备枯水期使用。故未计算12月、1月、2月、3月、4月、5月受水水库供水水文情势。</w:t>
      </w:r>
    </w:p>
    <w:p>
      <w:pPr>
        <w:pStyle w:val="35"/>
        <w:ind w:firstLine="643"/>
        <w:rPr>
          <w:rFonts w:hint="default" w:ascii="Times New Roman" w:hAnsi="Times New Roman" w:cs="Times New Roman"/>
          <w:b w:val="0"/>
          <w:bCs w:val="0"/>
          <w:color w:val="0000FF"/>
          <w:lang w:val="en-US" w:eastAsia="zh-CN"/>
        </w:rPr>
      </w:pPr>
      <w:r>
        <w:rPr>
          <w:rFonts w:hint="default" w:ascii="Times New Roman" w:hAnsi="Times New Roman" w:cs="Times New Roman"/>
          <w:b w:val="0"/>
          <w:bCs w:val="0"/>
          <w:color w:val="0000FF"/>
          <w:lang w:val="en-US" w:eastAsia="zh-CN"/>
        </w:rPr>
        <w:t>从表5.2.2-2可以看出，</w:t>
      </w:r>
      <w:r>
        <w:rPr>
          <w:rFonts w:hint="eastAsia" w:cs="Times New Roman"/>
          <w:b w:val="0"/>
          <w:bCs w:val="0"/>
          <w:color w:val="0000FF"/>
          <w:lang w:val="en-US" w:eastAsia="zh-CN"/>
        </w:rPr>
        <w:t>75％保证率下</w:t>
      </w:r>
      <w:r>
        <w:rPr>
          <w:rFonts w:hint="default" w:ascii="Times New Roman" w:hAnsi="Times New Roman" w:cs="Times New Roman"/>
          <w:b w:val="0"/>
          <w:bCs w:val="0"/>
          <w:color w:val="0000FF"/>
          <w:lang w:val="en-US" w:eastAsia="zh-CN"/>
        </w:rPr>
        <w:t>本工程供水量入库后界牌箐水库水量变幅为</w:t>
      </w:r>
      <w:r>
        <w:rPr>
          <w:rFonts w:hint="eastAsia" w:cs="Times New Roman"/>
          <w:b w:val="0"/>
          <w:bCs w:val="0"/>
          <w:color w:val="0000FF"/>
          <w:lang w:val="en-US" w:eastAsia="zh-CN"/>
        </w:rPr>
        <w:t>18.99</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61.11</w:t>
      </w:r>
      <w:r>
        <w:rPr>
          <w:rFonts w:hint="default" w:ascii="Times New Roman" w:hAnsi="Times New Roman" w:cs="Times New Roman"/>
          <w:b w:val="0"/>
          <w:bCs w:val="0"/>
          <w:color w:val="0000FF"/>
          <w:lang w:val="en-US" w:eastAsia="zh-CN"/>
        </w:rPr>
        <w:t>％；水平石水库水量变幅为</w:t>
      </w:r>
      <w:r>
        <w:rPr>
          <w:rFonts w:hint="eastAsia" w:cs="Times New Roman"/>
          <w:b w:val="0"/>
          <w:bCs w:val="0"/>
          <w:color w:val="0000FF"/>
          <w:lang w:val="en-US" w:eastAsia="zh-CN"/>
        </w:rPr>
        <w:t>20.94</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64.23</w:t>
      </w:r>
      <w:r>
        <w:rPr>
          <w:rFonts w:hint="default" w:ascii="Times New Roman" w:hAnsi="Times New Roman" w:cs="Times New Roman"/>
          <w:b w:val="0"/>
          <w:bCs w:val="0"/>
          <w:color w:val="0000FF"/>
          <w:lang w:val="en-US" w:eastAsia="zh-CN"/>
        </w:rPr>
        <w:t>％；姜中水库水量变幅为</w:t>
      </w:r>
      <w:r>
        <w:rPr>
          <w:rFonts w:hint="eastAsia" w:cs="Times New Roman"/>
          <w:b w:val="0"/>
          <w:bCs w:val="0"/>
          <w:color w:val="0000FF"/>
          <w:lang w:val="en-US" w:eastAsia="zh-CN"/>
        </w:rPr>
        <w:t>18.45</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~60.91</w:t>
      </w:r>
      <w:r>
        <w:rPr>
          <w:rFonts w:hint="default" w:ascii="Times New Roman" w:hAnsi="Times New Roman" w:cs="Times New Roman"/>
          <w:b w:val="0"/>
          <w:bCs w:val="0"/>
          <w:color w:val="0000FF"/>
          <w:lang w:val="en-US" w:eastAsia="zh-CN"/>
        </w:rPr>
        <w:t>％；李官坟水库水量变幅为</w:t>
      </w:r>
      <w:r>
        <w:rPr>
          <w:rFonts w:hint="eastAsia" w:cs="Times New Roman"/>
          <w:b w:val="0"/>
          <w:bCs w:val="0"/>
          <w:color w:val="0000FF"/>
          <w:lang w:val="en-US" w:eastAsia="zh-CN"/>
        </w:rPr>
        <w:t>15.69</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63.64</w:t>
      </w:r>
      <w:r>
        <w:rPr>
          <w:rFonts w:hint="default" w:ascii="Times New Roman" w:hAnsi="Times New Roman" w:cs="Times New Roman"/>
          <w:b w:val="0"/>
          <w:bCs w:val="0"/>
          <w:color w:val="0000FF"/>
          <w:lang w:val="en-US" w:eastAsia="zh-CN"/>
        </w:rPr>
        <w:t>%。</w:t>
      </w:r>
    </w:p>
    <w:p>
      <w:pPr>
        <w:pStyle w:val="35"/>
        <w:ind w:firstLine="643"/>
        <w:rPr>
          <w:rFonts w:hint="default"/>
          <w:b w:val="0"/>
          <w:bCs w:val="0"/>
          <w:color w:val="auto"/>
          <w:lang w:val="en-US" w:eastAsia="zh-CN"/>
        </w:rPr>
      </w:pPr>
    </w:p>
    <w:p>
      <w:pPr>
        <w:pStyle w:val="35"/>
        <w:ind w:firstLine="643"/>
        <w:rPr>
          <w:rFonts w:hint="eastAsia"/>
          <w:b w:val="0"/>
          <w:bCs w:val="0"/>
          <w:color w:val="auto"/>
          <w:lang w:val="en-US" w:eastAsia="zh-CN"/>
        </w:rPr>
        <w:sectPr>
          <w:pgSz w:w="16838" w:h="11906" w:orient="landscape"/>
          <w:pgMar w:top="1800" w:right="1440" w:bottom="1800" w:left="1440" w:header="851" w:footer="992" w:gutter="0"/>
          <w:pgNumType w:fmt="decimal"/>
          <w:cols w:space="425" w:num="1"/>
          <w:docGrid w:type="lines" w:linePitch="312" w:charSpace="0"/>
        </w:sectPr>
      </w:pPr>
    </w:p>
    <w:p>
      <w:pPr>
        <w:rPr>
          <w:rFonts w:hint="eastAsia" w:ascii="Times New Roman" w:hAnsi="Times New Roman" w:cs="Times New Roman"/>
          <w:b/>
          <w:bCs/>
          <w:color w:val="0000FF"/>
          <w:kern w:val="0"/>
          <w:sz w:val="24"/>
          <w:szCs w:val="24"/>
          <w:lang w:val="en-US" w:eastAsia="zh-CN" w:bidi="ar"/>
        </w:rPr>
      </w:pPr>
      <w:r>
        <w:rPr>
          <w:rFonts w:hint="eastAsia" w:ascii="Times New Roman" w:hAnsi="Times New Roman" w:cs="Times New Roman"/>
          <w:b/>
          <w:bCs/>
          <w:color w:val="0000FF"/>
          <w:kern w:val="0"/>
          <w:sz w:val="24"/>
          <w:szCs w:val="24"/>
          <w:lang w:val="en-US" w:eastAsia="zh-CN" w:bidi="ar"/>
        </w:rPr>
        <w:t>②水位</w:t>
      </w:r>
    </w:p>
    <w:p>
      <w:pPr>
        <w:rPr>
          <w:rFonts w:hint="eastAsia" w:ascii="Times New Roman" w:hAnsi="Times New Roman" w:cs="Times New Roman"/>
          <w:b w:val="0"/>
          <w:bCs w:val="0"/>
          <w:color w:val="0000FF"/>
          <w:kern w:val="0"/>
          <w:sz w:val="24"/>
          <w:szCs w:val="24"/>
          <w:lang w:val="en-US" w:eastAsia="zh-CN" w:bidi="ar"/>
        </w:rPr>
      </w:pPr>
      <w:r>
        <w:rPr>
          <w:rFonts w:hint="eastAsia" w:cs="Times New Roman"/>
          <w:color w:val="0000FF"/>
          <w:kern w:val="0"/>
          <w:sz w:val="24"/>
          <w:szCs w:val="24"/>
          <w:lang w:val="en-US" w:eastAsia="zh-CN" w:bidi="ar"/>
        </w:rPr>
        <w:t>本项目</w:t>
      </w:r>
      <w:r>
        <w:rPr>
          <w:rFonts w:hint="default" w:ascii="Times New Roman" w:hAnsi="Times New Roman" w:cs="Times New Roman"/>
          <w:color w:val="0000FF"/>
          <w:kern w:val="0"/>
          <w:sz w:val="24"/>
          <w:szCs w:val="24"/>
          <w:lang w:val="en-US" w:eastAsia="zh-CN" w:bidi="ar"/>
        </w:rPr>
        <w:t>北干管向北输水至平坦提水泵站、白秧树泵站，经平坦泵站提水管线、白秧树泵站1#提水管线、白秧树泵站2#提水管线输水。平坦泵站</w:t>
      </w:r>
      <w:r>
        <w:rPr>
          <w:rFonts w:hint="eastAsia" w:cs="Times New Roman"/>
          <w:color w:val="0000FF"/>
          <w:kern w:val="0"/>
          <w:sz w:val="24"/>
          <w:szCs w:val="24"/>
          <w:lang w:val="en-US" w:eastAsia="zh-CN" w:bidi="ar"/>
        </w:rPr>
        <w:t>通过闸阀</w:t>
      </w:r>
      <w:r>
        <w:rPr>
          <w:rFonts w:hint="default" w:ascii="Times New Roman" w:hAnsi="Times New Roman" w:cs="Times New Roman"/>
          <w:color w:val="0000FF"/>
          <w:kern w:val="0"/>
          <w:sz w:val="24"/>
          <w:szCs w:val="24"/>
          <w:lang w:val="en-US" w:eastAsia="zh-CN" w:bidi="ar"/>
        </w:rPr>
        <w:t>预留姜中水库、李官坟水库分水口，白秧树泵站1#提水管线输水</w:t>
      </w:r>
      <w:r>
        <w:rPr>
          <w:rFonts w:hint="eastAsia" w:cs="Times New Roman"/>
          <w:color w:val="0000FF"/>
          <w:kern w:val="0"/>
          <w:sz w:val="24"/>
          <w:szCs w:val="24"/>
          <w:lang w:val="en-US" w:eastAsia="zh-CN" w:bidi="ar"/>
        </w:rPr>
        <w:t>通过渠道进入</w:t>
      </w:r>
      <w:r>
        <w:rPr>
          <w:rFonts w:hint="default" w:ascii="Times New Roman" w:hAnsi="Times New Roman" w:cs="Times New Roman"/>
          <w:color w:val="0000FF"/>
          <w:kern w:val="0"/>
          <w:sz w:val="24"/>
          <w:szCs w:val="24"/>
          <w:lang w:val="en-US" w:eastAsia="zh-CN" w:bidi="ar"/>
        </w:rPr>
        <w:t>界牌箐水库，白秧树泵站2#提水管线输水</w:t>
      </w:r>
      <w:r>
        <w:rPr>
          <w:rFonts w:hint="eastAsia" w:cs="Times New Roman"/>
          <w:color w:val="0000FF"/>
          <w:kern w:val="0"/>
          <w:sz w:val="24"/>
          <w:szCs w:val="24"/>
          <w:lang w:val="en-US" w:eastAsia="zh-CN" w:bidi="ar"/>
        </w:rPr>
        <w:t>通过渠道进入</w:t>
      </w:r>
      <w:r>
        <w:rPr>
          <w:rFonts w:hint="default" w:ascii="Times New Roman" w:hAnsi="Times New Roman" w:cs="Times New Roman"/>
          <w:color w:val="0000FF"/>
          <w:kern w:val="0"/>
          <w:sz w:val="24"/>
          <w:szCs w:val="24"/>
          <w:lang w:val="en-US" w:eastAsia="zh-CN" w:bidi="ar"/>
        </w:rPr>
        <w:t>水平石水库。</w:t>
      </w:r>
    </w:p>
    <w:p>
      <w:pPr>
        <w:rPr>
          <w:rFonts w:hint="default" w:ascii="Times New Roman" w:hAnsi="Times New Roman" w:cs="Times New Roman"/>
          <w:b w:val="0"/>
          <w:bCs w:val="0"/>
          <w:color w:val="0000FF"/>
          <w:kern w:val="0"/>
          <w:sz w:val="24"/>
          <w:szCs w:val="24"/>
          <w:lang w:val="en-US" w:eastAsia="zh-CN" w:bidi="ar"/>
        </w:rPr>
      </w:pPr>
      <w:r>
        <w:rPr>
          <w:rFonts w:hint="eastAsia" w:cs="Times New Roman"/>
          <w:b w:val="0"/>
          <w:bCs w:val="0"/>
          <w:color w:val="0000FF"/>
          <w:kern w:val="0"/>
          <w:sz w:val="24"/>
          <w:szCs w:val="24"/>
          <w:lang w:val="en-US" w:eastAsia="zh-CN" w:bidi="ar"/>
        </w:rPr>
        <w:t>受水区四座水库库容及接受补水量相差不大，选取界牌箐水库补水前后的运行水位进行分析。界牌箐水库总库容为10.1万m³，正常蓄水位为1905.6m，自然年逐月运行水位及水深如表5.2.2-4所示。</w:t>
      </w:r>
    </w:p>
    <w:p>
      <w:pPr>
        <w:spacing w:line="240" w:lineRule="auto"/>
        <w:jc w:val="center"/>
        <w:rPr>
          <w:rFonts w:hint="default" w:ascii="Times New Roman" w:hAnsi="Times New Roman" w:cs="Times New Roman"/>
          <w:b/>
          <w:bCs/>
          <w:color w:val="0000FF"/>
          <w:kern w:val="0"/>
          <w:sz w:val="24"/>
          <w:szCs w:val="24"/>
          <w:lang w:val="en-US" w:eastAsia="zh-CN" w:bidi="ar"/>
        </w:rPr>
      </w:pPr>
      <w:r>
        <w:rPr>
          <w:rFonts w:hint="eastAsia" w:ascii="Times New Roman" w:hAnsi="Times New Roman" w:cs="Times New Roman"/>
          <w:b/>
          <w:bCs/>
          <w:color w:val="0000FF"/>
          <w:kern w:val="0"/>
          <w:sz w:val="24"/>
          <w:szCs w:val="24"/>
          <w:lang w:val="en-US" w:eastAsia="zh-CN" w:bidi="ar"/>
        </w:rPr>
        <w:t>表5.2.2-</w:t>
      </w:r>
      <w:r>
        <w:rPr>
          <w:rFonts w:hint="eastAsia" w:cs="Times New Roman"/>
          <w:b/>
          <w:bCs/>
          <w:color w:val="0000FF"/>
          <w:kern w:val="0"/>
          <w:sz w:val="24"/>
          <w:szCs w:val="24"/>
          <w:lang w:val="en-US" w:eastAsia="zh-CN" w:bidi="ar"/>
        </w:rPr>
        <w:t>4</w:t>
      </w:r>
      <w:r>
        <w:rPr>
          <w:rFonts w:hint="eastAsia" w:ascii="Times New Roman" w:hAnsi="Times New Roman" w:cs="Times New Roman"/>
          <w:b/>
          <w:bCs/>
          <w:color w:val="0000FF"/>
          <w:kern w:val="0"/>
          <w:sz w:val="24"/>
          <w:szCs w:val="24"/>
          <w:lang w:val="en-US" w:eastAsia="zh-CN" w:bidi="ar"/>
        </w:rPr>
        <w:t xml:space="preserve"> </w:t>
      </w:r>
      <w:r>
        <w:rPr>
          <w:rFonts w:hint="eastAsia" w:cs="Times New Roman"/>
          <w:b/>
          <w:bCs/>
          <w:color w:val="0000FF"/>
          <w:kern w:val="0"/>
          <w:sz w:val="24"/>
          <w:szCs w:val="24"/>
          <w:lang w:val="en-US" w:eastAsia="zh-CN" w:bidi="ar"/>
        </w:rPr>
        <w:t xml:space="preserve">  界牌箐水库自然年逐月运行水位及水深</w:t>
      </w:r>
    </w:p>
    <w:tbl>
      <w:tblPr>
        <w:tblStyle w:val="29"/>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76"/>
        <w:gridCol w:w="1107"/>
        <w:gridCol w:w="1107"/>
        <w:gridCol w:w="1107"/>
        <w:gridCol w:w="1107"/>
        <w:gridCol w:w="1107"/>
        <w:gridCol w:w="1107"/>
        <w:gridCol w:w="1107"/>
        <w:gridCol w:w="1107"/>
        <w:gridCol w:w="1107"/>
        <w:gridCol w:w="1108"/>
        <w:gridCol w:w="1108"/>
        <w:gridCol w:w="81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color w:val="0000FF"/>
                <w:sz w:val="21"/>
                <w:szCs w:val="21"/>
                <w:u w:val="none"/>
                <w:lang w:val="en-US" w:eastAsia="zh-CN"/>
              </w:rPr>
            </w:pPr>
            <w:r>
              <w:rPr>
                <w:rFonts w:hint="eastAsia" w:ascii="宋体" w:hAnsi="宋体" w:eastAsia="宋体" w:cs="宋体"/>
                <w:i w:val="0"/>
                <w:iCs w:val="0"/>
                <w:color w:val="0000FF"/>
                <w:sz w:val="21"/>
                <w:szCs w:val="21"/>
                <w:u w:val="none"/>
                <w:lang w:val="en-US" w:eastAsia="zh-CN"/>
              </w:rPr>
              <w:t>时段</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7</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8</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9</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10</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12</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4</w:t>
            </w:r>
            <w:r>
              <w:rPr>
                <w:rStyle w:val="69"/>
                <w:color w:val="0000FF"/>
                <w:lang w:val="en-US" w:eastAsia="zh-CN" w:bidi="ar"/>
              </w:rPr>
              <w:t>月</w:t>
            </w: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w:t>
            </w:r>
            <w:r>
              <w:rPr>
                <w:rStyle w:val="69"/>
                <w:color w:val="0000FF"/>
                <w:lang w:val="en-US" w:eastAsia="zh-CN" w:bidi="ar"/>
              </w:rPr>
              <w:t>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运行水位（m）</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1902.77</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1903.43</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1903.63</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1903.48</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1902.17</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1900.76</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1900.65</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1900.59</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1900.26</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1900.44</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1900.03</w:t>
            </w: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宋体" w:hAnsi="宋体" w:eastAsia="宋体" w:cs="宋体"/>
                <w:i w:val="0"/>
                <w:iCs w:val="0"/>
                <w:color w:val="0000FF"/>
                <w:kern w:val="0"/>
                <w:sz w:val="21"/>
                <w:szCs w:val="21"/>
                <w:u w:val="none"/>
                <w:lang w:val="en-US" w:eastAsia="zh-CN" w:bidi="ar"/>
              </w:rPr>
            </w:pPr>
            <w:r>
              <w:rPr>
                <w:rFonts w:hint="eastAsia" w:ascii="宋体" w:hAnsi="宋体" w:eastAsia="宋体" w:cs="宋体"/>
                <w:i w:val="0"/>
                <w:iCs w:val="0"/>
                <w:color w:val="0000FF"/>
                <w:kern w:val="0"/>
                <w:sz w:val="21"/>
                <w:szCs w:val="21"/>
                <w:u w:val="none"/>
                <w:lang w:val="en-US" w:eastAsia="zh-CN" w:bidi="ar"/>
              </w:rPr>
              <w:t>水深（m）</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ascii="Times New Roman" w:hAnsi="Times New Roman" w:eastAsia="宋体" w:cs="Times New Roman"/>
                <w:i w:val="0"/>
                <w:iCs w:val="0"/>
                <w:color w:val="0000FF"/>
                <w:kern w:val="0"/>
                <w:sz w:val="21"/>
                <w:szCs w:val="21"/>
                <w:u w:val="none"/>
                <w:lang w:val="en-US" w:eastAsia="zh-CN" w:bidi="ar"/>
              </w:rPr>
              <w:t>3.77</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ascii="Times New Roman" w:hAnsi="Times New Roman" w:eastAsia="宋体" w:cs="Times New Roman"/>
                <w:i w:val="0"/>
                <w:iCs w:val="0"/>
                <w:color w:val="0000FF"/>
                <w:kern w:val="0"/>
                <w:sz w:val="21"/>
                <w:szCs w:val="21"/>
                <w:u w:val="none"/>
                <w:lang w:val="en-US" w:eastAsia="zh-CN" w:bidi="ar"/>
              </w:rPr>
              <w:t>4.34</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ascii="Times New Roman" w:hAnsi="Times New Roman" w:eastAsia="宋体" w:cs="Times New Roman"/>
                <w:i w:val="0"/>
                <w:iCs w:val="0"/>
                <w:color w:val="0000FF"/>
                <w:kern w:val="0"/>
                <w:sz w:val="21"/>
                <w:szCs w:val="21"/>
                <w:u w:val="none"/>
                <w:lang w:val="en-US" w:eastAsia="zh-CN" w:bidi="ar"/>
              </w:rPr>
              <w:t>4.63</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ascii="Times New Roman" w:hAnsi="Times New Roman" w:eastAsia="宋体" w:cs="Times New Roman"/>
                <w:i w:val="0"/>
                <w:iCs w:val="0"/>
                <w:color w:val="0000FF"/>
                <w:kern w:val="0"/>
                <w:sz w:val="21"/>
                <w:szCs w:val="21"/>
                <w:u w:val="none"/>
                <w:lang w:val="en-US" w:eastAsia="zh-CN" w:bidi="ar"/>
              </w:rPr>
              <w:t>4.38</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ascii="Times New Roman" w:hAnsi="Times New Roman" w:eastAsia="宋体" w:cs="Times New Roman"/>
                <w:i w:val="0"/>
                <w:iCs w:val="0"/>
                <w:color w:val="0000FF"/>
                <w:kern w:val="0"/>
                <w:sz w:val="21"/>
                <w:szCs w:val="21"/>
                <w:u w:val="none"/>
                <w:lang w:val="en-US" w:eastAsia="zh-CN" w:bidi="ar"/>
              </w:rPr>
              <w:t>3.17</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ascii="Times New Roman" w:hAnsi="Times New Roman" w:eastAsia="宋体" w:cs="Times New Roman"/>
                <w:i w:val="0"/>
                <w:iCs w:val="0"/>
                <w:color w:val="0000FF"/>
                <w:kern w:val="0"/>
                <w:sz w:val="21"/>
                <w:szCs w:val="21"/>
                <w:u w:val="none"/>
                <w:lang w:val="en-US" w:eastAsia="zh-CN" w:bidi="ar"/>
              </w:rPr>
              <w:t>1.76</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ascii="Times New Roman" w:hAnsi="Times New Roman" w:eastAsia="宋体" w:cs="Times New Roman"/>
                <w:i w:val="0"/>
                <w:iCs w:val="0"/>
                <w:color w:val="0000FF"/>
                <w:kern w:val="0"/>
                <w:sz w:val="21"/>
                <w:szCs w:val="21"/>
                <w:u w:val="none"/>
                <w:lang w:val="en-US" w:eastAsia="zh-CN" w:bidi="ar"/>
              </w:rPr>
              <w:t>1.65</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ascii="Times New Roman" w:hAnsi="Times New Roman" w:eastAsia="宋体" w:cs="Times New Roman"/>
                <w:i w:val="0"/>
                <w:iCs w:val="0"/>
                <w:color w:val="0000FF"/>
                <w:kern w:val="0"/>
                <w:sz w:val="21"/>
                <w:szCs w:val="21"/>
                <w:u w:val="none"/>
                <w:lang w:val="en-US" w:eastAsia="zh-CN" w:bidi="ar"/>
              </w:rPr>
              <w:t>1.59</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ascii="Times New Roman" w:hAnsi="Times New Roman" w:eastAsia="宋体" w:cs="Times New Roman"/>
                <w:i w:val="0"/>
                <w:iCs w:val="0"/>
                <w:color w:val="0000FF"/>
                <w:kern w:val="0"/>
                <w:sz w:val="21"/>
                <w:szCs w:val="21"/>
                <w:u w:val="none"/>
                <w:lang w:val="en-US" w:eastAsia="zh-CN" w:bidi="ar"/>
              </w:rPr>
              <w:t>1.26</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ascii="Times New Roman" w:hAnsi="Times New Roman" w:eastAsia="宋体" w:cs="Times New Roman"/>
                <w:i w:val="0"/>
                <w:iCs w:val="0"/>
                <w:color w:val="0000FF"/>
                <w:kern w:val="0"/>
                <w:sz w:val="21"/>
                <w:szCs w:val="21"/>
                <w:u w:val="none"/>
                <w:lang w:val="en-US" w:eastAsia="zh-CN" w:bidi="ar"/>
              </w:rPr>
              <w:t>1.44</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ascii="Times New Roman" w:hAnsi="Times New Roman" w:eastAsia="宋体" w:cs="Times New Roman"/>
                <w:i w:val="0"/>
                <w:iCs w:val="0"/>
                <w:color w:val="0000FF"/>
                <w:kern w:val="0"/>
                <w:sz w:val="21"/>
                <w:szCs w:val="21"/>
                <w:u w:val="none"/>
                <w:lang w:val="en-US" w:eastAsia="zh-CN" w:bidi="ar"/>
              </w:rPr>
              <w:t>1.03</w:t>
            </w: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ascii="Times New Roman" w:hAnsi="Times New Roman" w:eastAsia="宋体" w:cs="Times New Roman"/>
                <w:i w:val="0"/>
                <w:iCs w:val="0"/>
                <w:color w:val="0000FF"/>
                <w:kern w:val="0"/>
                <w:sz w:val="21"/>
                <w:szCs w:val="21"/>
                <w:u w:val="none"/>
                <w:lang w:val="en-US" w:eastAsia="zh-CN" w:bidi="ar"/>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i w:val="0"/>
                <w:iCs w:val="0"/>
                <w:color w:val="0000FF"/>
                <w:kern w:val="0"/>
                <w:sz w:val="21"/>
                <w:szCs w:val="21"/>
                <w:u w:val="none"/>
                <w:lang w:val="en-US" w:eastAsia="zh-CN" w:bidi="ar"/>
              </w:rPr>
            </w:pPr>
            <w:r>
              <w:rPr>
                <w:rFonts w:hint="eastAsia" w:ascii="宋体" w:hAnsi="宋体" w:eastAsia="宋体" w:cs="宋体"/>
                <w:i w:val="0"/>
                <w:iCs w:val="0"/>
                <w:color w:val="0000FF"/>
                <w:kern w:val="0"/>
                <w:sz w:val="21"/>
                <w:szCs w:val="21"/>
                <w:u w:val="none"/>
                <w:lang w:val="en-US" w:eastAsia="zh-CN" w:bidi="ar"/>
              </w:rPr>
              <w:t>库容</w:t>
            </w:r>
          </w:p>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宋体" w:hAnsi="宋体" w:eastAsia="宋体" w:cs="宋体"/>
                <w:i w:val="0"/>
                <w:iCs w:val="0"/>
                <w:color w:val="0000FF"/>
                <w:sz w:val="21"/>
                <w:szCs w:val="21"/>
                <w:u w:val="none"/>
                <w:lang w:val="en-US"/>
              </w:rPr>
            </w:pPr>
            <w:r>
              <w:rPr>
                <w:rFonts w:hint="eastAsia" w:ascii="宋体" w:hAnsi="宋体" w:eastAsia="宋体" w:cs="宋体"/>
                <w:i w:val="0"/>
                <w:iCs w:val="0"/>
                <w:color w:val="0000FF"/>
                <w:kern w:val="0"/>
                <w:sz w:val="21"/>
                <w:szCs w:val="21"/>
                <w:u w:val="none"/>
                <w:lang w:val="en-US" w:eastAsia="zh-CN" w:bidi="ar"/>
              </w:rPr>
              <w:t>（万m³）</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6.26</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6.63</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6.74</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6.66</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5.79</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5.29</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5.25</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5.23</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5.12</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5.18</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5.04</w:t>
            </w: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5.03</w:t>
            </w:r>
          </w:p>
        </w:tc>
      </w:tr>
    </w:tbl>
    <w:p>
      <w:pPr>
        <w:rPr>
          <w:rFonts w:hint="default" w:ascii="Times New Roman" w:hAnsi="Times New Roman" w:cs="Times New Roman"/>
          <w:b/>
          <w:bCs/>
          <w:color w:val="0000FF"/>
          <w:kern w:val="0"/>
          <w:sz w:val="24"/>
          <w:szCs w:val="24"/>
          <w:lang w:val="en-US" w:eastAsia="zh-CN" w:bidi="ar"/>
        </w:rPr>
      </w:pPr>
    </w:p>
    <w:p>
      <w:pPr>
        <w:rPr>
          <w:rFonts w:hint="eastAsia" w:cs="Times New Roman"/>
          <w:b w:val="0"/>
          <w:bCs w:val="0"/>
          <w:color w:val="0000FF"/>
          <w:kern w:val="0"/>
          <w:sz w:val="24"/>
          <w:szCs w:val="24"/>
          <w:lang w:val="en-US" w:eastAsia="zh-CN" w:bidi="ar"/>
        </w:rPr>
      </w:pPr>
      <w:r>
        <w:rPr>
          <w:rFonts w:hint="eastAsia" w:cs="Times New Roman"/>
          <w:b w:val="0"/>
          <w:bCs w:val="0"/>
          <w:color w:val="0000FF"/>
          <w:kern w:val="0"/>
          <w:sz w:val="24"/>
          <w:szCs w:val="24"/>
          <w:lang w:val="en-US" w:eastAsia="zh-CN" w:bidi="ar"/>
        </w:rPr>
        <w:t>界牌箐水库</w:t>
      </w:r>
      <w:r>
        <w:rPr>
          <w:rFonts w:hint="default" w:ascii="Times New Roman" w:hAnsi="Times New Roman" w:cs="Times New Roman"/>
          <w:b w:val="0"/>
          <w:bCs w:val="0"/>
          <w:color w:val="0000FF"/>
          <w:kern w:val="0"/>
          <w:sz w:val="24"/>
          <w:szCs w:val="24"/>
          <w:lang w:val="en-US" w:eastAsia="zh-CN" w:bidi="ar"/>
        </w:rPr>
        <w:t>在丰水期向</w:t>
      </w:r>
      <w:r>
        <w:rPr>
          <w:rFonts w:hint="eastAsia" w:cs="Times New Roman"/>
          <w:b w:val="0"/>
          <w:bCs w:val="0"/>
          <w:color w:val="0000FF"/>
          <w:kern w:val="0"/>
          <w:sz w:val="24"/>
          <w:szCs w:val="24"/>
          <w:lang w:val="en-US" w:eastAsia="zh-CN" w:bidi="ar"/>
        </w:rPr>
        <w:t>接受</w:t>
      </w:r>
      <w:r>
        <w:rPr>
          <w:rFonts w:hint="default" w:ascii="Times New Roman" w:hAnsi="Times New Roman" w:cs="Times New Roman"/>
          <w:b w:val="0"/>
          <w:bCs w:val="0"/>
          <w:color w:val="0000FF"/>
          <w:kern w:val="0"/>
          <w:sz w:val="24"/>
          <w:szCs w:val="24"/>
          <w:lang w:val="en-US" w:eastAsia="zh-CN" w:bidi="ar"/>
        </w:rPr>
        <w:t>补水以备枯水期使用</w:t>
      </w:r>
      <w:r>
        <w:rPr>
          <w:rFonts w:hint="eastAsia" w:cs="Times New Roman"/>
          <w:b w:val="0"/>
          <w:bCs w:val="0"/>
          <w:color w:val="0000FF"/>
          <w:kern w:val="0"/>
          <w:sz w:val="24"/>
          <w:szCs w:val="24"/>
          <w:lang w:val="en-US" w:eastAsia="zh-CN" w:bidi="ar"/>
        </w:rPr>
        <w:t>，接受补水后逐月运行水位及水深如表表5.2.2-4所示。</w:t>
      </w:r>
    </w:p>
    <w:p>
      <w:pPr>
        <w:spacing w:line="240" w:lineRule="auto"/>
        <w:jc w:val="center"/>
        <w:rPr>
          <w:rFonts w:hint="default" w:cs="Times New Roman"/>
          <w:b w:val="0"/>
          <w:bCs w:val="0"/>
          <w:color w:val="0000FF"/>
          <w:kern w:val="0"/>
          <w:sz w:val="24"/>
          <w:szCs w:val="24"/>
          <w:lang w:val="en-US" w:eastAsia="zh-CN" w:bidi="ar"/>
        </w:rPr>
      </w:pPr>
      <w:r>
        <w:rPr>
          <w:rFonts w:hint="eastAsia" w:ascii="Times New Roman" w:hAnsi="Times New Roman" w:cs="Times New Roman"/>
          <w:b/>
          <w:bCs/>
          <w:color w:val="0000FF"/>
          <w:kern w:val="0"/>
          <w:sz w:val="24"/>
          <w:szCs w:val="24"/>
          <w:lang w:val="en-US" w:eastAsia="zh-CN" w:bidi="ar"/>
        </w:rPr>
        <w:t>表5.2.2-</w:t>
      </w:r>
      <w:r>
        <w:rPr>
          <w:rFonts w:hint="eastAsia" w:cs="Times New Roman"/>
          <w:b/>
          <w:bCs/>
          <w:color w:val="0000FF"/>
          <w:kern w:val="0"/>
          <w:sz w:val="24"/>
          <w:szCs w:val="24"/>
          <w:lang w:val="en-US" w:eastAsia="zh-CN" w:bidi="ar"/>
        </w:rPr>
        <w:t>5</w:t>
      </w:r>
      <w:r>
        <w:rPr>
          <w:rFonts w:hint="eastAsia" w:ascii="Times New Roman" w:hAnsi="Times New Roman" w:cs="Times New Roman"/>
          <w:b/>
          <w:bCs/>
          <w:color w:val="0000FF"/>
          <w:kern w:val="0"/>
          <w:sz w:val="24"/>
          <w:szCs w:val="24"/>
          <w:lang w:val="en-US" w:eastAsia="zh-CN" w:bidi="ar"/>
        </w:rPr>
        <w:t xml:space="preserve"> </w:t>
      </w:r>
      <w:r>
        <w:rPr>
          <w:rFonts w:hint="eastAsia" w:cs="Times New Roman"/>
          <w:b/>
          <w:bCs/>
          <w:color w:val="0000FF"/>
          <w:kern w:val="0"/>
          <w:sz w:val="24"/>
          <w:szCs w:val="24"/>
          <w:lang w:val="en-US" w:eastAsia="zh-CN" w:bidi="ar"/>
        </w:rPr>
        <w:t xml:space="preserve">  界牌箐水库自然年接受本项目补水后逐月运行水位及水深</w:t>
      </w:r>
    </w:p>
    <w:tbl>
      <w:tblPr>
        <w:tblStyle w:val="29"/>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76"/>
        <w:gridCol w:w="1107"/>
        <w:gridCol w:w="1107"/>
        <w:gridCol w:w="1107"/>
        <w:gridCol w:w="1107"/>
        <w:gridCol w:w="1107"/>
        <w:gridCol w:w="1107"/>
        <w:gridCol w:w="1107"/>
        <w:gridCol w:w="1107"/>
        <w:gridCol w:w="1107"/>
        <w:gridCol w:w="1108"/>
        <w:gridCol w:w="1108"/>
        <w:gridCol w:w="81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ascii="宋体" w:hAnsi="宋体" w:eastAsia="宋体" w:cs="宋体"/>
                <w:i w:val="0"/>
                <w:iCs w:val="0"/>
                <w:color w:val="0000FF"/>
                <w:sz w:val="21"/>
                <w:szCs w:val="21"/>
                <w:u w:val="none"/>
                <w:lang w:val="en-US" w:eastAsia="zh-CN"/>
              </w:rPr>
            </w:pPr>
            <w:r>
              <w:rPr>
                <w:rFonts w:hint="eastAsia" w:ascii="宋体" w:hAnsi="宋体" w:eastAsia="宋体" w:cs="宋体"/>
                <w:i w:val="0"/>
                <w:iCs w:val="0"/>
                <w:color w:val="0000FF"/>
                <w:sz w:val="21"/>
                <w:szCs w:val="21"/>
                <w:u w:val="none"/>
                <w:lang w:val="en-US" w:eastAsia="zh-CN"/>
              </w:rPr>
              <w:t>时段</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7</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8</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9</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10</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12</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w:t>
            </w:r>
            <w:r>
              <w:rPr>
                <w:rStyle w:val="69"/>
                <w:color w:val="0000FF"/>
                <w:lang w:val="en-US" w:eastAsia="zh-CN" w:bidi="ar"/>
              </w:rPr>
              <w:t>月</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4</w:t>
            </w:r>
            <w:r>
              <w:rPr>
                <w:rStyle w:val="69"/>
                <w:color w:val="0000FF"/>
                <w:lang w:val="en-US" w:eastAsia="zh-CN" w:bidi="ar"/>
              </w:rPr>
              <w:t>月</w:t>
            </w: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w:t>
            </w:r>
            <w:r>
              <w:rPr>
                <w:rStyle w:val="69"/>
                <w:color w:val="0000FF"/>
                <w:lang w:val="en-US" w:eastAsia="zh-CN" w:bidi="ar"/>
              </w:rPr>
              <w:t>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运行水位（m）</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1903.36</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1903.89</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1904.06</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1903.92</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1902.54</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1901.54</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1900.65</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1900.59</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1900.26</w:t>
            </w:r>
          </w:p>
        </w:tc>
        <w:tc>
          <w:tcPr>
            <w:tcW w:w="110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1900.44</w:t>
            </w:r>
          </w:p>
        </w:tc>
        <w:tc>
          <w:tcPr>
            <w:tcW w:w="110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1900.03</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1900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宋体" w:hAnsi="宋体" w:eastAsia="宋体" w:cs="宋体"/>
                <w:i w:val="0"/>
                <w:iCs w:val="0"/>
                <w:color w:val="0000FF"/>
                <w:kern w:val="0"/>
                <w:sz w:val="21"/>
                <w:szCs w:val="21"/>
                <w:u w:val="none"/>
                <w:lang w:val="en-US" w:eastAsia="zh-CN" w:bidi="ar"/>
              </w:rPr>
            </w:pPr>
            <w:r>
              <w:rPr>
                <w:rFonts w:hint="eastAsia" w:ascii="宋体" w:hAnsi="宋体" w:eastAsia="宋体" w:cs="宋体"/>
                <w:i w:val="0"/>
                <w:iCs w:val="0"/>
                <w:color w:val="0000FF"/>
                <w:kern w:val="0"/>
                <w:sz w:val="21"/>
                <w:szCs w:val="21"/>
                <w:u w:val="none"/>
                <w:lang w:val="en-US" w:eastAsia="zh-CN" w:bidi="ar"/>
              </w:rPr>
              <w:t>水深（m）</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4.36</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4.89</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5.06</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4.92</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3.54</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2.54</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1.65</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1.59</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1.26</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1.44</w:t>
            </w:r>
          </w:p>
        </w:tc>
        <w:tc>
          <w:tcPr>
            <w:tcW w:w="3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1.03</w:t>
            </w: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trPr>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eastAsia" w:ascii="宋体" w:hAnsi="宋体" w:eastAsia="宋体" w:cs="宋体"/>
                <w:i w:val="0"/>
                <w:iCs w:val="0"/>
                <w:color w:val="0000FF"/>
                <w:kern w:val="0"/>
                <w:sz w:val="21"/>
                <w:szCs w:val="21"/>
                <w:u w:val="none"/>
                <w:lang w:val="en-US" w:eastAsia="zh-CN" w:bidi="ar"/>
              </w:rPr>
            </w:pPr>
            <w:r>
              <w:rPr>
                <w:rFonts w:hint="eastAsia" w:ascii="宋体" w:hAnsi="宋体" w:eastAsia="宋体" w:cs="宋体"/>
                <w:i w:val="0"/>
                <w:iCs w:val="0"/>
                <w:color w:val="0000FF"/>
                <w:kern w:val="0"/>
                <w:sz w:val="21"/>
                <w:szCs w:val="21"/>
                <w:u w:val="none"/>
                <w:lang w:val="en-US" w:eastAsia="zh-CN" w:bidi="ar"/>
              </w:rPr>
              <w:t>库容</w:t>
            </w:r>
          </w:p>
          <w:p>
            <w:pPr>
              <w:keepNext w:val="0"/>
              <w:keepLines w:val="0"/>
              <w:pageBreakBefore w:val="0"/>
              <w:kinsoku/>
              <w:wordWrap/>
              <w:overflowPunct/>
              <w:topLinePunct w:val="0"/>
              <w:autoSpaceDE/>
              <w:autoSpaceDN/>
              <w:bidi w:val="0"/>
              <w:adjustRightInd/>
              <w:snapToGrid w:val="0"/>
              <w:spacing w:line="240" w:lineRule="auto"/>
              <w:ind w:firstLine="0" w:firstLineChars="0"/>
              <w:jc w:val="center"/>
              <w:rPr>
                <w:rFonts w:hint="default" w:ascii="宋体" w:hAnsi="宋体" w:eastAsia="宋体" w:cs="宋体"/>
                <w:i w:val="0"/>
                <w:iCs w:val="0"/>
                <w:color w:val="0000FF"/>
                <w:sz w:val="21"/>
                <w:szCs w:val="21"/>
                <w:u w:val="none"/>
                <w:lang w:val="en-US"/>
              </w:rPr>
            </w:pPr>
            <w:r>
              <w:rPr>
                <w:rFonts w:hint="eastAsia" w:ascii="宋体" w:hAnsi="宋体" w:eastAsia="宋体" w:cs="宋体"/>
                <w:i w:val="0"/>
                <w:iCs w:val="0"/>
                <w:color w:val="0000FF"/>
                <w:kern w:val="0"/>
                <w:sz w:val="21"/>
                <w:szCs w:val="21"/>
                <w:u w:val="none"/>
                <w:lang w:val="en-US" w:eastAsia="zh-CN" w:bidi="ar"/>
              </w:rPr>
              <w:t>（万m³）</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6.59</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6.97</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7.08</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6.99</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6.13</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5.62</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5.25</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5.23</w:t>
            </w:r>
          </w:p>
        </w:tc>
        <w:tc>
          <w:tcPr>
            <w:tcW w:w="110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5.12</w:t>
            </w:r>
          </w:p>
        </w:tc>
        <w:tc>
          <w:tcPr>
            <w:tcW w:w="110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5.18</w:t>
            </w:r>
          </w:p>
        </w:tc>
        <w:tc>
          <w:tcPr>
            <w:tcW w:w="110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5.04</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5.03</w:t>
            </w:r>
          </w:p>
        </w:tc>
      </w:tr>
    </w:tbl>
    <w:p>
      <w:pPr>
        <w:jc w:val="center"/>
        <w:rPr>
          <w:rFonts w:hint="default" w:cs="Times New Roman"/>
          <w:b w:val="0"/>
          <w:bCs w:val="0"/>
          <w:color w:val="0000FF"/>
          <w:kern w:val="0"/>
          <w:sz w:val="24"/>
          <w:szCs w:val="24"/>
          <w:lang w:val="en-US" w:eastAsia="zh-CN" w:bidi="ar"/>
        </w:rPr>
        <w:sectPr>
          <w:pgSz w:w="16838" w:h="11906" w:orient="landscape"/>
          <w:pgMar w:top="1800" w:right="1440" w:bottom="1800" w:left="1440" w:header="851" w:footer="992" w:gutter="0"/>
          <w:pgNumType w:fmt="decimal"/>
          <w:cols w:space="425" w:num="1"/>
          <w:docGrid w:type="lines" w:linePitch="312" w:charSpace="0"/>
        </w:sectPr>
      </w:pPr>
    </w:p>
    <w:p>
      <w:pPr>
        <w:rPr>
          <w:rFonts w:hint="default"/>
          <w:color w:val="0000FF"/>
          <w:lang w:val="en-US" w:eastAsia="zh-CN"/>
        </w:rPr>
      </w:pPr>
      <w:r>
        <w:rPr>
          <w:rFonts w:hint="eastAsia"/>
          <w:color w:val="0000FF"/>
          <w:lang w:val="en-US" w:eastAsia="zh-CN"/>
        </w:rPr>
        <w:t>界牌箐水库接受本项目补水前后水位对比图如下所示：</w:t>
      </w:r>
    </w:p>
    <w:p>
      <w:pPr>
        <w:spacing w:line="240" w:lineRule="auto"/>
        <w:rPr>
          <w:rFonts w:hint="eastAsia"/>
          <w:color w:val="0000FF"/>
          <w:lang w:val="en-US" w:eastAsia="zh-CN"/>
        </w:rPr>
      </w:pPr>
      <w:r>
        <w:drawing>
          <wp:inline distT="0" distB="0" distL="114300" distR="114300">
            <wp:extent cx="4826000" cy="2752725"/>
            <wp:effectExtent l="4445" t="4445" r="15875" b="46990"/>
            <wp:docPr id="57" name="图表 4" descr="7b0a202020202263686172745265734964223a20223230343731343133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pPr>
        <w:spacing w:line="240" w:lineRule="auto"/>
        <w:jc w:val="center"/>
        <w:rPr>
          <w:rFonts w:hint="default"/>
          <w:b/>
          <w:bCs/>
          <w:color w:val="0000FF"/>
          <w:lang w:val="en-US" w:eastAsia="zh-CN"/>
        </w:rPr>
      </w:pPr>
      <w:r>
        <w:rPr>
          <w:rFonts w:hint="eastAsia"/>
          <w:b/>
          <w:bCs/>
          <w:color w:val="0000FF"/>
          <w:lang w:val="en-US" w:eastAsia="zh-CN"/>
        </w:rPr>
        <w:t>图5.2.2-1   本项目补水前后界牌箐水库水位对比图</w:t>
      </w:r>
    </w:p>
    <w:p>
      <w:pPr>
        <w:rPr>
          <w:rFonts w:hint="eastAsia"/>
          <w:color w:val="0000FF"/>
          <w:lang w:val="en-US" w:eastAsia="zh-CN"/>
        </w:rPr>
      </w:pPr>
    </w:p>
    <w:p>
      <w:pPr>
        <w:rPr>
          <w:rFonts w:hint="eastAsia"/>
          <w:color w:val="0000FF"/>
          <w:lang w:val="en-US" w:eastAsia="zh-CN"/>
        </w:rPr>
      </w:pPr>
      <w:r>
        <w:rPr>
          <w:rFonts w:hint="eastAsia"/>
          <w:color w:val="0000FF"/>
          <w:lang w:val="en-US" w:eastAsia="zh-CN"/>
        </w:rPr>
        <w:t>根据表5.2.2-5及图5.2.2-1可知界牌箐水库接收本项目补水后年度最高运行水位为1904.06m，低于正常蓄水位1905.6m，不会造成水库溢流、漫流等。对其水文情势影响较小。</w:t>
      </w:r>
    </w:p>
    <w:p>
      <w:pPr>
        <w:rPr>
          <w:rFonts w:hint="eastAsia"/>
          <w:color w:val="0000FF"/>
          <w:lang w:val="en-US" w:eastAsia="zh-CN"/>
        </w:rPr>
      </w:pPr>
      <w:r>
        <w:rPr>
          <w:rFonts w:hint="eastAsia"/>
          <w:color w:val="0000FF"/>
          <w:lang w:val="en-US" w:eastAsia="zh-CN"/>
        </w:rPr>
        <w:t>因此，项目运营对受水区水库水位的影响可以接受。</w:t>
      </w:r>
    </w:p>
    <w:p>
      <w:pPr>
        <w:rPr>
          <w:rFonts w:hint="eastAsia"/>
          <w:b/>
          <w:bCs/>
          <w:color w:val="0000FF"/>
          <w:lang w:val="en-US" w:eastAsia="zh-CN"/>
        </w:rPr>
      </w:pPr>
      <w:r>
        <w:rPr>
          <w:rFonts w:hint="eastAsia"/>
          <w:b/>
          <w:bCs/>
          <w:color w:val="0000FF"/>
          <w:lang w:val="en-US" w:eastAsia="zh-CN"/>
        </w:rPr>
        <w:t>③受水区水库坝后河段水文情势影响分析</w:t>
      </w:r>
    </w:p>
    <w:p>
      <w:pPr>
        <w:rPr>
          <w:rFonts w:hint="default"/>
          <w:b w:val="0"/>
          <w:bCs w:val="0"/>
          <w:color w:val="0000FF"/>
          <w:lang w:val="en-US" w:eastAsia="zh-CN"/>
        </w:rPr>
      </w:pPr>
      <w:r>
        <w:rPr>
          <w:rFonts w:hint="default"/>
          <w:b w:val="0"/>
          <w:bCs w:val="0"/>
          <w:color w:val="0000FF"/>
          <w:lang w:val="en-US" w:eastAsia="zh-CN"/>
        </w:rPr>
        <w:t>本</w:t>
      </w:r>
      <w:r>
        <w:rPr>
          <w:rFonts w:hint="eastAsia"/>
          <w:b w:val="0"/>
          <w:bCs w:val="0"/>
          <w:color w:val="0000FF"/>
          <w:lang w:val="en-US" w:eastAsia="zh-CN"/>
        </w:rPr>
        <w:t>项目受水区为界牌箐水库、李官坟水库、姜中水库、水平石水库4</w:t>
      </w:r>
      <w:r>
        <w:rPr>
          <w:rFonts w:hint="default"/>
          <w:b w:val="0"/>
          <w:bCs w:val="0"/>
          <w:color w:val="0000FF"/>
          <w:lang w:val="en-US" w:eastAsia="zh-CN"/>
        </w:rPr>
        <w:t>座已建水库，</w:t>
      </w:r>
      <w:r>
        <w:rPr>
          <w:rFonts w:hint="eastAsia"/>
          <w:b w:val="0"/>
          <w:bCs w:val="0"/>
          <w:color w:val="0000FF"/>
          <w:lang w:val="en-US" w:eastAsia="zh-CN"/>
        </w:rPr>
        <w:t>仅向其进行补水，</w:t>
      </w:r>
      <w:r>
        <w:rPr>
          <w:rFonts w:hint="default"/>
          <w:b w:val="0"/>
          <w:bCs w:val="0"/>
          <w:color w:val="0000FF"/>
          <w:lang w:val="en-US" w:eastAsia="zh-CN"/>
        </w:rPr>
        <w:t>不改其水库运行模式。</w:t>
      </w:r>
    </w:p>
    <w:p>
      <w:pPr>
        <w:rPr>
          <w:rFonts w:hint="default"/>
          <w:b w:val="0"/>
          <w:bCs w:val="0"/>
          <w:color w:val="0000FF"/>
          <w:lang w:val="en-US" w:eastAsia="zh-CN"/>
        </w:rPr>
      </w:pPr>
      <w:r>
        <w:rPr>
          <w:rFonts w:hint="default"/>
          <w:b w:val="0"/>
          <w:bCs w:val="0"/>
          <w:color w:val="0000FF"/>
          <w:lang w:val="en-US" w:eastAsia="zh-CN"/>
        </w:rPr>
        <w:t>参照《关于印发水电水利建设项目水环境与水生生态保护技术政策研讨会会议纪要的函》国家环境保护总局办公厅环办函(2006)11 号中维持水生生态系统稳定所需最小水量一般不应小于河道控制断面多年平均流量的 10%的要求</w:t>
      </w:r>
      <w:r>
        <w:rPr>
          <w:rFonts w:hint="eastAsia"/>
          <w:b w:val="0"/>
          <w:bCs w:val="0"/>
          <w:color w:val="0000FF"/>
          <w:lang w:val="en-US" w:eastAsia="zh-CN"/>
        </w:rPr>
        <w:t>；及</w:t>
      </w:r>
      <w:r>
        <w:rPr>
          <w:rFonts w:ascii="Times New Roman" w:hAnsi="Times New Roman"/>
          <w:color w:val="0000FF"/>
          <w:kern w:val="0"/>
          <w:sz w:val="24"/>
          <w:szCs w:val="20"/>
        </w:rPr>
        <w:t>Tennant法</w:t>
      </w:r>
      <w:r>
        <w:rPr>
          <w:rFonts w:hint="eastAsia" w:ascii="Times New Roman" w:hAnsi="Times New Roman"/>
          <w:color w:val="0000FF"/>
          <w:kern w:val="0"/>
          <w:sz w:val="24"/>
          <w:szCs w:val="20"/>
          <w:lang w:eastAsia="zh-CN"/>
        </w:rPr>
        <w:t>：</w:t>
      </w:r>
      <w:r>
        <w:rPr>
          <w:rFonts w:ascii="Times New Roman" w:hAnsi="Times New Roman"/>
          <w:color w:val="0000FF"/>
          <w:kern w:val="0"/>
          <w:sz w:val="24"/>
          <w:szCs w:val="20"/>
        </w:rPr>
        <w:t>要求河道生态流量一般情况下不小于河道多年平均流量的10%。</w:t>
      </w:r>
    </w:p>
    <w:p>
      <w:pPr>
        <w:rPr>
          <w:rFonts w:hint="default"/>
          <w:b w:val="0"/>
          <w:bCs w:val="0"/>
          <w:color w:val="0000FF"/>
          <w:lang w:val="en-US" w:eastAsia="zh-CN"/>
        </w:rPr>
      </w:pPr>
      <w:r>
        <w:rPr>
          <w:rFonts w:hint="default"/>
          <w:b w:val="0"/>
          <w:bCs w:val="0"/>
          <w:color w:val="0000FF"/>
          <w:lang w:val="en-US" w:eastAsia="zh-CN"/>
        </w:rPr>
        <w:t>本项目生态用水量计算见下表，下泄断面位于水库坝后。</w:t>
      </w:r>
    </w:p>
    <w:p>
      <w:pPr>
        <w:spacing w:line="240" w:lineRule="auto"/>
        <w:jc w:val="center"/>
        <w:rPr>
          <w:rFonts w:hint="default"/>
          <w:b/>
          <w:bCs/>
          <w:color w:val="0000FF"/>
          <w:lang w:val="en-US" w:eastAsia="zh-CN"/>
        </w:rPr>
      </w:pPr>
      <w:r>
        <w:rPr>
          <w:rFonts w:hint="default"/>
          <w:b/>
          <w:bCs/>
          <w:color w:val="0000FF"/>
          <w:lang w:val="en-US" w:eastAsia="zh-CN"/>
        </w:rPr>
        <w:t>表5.2.2-</w:t>
      </w:r>
      <w:r>
        <w:rPr>
          <w:rFonts w:hint="eastAsia"/>
          <w:b/>
          <w:bCs/>
          <w:color w:val="0000FF"/>
          <w:lang w:val="en-US" w:eastAsia="zh-CN"/>
        </w:rPr>
        <w:t>6</w:t>
      </w:r>
      <w:r>
        <w:rPr>
          <w:rFonts w:hint="default"/>
          <w:b/>
          <w:bCs/>
          <w:color w:val="0000FF"/>
          <w:lang w:val="en-US" w:eastAsia="zh-CN"/>
        </w:rPr>
        <w:t xml:space="preserve"> </w:t>
      </w:r>
      <w:r>
        <w:rPr>
          <w:rFonts w:hint="eastAsia"/>
          <w:b/>
          <w:bCs/>
          <w:color w:val="0000FF"/>
          <w:lang w:val="en-US" w:eastAsia="zh-CN"/>
        </w:rPr>
        <w:t xml:space="preserve">  受水区水库坝后生态流量计算表</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2"/>
        <w:gridCol w:w="2158"/>
        <w:gridCol w:w="2158"/>
        <w:gridCol w:w="22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43" w:type="dxa"/>
            <w:vAlign w:val="center"/>
          </w:tcPr>
          <w:p>
            <w:pPr>
              <w:keepNext w:val="0"/>
              <w:keepLines w:val="0"/>
              <w:pageBreakBefore w:val="0"/>
              <w:wordWrap/>
              <w:overflowPunct/>
              <w:topLinePunct w:val="0"/>
              <w:bidi w:val="0"/>
              <w:adjustRightInd/>
              <w:snapToGrid w:val="0"/>
              <w:spacing w:line="240" w:lineRule="auto"/>
              <w:ind w:firstLine="0" w:firstLineChars="0"/>
              <w:jc w:val="center"/>
              <w:rPr>
                <w:rFonts w:hint="default" w:ascii="Times New Roman" w:hAnsi="Times New Roman" w:cs="Times New Roman"/>
                <w:b/>
                <w:bCs/>
                <w:color w:val="0000FF"/>
                <w:sz w:val="21"/>
                <w:szCs w:val="21"/>
                <w:vertAlign w:val="baseline"/>
                <w:lang w:val="en-US" w:eastAsia="zh-CN"/>
              </w:rPr>
            </w:pPr>
            <w:r>
              <w:rPr>
                <w:rFonts w:hint="default" w:ascii="Times New Roman" w:hAnsi="Times New Roman" w:cs="Times New Roman"/>
                <w:b/>
                <w:bCs/>
                <w:color w:val="0000FF"/>
                <w:sz w:val="21"/>
                <w:szCs w:val="21"/>
                <w:vertAlign w:val="baseline"/>
                <w:lang w:val="en-US" w:eastAsia="zh-CN"/>
              </w:rPr>
              <w:t>受水区水库</w:t>
            </w:r>
          </w:p>
        </w:tc>
        <w:tc>
          <w:tcPr>
            <w:tcW w:w="3543" w:type="dxa"/>
            <w:vAlign w:val="center"/>
          </w:tcPr>
          <w:p>
            <w:pPr>
              <w:keepNext w:val="0"/>
              <w:keepLines w:val="0"/>
              <w:pageBreakBefore w:val="0"/>
              <w:wordWrap/>
              <w:overflowPunct/>
              <w:topLinePunct w:val="0"/>
              <w:bidi w:val="0"/>
              <w:adjustRightInd/>
              <w:snapToGrid w:val="0"/>
              <w:spacing w:line="240" w:lineRule="auto"/>
              <w:ind w:firstLine="0" w:firstLineChars="0"/>
              <w:jc w:val="center"/>
              <w:rPr>
                <w:rFonts w:hint="default" w:ascii="Times New Roman" w:hAnsi="Times New Roman" w:cs="Times New Roman"/>
                <w:b/>
                <w:bCs/>
                <w:color w:val="0000FF"/>
                <w:sz w:val="21"/>
                <w:szCs w:val="21"/>
                <w:vertAlign w:val="baseline"/>
                <w:lang w:val="en-US" w:eastAsia="zh-CN"/>
              </w:rPr>
            </w:pPr>
            <w:r>
              <w:rPr>
                <w:rFonts w:hint="default" w:ascii="Times New Roman" w:hAnsi="Times New Roman" w:cs="Times New Roman"/>
                <w:b/>
                <w:bCs/>
                <w:color w:val="0000FF"/>
                <w:sz w:val="21"/>
                <w:szCs w:val="21"/>
                <w:vertAlign w:val="baseline"/>
                <w:lang w:val="en-US" w:eastAsia="zh-CN"/>
              </w:rPr>
              <w:t>坝址处多年平均径流量（万m³</w:t>
            </w:r>
            <w:r>
              <w:rPr>
                <w:rFonts w:hint="eastAsia" w:cs="Times New Roman"/>
                <w:b/>
                <w:bCs/>
                <w:color w:val="0000FF"/>
                <w:sz w:val="21"/>
                <w:szCs w:val="21"/>
                <w:vertAlign w:val="baseline"/>
                <w:lang w:val="en-US" w:eastAsia="zh-CN"/>
              </w:rPr>
              <w:t>/a</w:t>
            </w:r>
            <w:r>
              <w:rPr>
                <w:rFonts w:hint="default" w:ascii="Times New Roman" w:hAnsi="Times New Roman" w:cs="Times New Roman"/>
                <w:b/>
                <w:bCs/>
                <w:color w:val="0000FF"/>
                <w:sz w:val="21"/>
                <w:szCs w:val="21"/>
                <w:vertAlign w:val="baseline"/>
                <w:lang w:val="en-US" w:eastAsia="zh-CN"/>
              </w:rPr>
              <w:t>）</w:t>
            </w:r>
          </w:p>
        </w:tc>
        <w:tc>
          <w:tcPr>
            <w:tcW w:w="3544" w:type="dxa"/>
            <w:vAlign w:val="center"/>
          </w:tcPr>
          <w:p>
            <w:pPr>
              <w:keepNext w:val="0"/>
              <w:keepLines w:val="0"/>
              <w:pageBreakBefore w:val="0"/>
              <w:wordWrap/>
              <w:overflowPunct/>
              <w:topLinePunct w:val="0"/>
              <w:bidi w:val="0"/>
              <w:adjustRightInd/>
              <w:snapToGrid w:val="0"/>
              <w:spacing w:line="240" w:lineRule="auto"/>
              <w:ind w:firstLine="0" w:firstLineChars="0"/>
              <w:jc w:val="center"/>
              <w:rPr>
                <w:rFonts w:hint="default" w:ascii="Times New Roman" w:hAnsi="Times New Roman" w:cs="Times New Roman"/>
                <w:b/>
                <w:bCs/>
                <w:color w:val="0000FF"/>
                <w:sz w:val="21"/>
                <w:szCs w:val="21"/>
                <w:vertAlign w:val="baseline"/>
                <w:lang w:val="en-US" w:eastAsia="zh-CN"/>
              </w:rPr>
            </w:pPr>
            <w:r>
              <w:rPr>
                <w:rFonts w:hint="default" w:ascii="Times New Roman" w:hAnsi="Times New Roman" w:cs="Times New Roman"/>
                <w:b/>
                <w:bCs/>
                <w:color w:val="0000FF"/>
                <w:sz w:val="21"/>
                <w:szCs w:val="21"/>
                <w:vertAlign w:val="baseline"/>
                <w:lang w:val="en-US" w:eastAsia="zh-CN"/>
              </w:rPr>
              <w:t>生态需水量（万m³</w:t>
            </w:r>
            <w:r>
              <w:rPr>
                <w:rFonts w:hint="eastAsia" w:cs="Times New Roman"/>
                <w:b/>
                <w:bCs/>
                <w:color w:val="0000FF"/>
                <w:sz w:val="21"/>
                <w:szCs w:val="21"/>
                <w:vertAlign w:val="baseline"/>
                <w:lang w:val="en-US" w:eastAsia="zh-CN"/>
              </w:rPr>
              <w:t>/a</w:t>
            </w:r>
            <w:r>
              <w:rPr>
                <w:rFonts w:hint="default" w:ascii="Times New Roman" w:hAnsi="Times New Roman" w:cs="Times New Roman"/>
                <w:b/>
                <w:bCs/>
                <w:color w:val="0000FF"/>
                <w:sz w:val="21"/>
                <w:szCs w:val="21"/>
                <w:vertAlign w:val="baseline"/>
                <w:lang w:val="en-US" w:eastAsia="zh-CN"/>
              </w:rPr>
              <w:t>）</w:t>
            </w:r>
          </w:p>
        </w:tc>
        <w:tc>
          <w:tcPr>
            <w:tcW w:w="3544" w:type="dxa"/>
            <w:vAlign w:val="center"/>
          </w:tcPr>
          <w:p>
            <w:pPr>
              <w:keepNext w:val="0"/>
              <w:keepLines w:val="0"/>
              <w:pageBreakBefore w:val="0"/>
              <w:wordWrap/>
              <w:overflowPunct/>
              <w:topLinePunct w:val="0"/>
              <w:bidi w:val="0"/>
              <w:adjustRightInd/>
              <w:snapToGrid w:val="0"/>
              <w:spacing w:line="240" w:lineRule="auto"/>
              <w:ind w:firstLine="0" w:firstLineChars="0"/>
              <w:jc w:val="center"/>
              <w:rPr>
                <w:rFonts w:hint="default" w:ascii="Times New Roman" w:hAnsi="Times New Roman" w:cs="Times New Roman"/>
                <w:b/>
                <w:bCs/>
                <w:color w:val="0000FF"/>
                <w:sz w:val="21"/>
                <w:szCs w:val="21"/>
                <w:vertAlign w:val="baseline"/>
                <w:lang w:val="en-US" w:eastAsia="zh-CN"/>
              </w:rPr>
            </w:pPr>
            <w:r>
              <w:rPr>
                <w:rFonts w:hint="default" w:ascii="Times New Roman" w:hAnsi="Times New Roman" w:cs="Times New Roman"/>
                <w:b/>
                <w:bCs/>
                <w:color w:val="0000FF"/>
                <w:sz w:val="21"/>
                <w:szCs w:val="21"/>
                <w:vertAlign w:val="baseline"/>
                <w:lang w:val="en-US" w:eastAsia="zh-CN"/>
              </w:rPr>
              <w:t>生态流量（m³/s）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3" w:type="dxa"/>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leftChars="0" w:right="0" w:rightChars="0" w:firstLine="0" w:firstLineChars="0"/>
              <w:jc w:val="center"/>
              <w:textAlignment w:val="baseline"/>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cs="Times New Roman"/>
                <w:color w:val="0000FF"/>
                <w:spacing w:val="-2"/>
              </w:rPr>
              <w:t>姜中水库</w:t>
            </w:r>
          </w:p>
        </w:tc>
        <w:tc>
          <w:tcPr>
            <w:tcW w:w="3543" w:type="dxa"/>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leftChars="0" w:right="0" w:rightChars="0" w:firstLine="0" w:firstLineChars="0"/>
              <w:jc w:val="center"/>
              <w:textAlignment w:val="baseline"/>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eastAsia="宋体" w:cs="Times New Roman"/>
                <w:color w:val="0000FF"/>
                <w:spacing w:val="-6"/>
                <w:sz w:val="21"/>
                <w:szCs w:val="21"/>
                <w:lang w:val="en-US" w:eastAsia="zh-CN"/>
              </w:rPr>
              <w:t>17.77</w:t>
            </w:r>
          </w:p>
        </w:tc>
        <w:tc>
          <w:tcPr>
            <w:tcW w:w="3544" w:type="dxa"/>
            <w:vAlign w:val="center"/>
          </w:tcPr>
          <w:p>
            <w:pPr>
              <w:keepNext w:val="0"/>
              <w:keepLines w:val="0"/>
              <w:pageBreakBefore w:val="0"/>
              <w:widowControl/>
              <w:suppressLineNumbers w:val="0"/>
              <w:kinsoku/>
              <w:wordWrap/>
              <w:overflowPunct/>
              <w:topLinePunct w:val="0"/>
              <w:bidi w:val="0"/>
              <w:adjustRightInd/>
              <w:snapToGrid w:val="0"/>
              <w:spacing w:line="240" w:lineRule="auto"/>
              <w:ind w:firstLine="0" w:firstLineChars="0"/>
              <w:jc w:val="center"/>
              <w:textAlignment w:val="center"/>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1.777</w:t>
            </w:r>
          </w:p>
        </w:tc>
        <w:tc>
          <w:tcPr>
            <w:tcW w:w="3544" w:type="dxa"/>
            <w:vAlign w:val="center"/>
          </w:tcPr>
          <w:p>
            <w:pPr>
              <w:keepNext w:val="0"/>
              <w:keepLines w:val="0"/>
              <w:pageBreakBefore w:val="0"/>
              <w:widowControl/>
              <w:suppressLineNumbers w:val="0"/>
              <w:kinsoku/>
              <w:wordWrap/>
              <w:overflowPunct/>
              <w:topLinePunct w:val="0"/>
              <w:bidi w:val="0"/>
              <w:adjustRightInd/>
              <w:snapToGrid w:val="0"/>
              <w:spacing w:line="240" w:lineRule="auto"/>
              <w:ind w:firstLine="0" w:firstLineChars="0"/>
              <w:jc w:val="center"/>
              <w:textAlignment w:val="center"/>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3" w:type="dxa"/>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leftChars="0" w:right="0" w:rightChars="0" w:firstLine="0" w:firstLineChars="0"/>
              <w:jc w:val="center"/>
              <w:textAlignment w:val="baseline"/>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cs="Times New Roman"/>
                <w:color w:val="0000FF"/>
                <w:spacing w:val="-3"/>
              </w:rPr>
              <w:t>界牌箐水库</w:t>
            </w:r>
          </w:p>
        </w:tc>
        <w:tc>
          <w:tcPr>
            <w:tcW w:w="3543" w:type="dxa"/>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leftChars="0" w:right="0" w:rightChars="0" w:firstLine="0" w:firstLineChars="0"/>
              <w:jc w:val="center"/>
              <w:textAlignment w:val="baseline"/>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eastAsia="宋体" w:cs="Times New Roman"/>
                <w:color w:val="0000FF"/>
                <w:spacing w:val="-4"/>
                <w:sz w:val="21"/>
                <w:szCs w:val="21"/>
                <w:lang w:val="en-US" w:eastAsia="zh-CN"/>
              </w:rPr>
              <w:t>8.46</w:t>
            </w:r>
          </w:p>
        </w:tc>
        <w:tc>
          <w:tcPr>
            <w:tcW w:w="3544" w:type="dxa"/>
            <w:vAlign w:val="center"/>
          </w:tcPr>
          <w:p>
            <w:pPr>
              <w:keepNext w:val="0"/>
              <w:keepLines w:val="0"/>
              <w:pageBreakBefore w:val="0"/>
              <w:widowControl/>
              <w:suppressLineNumbers w:val="0"/>
              <w:kinsoku/>
              <w:wordWrap/>
              <w:overflowPunct/>
              <w:topLinePunct w:val="0"/>
              <w:bidi w:val="0"/>
              <w:adjustRightInd/>
              <w:snapToGrid w:val="0"/>
              <w:spacing w:line="240" w:lineRule="auto"/>
              <w:ind w:firstLine="0" w:firstLineChars="0"/>
              <w:jc w:val="center"/>
              <w:textAlignment w:val="center"/>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0.846</w:t>
            </w:r>
          </w:p>
        </w:tc>
        <w:tc>
          <w:tcPr>
            <w:tcW w:w="3544" w:type="dxa"/>
            <w:vAlign w:val="center"/>
          </w:tcPr>
          <w:p>
            <w:pPr>
              <w:keepNext w:val="0"/>
              <w:keepLines w:val="0"/>
              <w:pageBreakBefore w:val="0"/>
              <w:widowControl/>
              <w:suppressLineNumbers w:val="0"/>
              <w:kinsoku/>
              <w:wordWrap/>
              <w:overflowPunct/>
              <w:topLinePunct w:val="0"/>
              <w:bidi w:val="0"/>
              <w:adjustRightInd/>
              <w:snapToGrid w:val="0"/>
              <w:spacing w:line="240" w:lineRule="auto"/>
              <w:ind w:firstLine="0" w:firstLineChars="0"/>
              <w:jc w:val="center"/>
              <w:textAlignment w:val="center"/>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3" w:type="dxa"/>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leftChars="0" w:right="0" w:rightChars="0" w:firstLine="0" w:firstLineChars="0"/>
              <w:jc w:val="center"/>
              <w:textAlignment w:val="baseline"/>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cs="Times New Roman"/>
                <w:color w:val="0000FF"/>
                <w:spacing w:val="-2"/>
              </w:rPr>
              <w:t>李官坟水库</w:t>
            </w:r>
          </w:p>
        </w:tc>
        <w:tc>
          <w:tcPr>
            <w:tcW w:w="3543" w:type="dxa"/>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leftChars="0" w:right="0" w:rightChars="0" w:firstLine="0" w:firstLineChars="0"/>
              <w:jc w:val="center"/>
              <w:textAlignment w:val="baseline"/>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eastAsia="宋体" w:cs="Times New Roman"/>
                <w:color w:val="0000FF"/>
                <w:spacing w:val="-3"/>
                <w:sz w:val="21"/>
                <w:szCs w:val="21"/>
                <w:highlight w:val="none"/>
                <w:lang w:val="en-US" w:eastAsia="zh-CN"/>
              </w:rPr>
              <w:t>11</w:t>
            </w:r>
          </w:p>
        </w:tc>
        <w:tc>
          <w:tcPr>
            <w:tcW w:w="3544" w:type="dxa"/>
            <w:vAlign w:val="center"/>
          </w:tcPr>
          <w:p>
            <w:pPr>
              <w:keepNext w:val="0"/>
              <w:keepLines w:val="0"/>
              <w:pageBreakBefore w:val="0"/>
              <w:widowControl/>
              <w:suppressLineNumbers w:val="0"/>
              <w:kinsoku/>
              <w:wordWrap/>
              <w:overflowPunct/>
              <w:topLinePunct w:val="0"/>
              <w:bidi w:val="0"/>
              <w:adjustRightInd/>
              <w:snapToGrid w:val="0"/>
              <w:spacing w:line="240" w:lineRule="auto"/>
              <w:ind w:firstLine="0" w:firstLineChars="0"/>
              <w:jc w:val="center"/>
              <w:textAlignment w:val="center"/>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1.1</w:t>
            </w:r>
          </w:p>
        </w:tc>
        <w:tc>
          <w:tcPr>
            <w:tcW w:w="3544" w:type="dxa"/>
            <w:vAlign w:val="center"/>
          </w:tcPr>
          <w:p>
            <w:pPr>
              <w:keepNext w:val="0"/>
              <w:keepLines w:val="0"/>
              <w:pageBreakBefore w:val="0"/>
              <w:widowControl/>
              <w:suppressLineNumbers w:val="0"/>
              <w:kinsoku/>
              <w:wordWrap/>
              <w:overflowPunct/>
              <w:topLinePunct w:val="0"/>
              <w:bidi w:val="0"/>
              <w:adjustRightInd/>
              <w:snapToGrid w:val="0"/>
              <w:spacing w:line="240" w:lineRule="auto"/>
              <w:ind w:firstLine="0" w:firstLineChars="0"/>
              <w:jc w:val="center"/>
              <w:textAlignment w:val="center"/>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43" w:type="dxa"/>
            <w:vAlign w:val="center"/>
          </w:tcPr>
          <w:p>
            <w:pPr>
              <w:pStyle w:val="56"/>
              <w:keepNext w:val="0"/>
              <w:keepLines w:val="0"/>
              <w:pageBreakBefore w:val="0"/>
              <w:widowControl/>
              <w:kinsoku w:val="0"/>
              <w:wordWrap/>
              <w:overflowPunct/>
              <w:topLinePunct w:val="0"/>
              <w:autoSpaceDE w:val="0"/>
              <w:autoSpaceDN w:val="0"/>
              <w:bidi w:val="0"/>
              <w:adjustRightInd/>
              <w:snapToGrid w:val="0"/>
              <w:spacing w:line="240" w:lineRule="auto"/>
              <w:ind w:left="0" w:leftChars="0" w:right="0" w:rightChars="0" w:firstLine="0" w:firstLineChars="0"/>
              <w:jc w:val="center"/>
              <w:textAlignment w:val="baseline"/>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cs="Times New Roman"/>
                <w:color w:val="0000FF"/>
                <w:spacing w:val="-2"/>
              </w:rPr>
              <w:t>水平石水库</w:t>
            </w:r>
          </w:p>
        </w:tc>
        <w:tc>
          <w:tcPr>
            <w:tcW w:w="3543" w:type="dxa"/>
            <w:vAlign w:val="center"/>
          </w:tcPr>
          <w:p>
            <w:pPr>
              <w:keepNext w:val="0"/>
              <w:keepLines w:val="0"/>
              <w:pageBreakBefore w:val="0"/>
              <w:widowControl/>
              <w:kinsoku w:val="0"/>
              <w:wordWrap/>
              <w:overflowPunct/>
              <w:topLinePunct w:val="0"/>
              <w:autoSpaceDE w:val="0"/>
              <w:autoSpaceDN w:val="0"/>
              <w:bidi w:val="0"/>
              <w:adjustRightInd/>
              <w:snapToGrid w:val="0"/>
              <w:spacing w:line="240" w:lineRule="auto"/>
              <w:ind w:left="0" w:leftChars="0" w:right="0" w:rightChars="0" w:firstLine="0" w:firstLineChars="0"/>
              <w:jc w:val="center"/>
              <w:textAlignment w:val="baseline"/>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eastAsia="宋体" w:cs="Times New Roman"/>
                <w:color w:val="0000FF"/>
                <w:spacing w:val="-2"/>
                <w:sz w:val="21"/>
                <w:szCs w:val="21"/>
                <w:lang w:val="en-US" w:eastAsia="zh-CN"/>
              </w:rPr>
              <w:t>10.2</w:t>
            </w:r>
          </w:p>
        </w:tc>
        <w:tc>
          <w:tcPr>
            <w:tcW w:w="3544" w:type="dxa"/>
            <w:vAlign w:val="center"/>
          </w:tcPr>
          <w:p>
            <w:pPr>
              <w:keepNext w:val="0"/>
              <w:keepLines w:val="0"/>
              <w:pageBreakBefore w:val="0"/>
              <w:widowControl/>
              <w:suppressLineNumbers w:val="0"/>
              <w:kinsoku/>
              <w:wordWrap/>
              <w:overflowPunct/>
              <w:topLinePunct w:val="0"/>
              <w:bidi w:val="0"/>
              <w:adjustRightInd/>
              <w:snapToGrid w:val="0"/>
              <w:spacing w:line="240" w:lineRule="auto"/>
              <w:ind w:firstLine="0" w:firstLineChars="0"/>
              <w:jc w:val="center"/>
              <w:textAlignment w:val="center"/>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1.02</w:t>
            </w:r>
          </w:p>
        </w:tc>
        <w:tc>
          <w:tcPr>
            <w:tcW w:w="3544" w:type="dxa"/>
            <w:vAlign w:val="center"/>
          </w:tcPr>
          <w:p>
            <w:pPr>
              <w:keepNext w:val="0"/>
              <w:keepLines w:val="0"/>
              <w:pageBreakBefore w:val="0"/>
              <w:widowControl/>
              <w:suppressLineNumbers w:val="0"/>
              <w:kinsoku/>
              <w:wordWrap/>
              <w:overflowPunct/>
              <w:topLinePunct w:val="0"/>
              <w:bidi w:val="0"/>
              <w:adjustRightInd/>
              <w:snapToGrid w:val="0"/>
              <w:spacing w:line="240" w:lineRule="auto"/>
              <w:ind w:firstLine="0" w:firstLineChars="0"/>
              <w:jc w:val="center"/>
              <w:textAlignment w:val="center"/>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0.0003</w:t>
            </w:r>
          </w:p>
        </w:tc>
      </w:tr>
    </w:tbl>
    <w:p>
      <w:pPr>
        <w:rPr>
          <w:rFonts w:hint="eastAsia"/>
          <w:b w:val="0"/>
          <w:bCs w:val="0"/>
          <w:color w:val="0000FF"/>
          <w:lang w:val="en-US" w:eastAsia="zh-CN"/>
        </w:rPr>
      </w:pPr>
      <w:r>
        <w:rPr>
          <w:rFonts w:hint="eastAsia"/>
          <w:b w:val="0"/>
          <w:bCs w:val="0"/>
          <w:color w:val="0000FF"/>
          <w:lang w:val="en-US" w:eastAsia="zh-CN"/>
        </w:rPr>
        <w:t>根据现场踏勘，受水区水库水资源有限，为进行生态流量下放。本次环评提出受水区水库按坝址处多年平均径流量10％下泄生态流量。本项目运行后，受水区水资源量增加，更有利益保障下游生态用水。</w:t>
      </w:r>
    </w:p>
    <w:p>
      <w:pPr>
        <w:rPr>
          <w:rFonts w:hint="eastAsia"/>
          <w:b/>
          <w:bCs/>
          <w:color w:val="0000FF"/>
          <w:lang w:val="en-US" w:eastAsia="zh-CN"/>
        </w:rPr>
      </w:pPr>
      <w:r>
        <w:rPr>
          <w:rFonts w:hint="eastAsia"/>
          <w:b w:val="0"/>
          <w:bCs w:val="0"/>
          <w:color w:val="0000FF"/>
          <w:lang w:val="en-US" w:eastAsia="zh-CN"/>
        </w:rPr>
        <w:t>（3）</w:t>
      </w:r>
      <w:r>
        <w:rPr>
          <w:rFonts w:hint="eastAsia"/>
          <w:b/>
          <w:bCs/>
          <w:color w:val="0000FF"/>
          <w:lang w:val="en-US" w:eastAsia="zh-CN"/>
        </w:rPr>
        <w:t xml:space="preserve">管首调蓄池水文情势影响分析 </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2" w:firstLineChars="200"/>
        <w:jc w:val="both"/>
        <w:textAlignment w:val="auto"/>
        <w:rPr>
          <w:rFonts w:hint="default" w:cs="Times New Roman"/>
          <w:b/>
          <w:bCs/>
          <w:color w:val="0000FF"/>
          <w:highlight w:val="none"/>
          <w:lang w:val="en-US" w:eastAsia="zh-CN"/>
        </w:rPr>
      </w:pPr>
      <w:r>
        <w:rPr>
          <w:rFonts w:hint="eastAsia" w:cs="Times New Roman"/>
          <w:b/>
          <w:bCs/>
          <w:color w:val="0000FF"/>
          <w:highlight w:val="none"/>
          <w:lang w:val="en-US" w:eastAsia="zh-CN"/>
        </w:rPr>
        <w:t>①降雨径流量</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b w:val="0"/>
          <w:bCs w:val="0"/>
          <w:color w:val="0000FF"/>
          <w:lang w:val="en-US" w:eastAsia="zh-CN"/>
        </w:rPr>
      </w:pPr>
      <w:r>
        <w:rPr>
          <w:rFonts w:hint="eastAsia" w:cs="Times New Roman"/>
          <w:color w:val="0000FF"/>
          <w:highlight w:val="none"/>
          <w:lang w:val="en-US" w:eastAsia="zh-CN"/>
        </w:rPr>
        <w:t>管首调节</w:t>
      </w:r>
      <w:r>
        <w:rPr>
          <w:rFonts w:hint="eastAsia" w:ascii="Times New Roman" w:hAnsi="Times New Roman" w:cs="Times New Roman"/>
          <w:color w:val="0000FF"/>
          <w:highlight w:val="none"/>
          <w:lang w:val="en-US" w:eastAsia="zh-CN"/>
        </w:rPr>
        <w:t>水池布置于姜驿乡华峰村西南约850m处山坡上。水池平面形状近似矩形，因场地受限，局部采用异型。经</w:t>
      </w:r>
      <w:r>
        <w:rPr>
          <w:rFonts w:hint="eastAsia" w:cs="Times New Roman"/>
          <w:color w:val="0000FF"/>
          <w:highlight w:val="none"/>
          <w:lang w:val="en-US" w:eastAsia="zh-CN"/>
        </w:rPr>
        <w:t>设计</w:t>
      </w:r>
      <w:r>
        <w:rPr>
          <w:rFonts w:hint="eastAsia" w:ascii="Times New Roman" w:hAnsi="Times New Roman" w:cs="Times New Roman"/>
          <w:color w:val="0000FF"/>
          <w:highlight w:val="none"/>
          <w:lang w:val="en-US" w:eastAsia="zh-CN"/>
        </w:rPr>
        <w:t>计算水池</w:t>
      </w:r>
      <w:r>
        <w:rPr>
          <w:rFonts w:hint="eastAsia" w:cs="Times New Roman"/>
          <w:color w:val="0000FF"/>
          <w:highlight w:val="none"/>
          <w:lang w:val="en-US" w:eastAsia="zh-CN"/>
        </w:rPr>
        <w:t>水面</w:t>
      </w:r>
      <w:r>
        <w:rPr>
          <w:rFonts w:hint="eastAsia" w:ascii="Times New Roman" w:hAnsi="Times New Roman" w:cs="Times New Roman"/>
          <w:color w:val="0000FF"/>
          <w:highlight w:val="none"/>
          <w:lang w:val="en-US" w:eastAsia="zh-CN"/>
        </w:rPr>
        <w:t>面积为4174m²。由于水池为敞开式，收雨水的同时也会汇集径流面积内的降雨径流，雨季对下游水文情势造成一定影响。</w:t>
      </w:r>
    </w:p>
    <w:p>
      <w:pPr>
        <w:bidi w:val="0"/>
        <w:rPr>
          <w:rFonts w:hint="default" w:ascii="Times New Roman" w:hAnsi="Times New Roman" w:cs="Times New Roman"/>
          <w:color w:val="0000FF"/>
          <w:highlight w:val="none"/>
          <w:lang w:val="en-US" w:eastAsia="zh-CN"/>
        </w:rPr>
      </w:pPr>
      <w:r>
        <w:rPr>
          <w:rFonts w:hint="default" w:ascii="Times New Roman" w:hAnsi="Times New Roman" w:cs="Times New Roman"/>
          <w:color w:val="0000FF"/>
          <w:highlight w:val="none"/>
        </w:rPr>
        <w:t>根据</w:t>
      </w:r>
      <w:r>
        <w:rPr>
          <w:rFonts w:hint="eastAsia" w:cs="Times New Roman"/>
          <w:color w:val="0000FF"/>
          <w:highlight w:val="none"/>
          <w:lang w:val="en-US" w:eastAsia="zh-CN"/>
        </w:rPr>
        <w:t>元谋</w:t>
      </w:r>
      <w:r>
        <w:rPr>
          <w:rFonts w:hint="eastAsia" w:cs="Times New Roman"/>
          <w:color w:val="0000FF"/>
          <w:highlight w:val="none"/>
          <w:lang w:eastAsia="zh-CN"/>
        </w:rPr>
        <w:t>县气象局提供的</w:t>
      </w:r>
      <w:r>
        <w:rPr>
          <w:rFonts w:hint="default" w:ascii="Times New Roman" w:hAnsi="Times New Roman" w:cs="Times New Roman"/>
          <w:color w:val="0000FF"/>
          <w:highlight w:val="none"/>
        </w:rPr>
        <w:t>气象资料，多年平均降水量615.8366mm。</w:t>
      </w:r>
      <w:r>
        <w:rPr>
          <w:rFonts w:hint="eastAsia" w:ascii="Times New Roman" w:hAnsi="Times New Roman" w:cs="Times New Roman"/>
          <w:color w:val="0000FF"/>
          <w:highlight w:val="none"/>
          <w:lang w:val="en-US" w:eastAsia="zh-CN"/>
        </w:rPr>
        <w:t>管首调节池</w:t>
      </w:r>
      <w:r>
        <w:rPr>
          <w:rFonts w:hint="default" w:ascii="Times New Roman" w:hAnsi="Times New Roman" w:cs="Times New Roman"/>
          <w:color w:val="0000FF"/>
          <w:highlight w:val="none"/>
        </w:rPr>
        <w:t>以上范围汇水面积</w:t>
      </w:r>
      <w:r>
        <w:rPr>
          <w:rFonts w:hint="eastAsia" w:ascii="Times New Roman" w:hAnsi="Times New Roman" w:cs="Times New Roman"/>
          <w:color w:val="0000FF"/>
          <w:highlight w:val="none"/>
          <w:lang w:val="en-US" w:eastAsia="zh-CN"/>
        </w:rPr>
        <w:t>约</w:t>
      </w:r>
      <w:r>
        <w:rPr>
          <w:rFonts w:hint="default" w:ascii="Times New Roman" w:hAnsi="Times New Roman" w:cs="Times New Roman"/>
          <w:color w:val="0000FF"/>
          <w:highlight w:val="none"/>
        </w:rPr>
        <w:t>为</w:t>
      </w:r>
      <w:r>
        <w:rPr>
          <w:rFonts w:hint="eastAsia" w:ascii="Times New Roman" w:hAnsi="Times New Roman" w:cs="Times New Roman"/>
          <w:color w:val="0000FF"/>
          <w:highlight w:val="none"/>
          <w:lang w:val="en-US" w:eastAsia="zh-CN"/>
        </w:rPr>
        <w:t>33084</w:t>
      </w:r>
      <w:r>
        <w:rPr>
          <w:rFonts w:hint="default" w:ascii="Times New Roman" w:hAnsi="Times New Roman" w:cs="Times New Roman"/>
          <w:color w:val="0000FF"/>
          <w:highlight w:val="none"/>
        </w:rPr>
        <w:t>m</w:t>
      </w:r>
      <w:r>
        <w:rPr>
          <w:rFonts w:hint="default" w:ascii="Times New Roman" w:hAnsi="Times New Roman" w:cs="Times New Roman"/>
          <w:color w:val="0000FF"/>
          <w:highlight w:val="none"/>
          <w:vertAlign w:val="superscript"/>
        </w:rPr>
        <w:t>2</w:t>
      </w:r>
      <w:r>
        <w:rPr>
          <w:rFonts w:hint="default" w:ascii="Times New Roman" w:hAnsi="Times New Roman" w:cs="Times New Roman"/>
          <w:color w:val="0000FF"/>
          <w:highlight w:val="none"/>
        </w:rPr>
        <w:t>。</w:t>
      </w:r>
      <w:r>
        <w:rPr>
          <w:rFonts w:hint="default" w:ascii="Times New Roman" w:hAnsi="Times New Roman" w:cs="Times New Roman"/>
          <w:color w:val="0000FF"/>
          <w:highlight w:val="none"/>
          <w:lang w:val="en-US" w:eastAsia="zh-CN"/>
        </w:rPr>
        <w:t>降雨径流量=降雨量×（汇水面积中的陆面面积</w:t>
      </w:r>
      <w:r>
        <w:rPr>
          <w:rFonts w:hint="eastAsia" w:ascii="Times New Roman" w:hAnsi="Times New Roman" w:cs="Times New Roman"/>
          <w:color w:val="0000FF"/>
          <w:highlight w:val="none"/>
          <w:lang w:val="en-US" w:eastAsia="zh-CN"/>
        </w:rPr>
        <w:t>33084</w:t>
      </w:r>
      <w:r>
        <w:rPr>
          <w:rFonts w:hint="default" w:ascii="Times New Roman" w:hAnsi="Times New Roman" w:cs="Times New Roman"/>
          <w:color w:val="0000FF"/>
          <w:highlight w:val="none"/>
          <w:lang w:val="en-US" w:eastAsia="zh-CN"/>
        </w:rPr>
        <w:t>m</w:t>
      </w:r>
      <w:r>
        <w:rPr>
          <w:rFonts w:hint="default" w:ascii="Times New Roman" w:hAnsi="Times New Roman" w:cs="Times New Roman"/>
          <w:color w:val="0000FF"/>
          <w:highlight w:val="none"/>
          <w:vertAlign w:val="superscript"/>
          <w:lang w:val="en-US" w:eastAsia="zh-CN"/>
        </w:rPr>
        <w:t>2</w:t>
      </w:r>
      <w:r>
        <w:rPr>
          <w:rFonts w:hint="default" w:ascii="Times New Roman" w:hAnsi="Times New Roman" w:cs="Times New Roman"/>
          <w:color w:val="0000FF"/>
          <w:highlight w:val="none"/>
          <w:lang w:val="en-US" w:eastAsia="zh-CN"/>
        </w:rPr>
        <w:t>×径流系数+</w:t>
      </w:r>
      <w:r>
        <w:rPr>
          <w:rFonts w:hint="eastAsia" w:ascii="Times New Roman" w:hAnsi="Times New Roman" w:cs="Times New Roman"/>
          <w:color w:val="0000FF"/>
          <w:highlight w:val="none"/>
          <w:lang w:val="en-US" w:eastAsia="zh-CN"/>
        </w:rPr>
        <w:t>水池</w:t>
      </w:r>
      <w:r>
        <w:rPr>
          <w:rFonts w:hint="default" w:ascii="Times New Roman" w:hAnsi="Times New Roman" w:cs="Times New Roman"/>
          <w:color w:val="0000FF"/>
          <w:highlight w:val="none"/>
          <w:lang w:val="en-US" w:eastAsia="zh-CN"/>
        </w:rPr>
        <w:t>水面面积</w:t>
      </w:r>
      <w:r>
        <w:rPr>
          <w:rFonts w:hint="eastAsia" w:ascii="Times New Roman" w:hAnsi="Times New Roman" w:cs="Times New Roman"/>
          <w:color w:val="0000FF"/>
          <w:highlight w:val="none"/>
          <w:lang w:val="en-US" w:eastAsia="zh-CN"/>
        </w:rPr>
        <w:t>4174</w:t>
      </w:r>
      <w:r>
        <w:rPr>
          <w:rFonts w:hint="default" w:ascii="Times New Roman" w:hAnsi="Times New Roman" w:cs="Times New Roman"/>
          <w:color w:val="0000FF"/>
          <w:highlight w:val="none"/>
          <w:lang w:val="en-US" w:eastAsia="zh-CN"/>
        </w:rPr>
        <w:t>m</w:t>
      </w:r>
      <w:r>
        <w:rPr>
          <w:rFonts w:hint="default" w:ascii="Times New Roman" w:hAnsi="Times New Roman" w:cs="Times New Roman"/>
          <w:color w:val="0000FF"/>
          <w:highlight w:val="none"/>
          <w:vertAlign w:val="superscript"/>
          <w:lang w:val="en-US" w:eastAsia="zh-CN"/>
        </w:rPr>
        <w:t>2</w:t>
      </w:r>
      <w:r>
        <w:rPr>
          <w:rFonts w:hint="default" w:ascii="Times New Roman" w:hAnsi="Times New Roman" w:cs="Times New Roman"/>
          <w:color w:val="0000FF"/>
          <w:highlight w:val="none"/>
          <w:lang w:val="en-US" w:eastAsia="zh-CN"/>
        </w:rPr>
        <w:t>×1.0），陆面汇流径流系数取0.6。</w:t>
      </w:r>
      <w:r>
        <w:rPr>
          <w:rFonts w:hint="eastAsia" w:ascii="Times New Roman" w:hAnsi="Times New Roman" w:cs="Times New Roman"/>
          <w:color w:val="0000FF"/>
          <w:highlight w:val="none"/>
          <w:lang w:val="en-US" w:eastAsia="zh-CN"/>
        </w:rPr>
        <w:t>由此计算出降雨径流量为1.4795万m³/a，0.00047m³/s</w:t>
      </w:r>
      <w:r>
        <w:rPr>
          <w:rFonts w:hint="eastAsia" w:cs="Times New Roman"/>
          <w:color w:val="0000FF"/>
          <w:highlight w:val="none"/>
          <w:lang w:val="en-US" w:eastAsia="zh-CN"/>
        </w:rPr>
        <w:t>。</w:t>
      </w:r>
    </w:p>
    <w:p>
      <w:pPr>
        <w:bidi w:val="0"/>
        <w:rPr>
          <w:rFonts w:hint="default" w:ascii="Times New Roman" w:hAnsi="Times New Roman" w:cs="Times New Roman"/>
          <w:b/>
          <w:bCs/>
          <w:color w:val="0000FF"/>
          <w:highlight w:val="none"/>
          <w:lang w:val="en-US" w:eastAsia="zh-CN"/>
        </w:rPr>
      </w:pPr>
      <w:r>
        <w:rPr>
          <w:rFonts w:hint="eastAsia" w:ascii="Times New Roman" w:hAnsi="Times New Roman" w:cs="Times New Roman"/>
          <w:b/>
          <w:bCs/>
          <w:color w:val="0000FF"/>
          <w:highlight w:val="none"/>
          <w:lang w:val="en-US" w:eastAsia="zh-CN"/>
        </w:rPr>
        <w:t>②下游生态流量</w:t>
      </w:r>
    </w:p>
    <w:p>
      <w:pPr>
        <w:bidi w:val="0"/>
        <w:rPr>
          <w:rFonts w:hint="eastAsia" w:ascii="Times New Roman" w:hAnsi="Times New Roman" w:cs="Times New Roman"/>
          <w:color w:val="0000FF"/>
          <w:highlight w:val="none"/>
          <w:lang w:val="en-US" w:eastAsia="zh-CN"/>
        </w:rPr>
      </w:pPr>
      <w:r>
        <w:rPr>
          <w:rFonts w:hint="eastAsia" w:ascii="Times New Roman" w:hAnsi="Times New Roman" w:cs="Times New Roman"/>
          <w:color w:val="0000FF"/>
          <w:highlight w:val="none"/>
          <w:lang w:val="en-US" w:eastAsia="zh-CN"/>
        </w:rPr>
        <w:t>根据调查，管首调节池下游主要为高山沟箐，雨季有少量雨水汇流，无特殊用水需求。本次选用Tennant计算水池下游所需生态流量，</w:t>
      </w:r>
      <w:r>
        <w:rPr>
          <w:rFonts w:ascii="Times New Roman" w:hAnsi="Times New Roman"/>
          <w:color w:val="0000FF"/>
          <w:kern w:val="0"/>
          <w:sz w:val="24"/>
          <w:szCs w:val="20"/>
        </w:rPr>
        <w:t>该法是根据水文资料以年平均流量百分数来描述河道内流量状态，适用于河流进行最初目标管理及战略性管理的方法。该方法要求根据不同区域、不同需水类型、不同保护对象对水文资料系列进行分析，按照水生生物对流量的要求在不同季节有所不同的特点，确定河段合适的生态流量。Tennant法要求生态流量一般情况下不小于多年平均流量的10%。根据《水电水利建设项目河道生态用水、低温水和过鱼设施环境影响评价技术指南（试行）》，采用Tennant法估算结果，</w:t>
      </w:r>
      <w:r>
        <w:rPr>
          <w:rFonts w:hint="eastAsia"/>
          <w:color w:val="0000FF"/>
          <w:kern w:val="0"/>
          <w:sz w:val="24"/>
          <w:szCs w:val="20"/>
          <w:lang w:val="en-US" w:eastAsia="zh-CN"/>
        </w:rPr>
        <w:t>管首高位水池</w:t>
      </w:r>
      <w:r>
        <w:rPr>
          <w:rFonts w:ascii="Times New Roman" w:hAnsi="Times New Roman"/>
          <w:color w:val="0000FF"/>
          <w:kern w:val="0"/>
          <w:sz w:val="24"/>
          <w:szCs w:val="20"/>
        </w:rPr>
        <w:t>需下泄</w:t>
      </w:r>
      <w:r>
        <w:rPr>
          <w:rFonts w:hint="eastAsia" w:ascii="Times New Roman" w:hAnsi="Times New Roman"/>
          <w:color w:val="0000FF"/>
          <w:kern w:val="0"/>
          <w:sz w:val="24"/>
          <w:szCs w:val="20"/>
        </w:rPr>
        <w:t>0.000</w:t>
      </w:r>
      <w:r>
        <w:rPr>
          <w:rFonts w:hint="eastAsia"/>
          <w:color w:val="0000FF"/>
          <w:kern w:val="0"/>
          <w:sz w:val="24"/>
          <w:szCs w:val="20"/>
          <w:lang w:val="en-US" w:eastAsia="zh-CN"/>
        </w:rPr>
        <w:t>05</w:t>
      </w:r>
      <w:r>
        <w:rPr>
          <w:rFonts w:ascii="Times New Roman" w:hAnsi="Times New Roman"/>
          <w:color w:val="0000FF"/>
          <w:kern w:val="0"/>
          <w:sz w:val="24"/>
          <w:szCs w:val="20"/>
        </w:rPr>
        <w:t>m</w:t>
      </w:r>
      <w:r>
        <w:rPr>
          <w:rFonts w:ascii="Times New Roman" w:hAnsi="Times New Roman"/>
          <w:color w:val="0000FF"/>
          <w:kern w:val="0"/>
          <w:sz w:val="24"/>
          <w:szCs w:val="20"/>
          <w:vertAlign w:val="superscript"/>
        </w:rPr>
        <w:t>3</w:t>
      </w:r>
      <w:r>
        <w:rPr>
          <w:rFonts w:ascii="Times New Roman" w:hAnsi="Times New Roman"/>
          <w:color w:val="0000FF"/>
          <w:kern w:val="0"/>
          <w:sz w:val="24"/>
          <w:szCs w:val="20"/>
        </w:rPr>
        <w:t>/s的流量。</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b w:val="0"/>
          <w:bCs w:val="0"/>
          <w:color w:val="0000FF"/>
          <w:lang w:val="en-US" w:eastAsia="zh-CN"/>
        </w:rPr>
      </w:pPr>
      <w:r>
        <w:rPr>
          <w:rFonts w:hint="eastAsia"/>
          <w:b w:val="0"/>
          <w:bCs w:val="0"/>
          <w:color w:val="0000FF"/>
          <w:lang w:val="en-US" w:eastAsia="zh-CN"/>
        </w:rPr>
        <w:t>主体设计在管首调节</w:t>
      </w:r>
      <w:r>
        <w:rPr>
          <w:rFonts w:hint="default"/>
          <w:b w:val="0"/>
          <w:bCs w:val="0"/>
          <w:color w:val="0000FF"/>
          <w:lang w:val="en-US" w:eastAsia="zh-CN"/>
        </w:rPr>
        <w:t>水池下部设DN800放空管，</w:t>
      </w:r>
      <w:r>
        <w:rPr>
          <w:rFonts w:hint="eastAsia"/>
          <w:b w:val="0"/>
          <w:bCs w:val="0"/>
          <w:color w:val="0000FF"/>
          <w:lang w:val="en-US" w:eastAsia="zh-CN"/>
        </w:rPr>
        <w:t>在检修时将水进行放空，平时下放生态流量。采取以上措施后，</w:t>
      </w:r>
      <w:r>
        <w:rPr>
          <w:rFonts w:hint="default"/>
          <w:b w:val="0"/>
          <w:bCs w:val="0"/>
          <w:color w:val="0000FF"/>
          <w:lang w:val="en-US" w:eastAsia="zh-CN"/>
        </w:rPr>
        <w:t>项目建设不仅保证了片区的农灌用水，在旱季还可保证</w:t>
      </w:r>
      <w:r>
        <w:rPr>
          <w:rFonts w:hint="eastAsia"/>
          <w:b w:val="0"/>
          <w:bCs w:val="0"/>
          <w:color w:val="0000FF"/>
          <w:lang w:val="en-US" w:eastAsia="zh-CN"/>
        </w:rPr>
        <w:t>下游</w:t>
      </w:r>
      <w:r>
        <w:rPr>
          <w:rFonts w:hint="default"/>
          <w:b w:val="0"/>
          <w:bCs w:val="0"/>
          <w:color w:val="0000FF"/>
          <w:lang w:val="en-US" w:eastAsia="zh-CN"/>
        </w:rPr>
        <w:t>的基本生态用水，对水文情势产生了有利的影响。</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b w:val="0"/>
          <w:bCs w:val="0"/>
          <w:color w:val="0000FF"/>
          <w:lang w:val="en-US" w:eastAsia="zh-CN"/>
        </w:rPr>
        <w:sectPr>
          <w:pgSz w:w="11906" w:h="16838"/>
          <w:pgMar w:top="1440" w:right="1800" w:bottom="1440" w:left="1800" w:header="851" w:footer="992" w:gutter="0"/>
          <w:pgNumType w:fmt="decimal"/>
          <w:cols w:space="425" w:num="1"/>
          <w:docGrid w:type="lines" w:linePitch="312" w:charSpace="0"/>
        </w:sectPr>
      </w:pPr>
    </w:p>
    <w:p>
      <w:pPr>
        <w:numPr>
          <w:ilvl w:val="0"/>
          <w:numId w:val="24"/>
        </w:numPr>
        <w:ind w:left="-2" w:leftChars="0" w:firstLineChars="0"/>
        <w:rPr>
          <w:rFonts w:hint="eastAsia"/>
          <w:b/>
          <w:bCs/>
          <w:color w:val="auto"/>
          <w:lang w:val="en-US" w:eastAsia="zh-CN"/>
        </w:rPr>
      </w:pPr>
      <w:r>
        <w:rPr>
          <w:rFonts w:hint="eastAsia"/>
          <w:b/>
          <w:bCs/>
          <w:color w:val="auto"/>
          <w:lang w:val="en-US" w:eastAsia="zh-CN"/>
        </w:rPr>
        <w:t>退水区水文情势影响</w:t>
      </w:r>
    </w:p>
    <w:p>
      <w:pPr>
        <w:keepNext w:val="0"/>
        <w:keepLines w:val="0"/>
        <w:pageBreakBefore w:val="0"/>
        <w:widowControl w:val="0"/>
        <w:kinsoku/>
        <w:wordWrap/>
        <w:overflowPunct/>
        <w:topLinePunct w:val="0"/>
        <w:autoSpaceDE/>
        <w:autoSpaceDN/>
        <w:bidi w:val="0"/>
        <w:adjustRightInd/>
        <w:snapToGrid w:val="0"/>
        <w:ind w:firstLine="480" w:firstLineChars="200"/>
        <w:rPr>
          <w:rFonts w:hint="default"/>
          <w:b w:val="0"/>
          <w:bCs w:val="0"/>
          <w:color w:val="auto"/>
          <w:highlight w:val="none"/>
        </w:rPr>
      </w:pPr>
      <w:r>
        <w:rPr>
          <w:rFonts w:hint="default"/>
          <w:b w:val="0"/>
          <w:bCs w:val="0"/>
          <w:color w:val="auto"/>
          <w:highlight w:val="none"/>
        </w:rPr>
        <w:t>受项目退水水文情势影响的主要为姜驿河、沙沟箐，姜驿河、沙沟箐属于姜中灌片退水影响区，由于姜驿河、沙沟箐属于高山溪沟性河流，全河段旱季基本无水，本项目灌溉退水会使得河道水量增加。由于农灌用水流经灌区，温度已升至正常地表水体温度，对退水受水河流水温基本无影响。</w:t>
      </w:r>
    </w:p>
    <w:p>
      <w:pPr>
        <w:bidi w:val="0"/>
        <w:rPr>
          <w:rFonts w:hint="default"/>
          <w:color w:val="auto"/>
        </w:rPr>
      </w:pPr>
      <w:r>
        <w:rPr>
          <w:rFonts w:hint="eastAsia"/>
          <w:color w:val="auto"/>
          <w:lang w:val="en-US" w:eastAsia="zh-CN"/>
        </w:rPr>
        <w:t>根据工程分析，本项目灌片按照比例计算得退水量131662.87</w:t>
      </w:r>
      <w:r>
        <w:rPr>
          <w:rFonts w:hint="default"/>
          <w:color w:val="auto"/>
          <w:lang w:val="en-US" w:eastAsia="zh-CN"/>
        </w:rPr>
        <w:t>m</w:t>
      </w:r>
      <w:r>
        <w:rPr>
          <w:rFonts w:hint="default"/>
          <w:color w:val="auto"/>
          <w:vertAlign w:val="superscript"/>
          <w:lang w:val="en-US" w:eastAsia="zh-CN"/>
        </w:rPr>
        <w:t>3</w:t>
      </w:r>
      <w:r>
        <w:rPr>
          <w:rFonts w:hint="default"/>
          <w:color w:val="auto"/>
          <w:lang w:val="en-US" w:eastAsia="zh-CN"/>
        </w:rPr>
        <w:t>/a</w:t>
      </w:r>
      <w:r>
        <w:rPr>
          <w:rFonts w:hint="eastAsia"/>
          <w:color w:val="auto"/>
          <w:lang w:val="en-US" w:eastAsia="zh-CN"/>
        </w:rPr>
        <w:t>，平均流量</w:t>
      </w:r>
      <w:r>
        <w:rPr>
          <w:rFonts w:hint="default"/>
          <w:color w:val="auto"/>
          <w:lang w:val="en-US" w:eastAsia="zh-CN"/>
        </w:rPr>
        <w:t>0.025</w:t>
      </w:r>
      <w:r>
        <w:rPr>
          <w:rFonts w:hint="eastAsia"/>
          <w:color w:val="auto"/>
          <w:lang w:val="en-US" w:eastAsia="zh-CN"/>
        </w:rPr>
        <w:t>4</w:t>
      </w:r>
      <w:r>
        <w:rPr>
          <w:rFonts w:hint="default"/>
          <w:color w:val="auto"/>
          <w:lang w:val="en-US" w:eastAsia="zh-CN"/>
        </w:rPr>
        <w:t>m</w:t>
      </w:r>
      <w:r>
        <w:rPr>
          <w:rFonts w:hint="default"/>
          <w:color w:val="auto"/>
          <w:vertAlign w:val="superscript"/>
          <w:lang w:val="en-US" w:eastAsia="zh-CN"/>
        </w:rPr>
        <w:t>3</w:t>
      </w:r>
      <w:r>
        <w:rPr>
          <w:rFonts w:hint="default"/>
          <w:color w:val="auto"/>
          <w:lang w:val="en-US" w:eastAsia="zh-CN"/>
        </w:rPr>
        <w:t>/s</w:t>
      </w:r>
      <w:r>
        <w:rPr>
          <w:rFonts w:hint="eastAsia"/>
          <w:color w:val="auto"/>
          <w:lang w:val="en-US" w:eastAsia="zh-CN"/>
        </w:rPr>
        <w:t>，退水区的姜驿河及沙沟箐河旱季基本处于干涸状态。灌区退水呈现出时间、地点分散的特点，可增加灌区内</w:t>
      </w:r>
      <w:r>
        <w:rPr>
          <w:rFonts w:hint="default"/>
          <w:color w:val="auto"/>
        </w:rPr>
        <w:t>姜驿河、沙沟箐</w:t>
      </w:r>
      <w:r>
        <w:rPr>
          <w:rFonts w:hint="eastAsia"/>
          <w:color w:val="auto"/>
          <w:lang w:val="en-US" w:eastAsia="zh-CN"/>
        </w:rPr>
        <w:t>水量</w:t>
      </w:r>
      <w:r>
        <w:rPr>
          <w:rFonts w:hint="default"/>
          <w:color w:val="auto"/>
        </w:rPr>
        <w:t>，但因为水量增加不大，且河道内无可能受此影响的保护目标，项目引水灌溉对上述河流的水文情势影响较小。</w:t>
      </w:r>
    </w:p>
    <w:p>
      <w:pPr>
        <w:keepNext w:val="0"/>
        <w:keepLines w:val="0"/>
        <w:widowControl/>
        <w:suppressLineNumbers w:val="0"/>
        <w:jc w:val="left"/>
        <w:rPr>
          <w:b/>
          <w:bCs/>
          <w:color w:val="0000FF"/>
        </w:rPr>
      </w:pPr>
      <w:r>
        <w:rPr>
          <w:rFonts w:hint="eastAsia" w:ascii="宋体" w:hAnsi="宋体" w:eastAsia="宋体" w:cs="宋体"/>
          <w:b/>
          <w:bCs/>
          <w:color w:val="0000FF"/>
          <w:kern w:val="0"/>
          <w:sz w:val="24"/>
          <w:szCs w:val="24"/>
          <w:lang w:val="en-US" w:eastAsia="zh-CN" w:bidi="ar"/>
        </w:rPr>
        <w:t>（</w:t>
      </w:r>
      <w:r>
        <w:rPr>
          <w:rFonts w:hint="eastAsia" w:cs="Times New Roman"/>
          <w:b/>
          <w:bCs/>
          <w:color w:val="0000FF"/>
          <w:kern w:val="0"/>
          <w:sz w:val="24"/>
          <w:szCs w:val="24"/>
          <w:lang w:val="en-US" w:eastAsia="zh-CN" w:bidi="ar"/>
        </w:rPr>
        <w:t>4</w:t>
      </w:r>
      <w:r>
        <w:rPr>
          <w:rFonts w:hint="eastAsia" w:ascii="宋体" w:hAnsi="宋体" w:eastAsia="宋体" w:cs="宋体"/>
          <w:b/>
          <w:bCs/>
          <w:color w:val="0000FF"/>
          <w:kern w:val="0"/>
          <w:sz w:val="24"/>
          <w:szCs w:val="24"/>
          <w:lang w:val="en-US" w:eastAsia="zh-CN" w:bidi="ar"/>
        </w:rPr>
        <w:t xml:space="preserve">）取水水温对农作物的影响 </w:t>
      </w:r>
    </w:p>
    <w:p>
      <w:pPr>
        <w:keepNext w:val="0"/>
        <w:keepLines w:val="0"/>
        <w:widowControl/>
        <w:suppressLineNumbers w:val="0"/>
        <w:jc w:val="left"/>
        <w:rPr>
          <w:rFonts w:hint="default" w:ascii="宋体" w:hAnsi="宋体" w:eastAsia="宋体" w:cs="宋体"/>
          <w:color w:val="0000FF"/>
          <w:kern w:val="0"/>
          <w:sz w:val="24"/>
          <w:szCs w:val="24"/>
          <w:lang w:val="en-US" w:eastAsia="zh-CN" w:bidi="ar"/>
        </w:rPr>
      </w:pPr>
      <w:r>
        <w:rPr>
          <w:rFonts w:hint="eastAsia" w:ascii="宋体" w:hAnsi="宋体" w:cs="宋体"/>
          <w:color w:val="0000FF"/>
          <w:kern w:val="0"/>
          <w:sz w:val="24"/>
          <w:szCs w:val="24"/>
          <w:lang w:val="en-US" w:eastAsia="zh-CN" w:bidi="ar"/>
        </w:rPr>
        <w:t>受水区4座水库规模相差不大，本次选取界牌箐水库进行水温影响分析。</w:t>
      </w:r>
    </w:p>
    <w:p>
      <w:pPr>
        <w:keepNext w:val="0"/>
        <w:keepLines w:val="0"/>
        <w:widowControl/>
        <w:suppressLineNumbers w:val="0"/>
        <w:jc w:val="left"/>
        <w:rPr>
          <w:color w:val="0000FF"/>
        </w:rPr>
      </w:pPr>
      <w:r>
        <w:rPr>
          <w:rFonts w:ascii="瀹嬩綋" w:hAnsi="瀹嬩綋" w:eastAsia="瀹嬩綋" w:cs="瀹嬩綋"/>
          <w:color w:val="0000FF"/>
          <w:kern w:val="0"/>
          <w:sz w:val="24"/>
          <w:szCs w:val="24"/>
          <w:lang w:val="en-US" w:eastAsia="zh-CN" w:bidi="ar"/>
        </w:rPr>
        <w:t>白鱼洞水库为年调节水库，根据《水利水电工程水文计算规范》（</w:t>
      </w:r>
      <w:r>
        <w:rPr>
          <w:rFonts w:hint="default" w:ascii="Times New Roman" w:hAnsi="Times New Roman" w:eastAsia="宋体" w:cs="Times New Roman"/>
          <w:color w:val="0000FF"/>
          <w:kern w:val="0"/>
          <w:sz w:val="24"/>
          <w:szCs w:val="24"/>
          <w:lang w:val="en-US" w:eastAsia="zh-CN" w:bidi="ar"/>
        </w:rPr>
        <w:t>SL/T 278</w:t>
      </w:r>
      <w:r>
        <w:rPr>
          <w:rFonts w:hint="default" w:ascii="瀹嬩綋" w:hAnsi="瀹嬩綋" w:eastAsia="瀹嬩綋" w:cs="瀹嬩綋"/>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2020</w:t>
      </w:r>
      <w:r>
        <w:rPr>
          <w:rFonts w:hint="default" w:ascii="瀹嬩綋" w:hAnsi="瀹嬩綋" w:eastAsia="瀹嬩綋" w:cs="瀹嬩綋"/>
          <w:color w:val="0000FF"/>
          <w:kern w:val="0"/>
          <w:sz w:val="24"/>
          <w:szCs w:val="24"/>
          <w:lang w:val="en-US" w:eastAsia="zh-CN" w:bidi="ar"/>
        </w:rPr>
        <w:t xml:space="preserve">）中的水库水温分布类型，用 </w:t>
      </w:r>
      <w:r>
        <w:rPr>
          <w:rFonts w:hint="default" w:ascii="Times New Roman" w:hAnsi="Times New Roman" w:eastAsia="宋体" w:cs="Times New Roman"/>
          <w:color w:val="0000FF"/>
          <w:kern w:val="0"/>
          <w:sz w:val="24"/>
          <w:szCs w:val="24"/>
          <w:lang w:val="en-US" w:eastAsia="zh-CN" w:bidi="ar"/>
        </w:rPr>
        <w:t xml:space="preserve">α—β </w:t>
      </w:r>
      <w:r>
        <w:rPr>
          <w:rFonts w:hint="default" w:ascii="瀹嬩綋" w:hAnsi="瀹嬩綋" w:eastAsia="瀹嬩綋" w:cs="瀹嬩綋"/>
          <w:color w:val="0000FF"/>
          <w:kern w:val="0"/>
          <w:sz w:val="24"/>
          <w:szCs w:val="24"/>
          <w:lang w:val="en-US" w:eastAsia="zh-CN" w:bidi="ar"/>
        </w:rPr>
        <w:t>判别法判别水温结构。</w:t>
      </w:r>
    </w:p>
    <w:p>
      <w:pPr>
        <w:keepNext w:val="0"/>
        <w:keepLines w:val="0"/>
        <w:widowControl/>
        <w:suppressLineNumbers w:val="0"/>
        <w:jc w:val="left"/>
        <w:rPr>
          <w:color w:val="0000FF"/>
        </w:rPr>
      </w:pPr>
      <w:r>
        <w:rPr>
          <w:rFonts w:hint="default" w:ascii="瀹嬩綋" w:hAnsi="瀹嬩綋" w:eastAsia="瀹嬩綋" w:cs="瀹嬩綋"/>
          <w:color w:val="0000FF"/>
          <w:kern w:val="0"/>
          <w:sz w:val="24"/>
          <w:szCs w:val="24"/>
          <w:lang w:val="en-US" w:eastAsia="zh-CN" w:bidi="ar"/>
        </w:rPr>
        <w:t>水库水温是水环境的一项重要指标。水库蓄水运行后，天然径流蓄存于水库内，是否满足农作物对水温的需要，因此需进行水温分析。水库的水温分布受太阳辐射、水库容积、入出库水量和水温、水库形状、水库调度运用方式等多种因素的影响。库内水温是否因滞留而分层，目前国内一般采用</w:t>
      </w:r>
      <w:r>
        <w:rPr>
          <w:rFonts w:hint="default" w:ascii="Times New Roman" w:hAnsi="Times New Roman" w:eastAsia="宋体" w:cs="Times New Roman"/>
          <w:color w:val="0000FF"/>
          <w:kern w:val="0"/>
          <w:sz w:val="24"/>
          <w:szCs w:val="24"/>
          <w:lang w:val="en-US" w:eastAsia="zh-CN" w:bidi="ar"/>
        </w:rPr>
        <w:t>α—β</w:t>
      </w:r>
      <w:r>
        <w:rPr>
          <w:rFonts w:hint="default" w:ascii="瀹嬩綋" w:hAnsi="瀹嬩綋" w:eastAsia="瀹嬩綋" w:cs="瀹嬩綋"/>
          <w:color w:val="0000FF"/>
          <w:kern w:val="0"/>
          <w:sz w:val="24"/>
          <w:szCs w:val="24"/>
          <w:lang w:val="en-US" w:eastAsia="zh-CN" w:bidi="ar"/>
        </w:rPr>
        <w:t>判别法大致对水库水温结构进行判别，即：</w:t>
      </w:r>
    </w:p>
    <w:p>
      <w:pPr>
        <w:snapToGrid w:val="0"/>
        <w:spacing w:line="360" w:lineRule="auto"/>
        <w:ind w:firstLine="480" w:firstLineChars="200"/>
        <w:jc w:val="center"/>
        <w:rPr>
          <w:rFonts w:ascii="Times New Roman" w:hAnsi="Times New Roman"/>
          <w:color w:val="0000FF"/>
          <w:kern w:val="0"/>
          <w:sz w:val="24"/>
        </w:rPr>
      </w:pPr>
      <w:r>
        <w:rPr>
          <w:rFonts w:ascii="Times New Roman" w:hAnsi="Times New Roman"/>
          <w:color w:val="0000FF"/>
          <w:kern w:val="0"/>
          <w:sz w:val="24"/>
        </w:rPr>
        <w:t>α＝多年平均径流量/总库容</w:t>
      </w:r>
    </w:p>
    <w:p>
      <w:pPr>
        <w:snapToGrid w:val="0"/>
        <w:spacing w:line="360" w:lineRule="auto"/>
        <w:ind w:firstLine="480" w:firstLineChars="200"/>
        <w:jc w:val="center"/>
        <w:rPr>
          <w:rFonts w:ascii="Times New Roman" w:hAnsi="Times New Roman"/>
          <w:color w:val="0000FF"/>
          <w:kern w:val="0"/>
          <w:sz w:val="24"/>
        </w:rPr>
      </w:pPr>
      <w:r>
        <w:rPr>
          <w:rFonts w:ascii="Times New Roman" w:hAnsi="Times New Roman"/>
          <w:color w:val="0000FF"/>
          <w:kern w:val="0"/>
          <w:sz w:val="24"/>
        </w:rPr>
        <w:t>β=一次洪水量/水库总库容</w:t>
      </w:r>
    </w:p>
    <w:p>
      <w:pPr>
        <w:keepNext w:val="0"/>
        <w:keepLines w:val="0"/>
        <w:widowControl/>
        <w:suppressLineNumbers w:val="0"/>
        <w:jc w:val="both"/>
        <w:rPr>
          <w:rFonts w:hint="eastAsia" w:ascii="宋体" w:hAnsi="宋体" w:eastAsia="宋体" w:cs="宋体"/>
          <w:color w:val="0000FF"/>
          <w:kern w:val="0"/>
          <w:sz w:val="24"/>
          <w:szCs w:val="24"/>
          <w:lang w:val="en-US" w:eastAsia="zh-CN" w:bidi="ar"/>
        </w:rPr>
      </w:pPr>
      <w:r>
        <w:rPr>
          <w:rFonts w:ascii="Times New Roman" w:hAnsi="Times New Roman"/>
          <w:color w:val="0000FF"/>
          <w:kern w:val="0"/>
          <w:sz w:val="24"/>
        </w:rPr>
        <w:t>当α&lt;10时水库为分层型；α&gt;10时水库为混合型；10&lt;α&lt;20时水库为过渡型。分层型水库如遇β＞1的大洪水，则成为临时的混合型状态；而β＜0.5的洪水，一般对水库的水温结构没有大的影响。</w:t>
      </w:r>
    </w:p>
    <w:p>
      <w:pPr>
        <w:keepNext w:val="0"/>
        <w:keepLines w:val="0"/>
        <w:widowControl/>
        <w:suppressLineNumbers w:val="0"/>
        <w:jc w:val="left"/>
        <w:rPr>
          <w:color w:val="0000FF"/>
        </w:rPr>
      </w:pPr>
      <w:r>
        <w:rPr>
          <w:rFonts w:hint="eastAsia" w:ascii="瀹嬩綋" w:hAnsi="瀹嬩綋" w:eastAsia="瀹嬩綋" w:cs="瀹嬩綋"/>
          <w:color w:val="0000FF"/>
          <w:kern w:val="0"/>
          <w:sz w:val="24"/>
          <w:szCs w:val="24"/>
          <w:lang w:val="en-US" w:eastAsia="zh-CN" w:bidi="ar"/>
        </w:rPr>
        <w:t>界牌箐水库</w:t>
      </w:r>
      <w:r>
        <w:rPr>
          <w:rFonts w:ascii="瀹嬩綋" w:hAnsi="瀹嬩綋" w:eastAsia="瀹嬩綋" w:cs="瀹嬩綋"/>
          <w:color w:val="0000FF"/>
          <w:kern w:val="0"/>
          <w:sz w:val="24"/>
          <w:szCs w:val="24"/>
          <w:lang w:val="en-US" w:eastAsia="zh-CN" w:bidi="ar"/>
        </w:rPr>
        <w:t>的水温判别结果见下表</w:t>
      </w:r>
      <w:r>
        <w:rPr>
          <w:rFonts w:hint="eastAsia" w:cs="Times New Roman"/>
          <w:color w:val="0000FF"/>
          <w:kern w:val="0"/>
          <w:sz w:val="24"/>
          <w:szCs w:val="24"/>
          <w:lang w:val="en-US" w:eastAsia="zh-CN" w:bidi="ar"/>
        </w:rPr>
        <w:t>5.2.2-7</w:t>
      </w:r>
      <w:r>
        <w:rPr>
          <w:rFonts w:hint="default" w:ascii="瀹嬩綋" w:hAnsi="瀹嬩綋" w:eastAsia="瀹嬩綋" w:cs="瀹嬩綋"/>
          <w:color w:val="0000FF"/>
          <w:kern w:val="0"/>
          <w:sz w:val="24"/>
          <w:szCs w:val="24"/>
          <w:lang w:val="en-US" w:eastAsia="zh-CN" w:bidi="ar"/>
        </w:rPr>
        <w:t>：</w:t>
      </w:r>
    </w:p>
    <w:p>
      <w:pPr>
        <w:keepNext w:val="0"/>
        <w:keepLines w:val="0"/>
        <w:widowControl/>
        <w:suppressLineNumbers w:val="0"/>
        <w:spacing w:line="240" w:lineRule="auto"/>
        <w:jc w:val="center"/>
        <w:rPr>
          <w:b/>
          <w:bCs/>
          <w:color w:val="0000FF"/>
        </w:rPr>
      </w:pPr>
      <w:r>
        <w:rPr>
          <w:rFonts w:ascii="榛戜綋" w:hAnsi="榛戜綋" w:eastAsia="榛戜綋" w:cs="榛戜綋"/>
          <w:b/>
          <w:bCs/>
          <w:color w:val="0000FF"/>
          <w:kern w:val="0"/>
          <w:sz w:val="24"/>
          <w:szCs w:val="24"/>
          <w:lang w:val="en-US" w:eastAsia="zh-CN" w:bidi="ar"/>
        </w:rPr>
        <w:t>表</w:t>
      </w:r>
      <w:r>
        <w:rPr>
          <w:rFonts w:hint="eastAsia" w:cs="Times New Roman"/>
          <w:b/>
          <w:bCs/>
          <w:color w:val="0000FF"/>
          <w:kern w:val="0"/>
          <w:sz w:val="24"/>
          <w:szCs w:val="24"/>
          <w:lang w:val="en-US" w:eastAsia="zh-CN" w:bidi="ar"/>
        </w:rPr>
        <w:t>5.2.2-7</w:t>
      </w:r>
      <w:r>
        <w:rPr>
          <w:rFonts w:hint="default" w:ascii="Times New Roman" w:hAnsi="Times New Roman" w:eastAsia="宋体" w:cs="Times New Roman"/>
          <w:b/>
          <w:bCs/>
          <w:color w:val="0000FF"/>
          <w:kern w:val="0"/>
          <w:sz w:val="24"/>
          <w:szCs w:val="24"/>
          <w:lang w:val="en-US" w:eastAsia="zh-CN" w:bidi="ar"/>
        </w:rPr>
        <w:t xml:space="preserve"> </w:t>
      </w:r>
      <w:r>
        <w:rPr>
          <w:rFonts w:hint="eastAsia" w:ascii="榛戜綋" w:hAnsi="榛戜綋" w:eastAsia="榛戜綋" w:cs="榛戜綋"/>
          <w:b/>
          <w:bCs/>
          <w:color w:val="0000FF"/>
          <w:kern w:val="0"/>
          <w:sz w:val="24"/>
          <w:szCs w:val="24"/>
          <w:lang w:val="en-US" w:eastAsia="zh-CN" w:bidi="ar"/>
        </w:rPr>
        <w:t>界牌箐水库</w:t>
      </w:r>
      <w:r>
        <w:rPr>
          <w:rFonts w:hint="default" w:ascii="榛戜綋" w:hAnsi="榛戜綋" w:eastAsia="榛戜綋" w:cs="榛戜綋"/>
          <w:b/>
          <w:bCs/>
          <w:color w:val="0000FF"/>
          <w:kern w:val="0"/>
          <w:sz w:val="24"/>
          <w:szCs w:val="24"/>
          <w:lang w:val="en-US" w:eastAsia="zh-CN" w:bidi="ar"/>
        </w:rPr>
        <w:t>水温分布</w:t>
      </w:r>
      <w:r>
        <w:rPr>
          <w:rFonts w:hint="default" w:ascii="Times New Roman" w:hAnsi="Times New Roman" w:eastAsia="宋体" w:cs="Times New Roman"/>
          <w:b/>
          <w:bCs/>
          <w:color w:val="0000FF"/>
          <w:kern w:val="0"/>
          <w:sz w:val="24"/>
          <w:szCs w:val="24"/>
          <w:lang w:val="en-US" w:eastAsia="zh-CN" w:bidi="ar"/>
        </w:rPr>
        <w:t>α—β</w:t>
      </w:r>
      <w:r>
        <w:rPr>
          <w:rFonts w:hint="default" w:ascii="榛戜綋" w:hAnsi="榛戜綋" w:eastAsia="榛戜綋" w:cs="榛戜綋"/>
          <w:b/>
          <w:bCs/>
          <w:color w:val="0000FF"/>
          <w:kern w:val="0"/>
          <w:sz w:val="24"/>
          <w:szCs w:val="24"/>
          <w:lang w:val="en-US" w:eastAsia="zh-CN" w:bidi="ar"/>
        </w:rPr>
        <w:t>判别表</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1"/>
        <w:gridCol w:w="1411"/>
        <w:gridCol w:w="1413"/>
        <w:gridCol w:w="1457"/>
        <w:gridCol w:w="1413"/>
        <w:gridCol w:w="14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水库名称</w:t>
            </w:r>
          </w:p>
        </w:tc>
        <w:tc>
          <w:tcPr>
            <w:tcW w:w="82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default" w:ascii="Times New Roman" w:hAnsi="Times New Roman" w:eastAsia="宋体" w:cs="Times New Roman"/>
                <w:color w:val="0000FF"/>
                <w:kern w:val="0"/>
                <w:sz w:val="21"/>
                <w:szCs w:val="21"/>
                <w:vertAlign w:val="baseline"/>
                <w:lang w:val="en-US" w:eastAsia="zh-CN" w:bidi="ar"/>
              </w:rPr>
              <w:t>多年平均径流量</w:t>
            </w:r>
            <w:r>
              <w:rPr>
                <w:rFonts w:hint="default" w:ascii="Times New Roman" w:hAnsi="Times New Roman" w:eastAsia="瀹嬩綋" w:cs="Times New Roman"/>
                <w:color w:val="0000FF"/>
                <w:kern w:val="0"/>
                <w:sz w:val="22"/>
                <w:szCs w:val="22"/>
                <w:lang w:val="en-US" w:eastAsia="zh-CN" w:bidi="ar"/>
              </w:rPr>
              <w:t>（万</w:t>
            </w:r>
            <w:r>
              <w:rPr>
                <w:rFonts w:hint="default" w:ascii="Times New Roman" w:hAnsi="Times New Roman" w:eastAsia="宋体" w:cs="Times New Roman"/>
                <w:color w:val="0000FF"/>
                <w:kern w:val="0"/>
                <w:sz w:val="22"/>
                <w:szCs w:val="22"/>
                <w:lang w:val="en-US" w:eastAsia="zh-CN" w:bidi="ar"/>
              </w:rPr>
              <w:t>m</w:t>
            </w:r>
            <w:r>
              <w:rPr>
                <w:rFonts w:hint="default" w:ascii="Times New Roman" w:hAnsi="Times New Roman" w:eastAsia="宋体" w:cs="Times New Roman"/>
                <w:color w:val="0000FF"/>
                <w:kern w:val="0"/>
                <w:sz w:val="22"/>
                <w:szCs w:val="22"/>
                <w:vertAlign w:val="superscript"/>
                <w:lang w:val="en-US" w:eastAsia="zh-CN" w:bidi="ar"/>
              </w:rPr>
              <w:t>3</w:t>
            </w:r>
            <w:r>
              <w:rPr>
                <w:rFonts w:hint="default" w:ascii="Times New Roman" w:hAnsi="Times New Roman" w:eastAsia="瀹嬩綋" w:cs="Times New Roman"/>
                <w:color w:val="0000FF"/>
                <w:kern w:val="0"/>
                <w:sz w:val="22"/>
                <w:szCs w:val="22"/>
                <w:lang w:val="en-US" w:eastAsia="zh-CN" w:bidi="ar"/>
              </w:rPr>
              <w:t>）</w:t>
            </w:r>
          </w:p>
        </w:tc>
        <w:tc>
          <w:tcPr>
            <w:tcW w:w="82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rPr>
              <w:t>总库容</w:t>
            </w:r>
            <w:r>
              <w:rPr>
                <w:rFonts w:hint="default" w:ascii="Times New Roman" w:hAnsi="Times New Roman" w:eastAsia="瀹嬩綋" w:cs="Times New Roman"/>
                <w:color w:val="0000FF"/>
                <w:kern w:val="0"/>
                <w:sz w:val="22"/>
                <w:szCs w:val="22"/>
                <w:lang w:val="en-US" w:eastAsia="zh-CN" w:bidi="ar"/>
              </w:rPr>
              <w:t>（万</w:t>
            </w:r>
            <w:r>
              <w:rPr>
                <w:rFonts w:hint="default" w:ascii="Times New Roman" w:hAnsi="Times New Roman" w:eastAsia="宋体" w:cs="Times New Roman"/>
                <w:color w:val="0000FF"/>
                <w:kern w:val="0"/>
                <w:sz w:val="22"/>
                <w:szCs w:val="22"/>
                <w:lang w:val="en-US" w:eastAsia="zh-CN" w:bidi="ar"/>
              </w:rPr>
              <w:t>m</w:t>
            </w:r>
            <w:r>
              <w:rPr>
                <w:rFonts w:hint="default" w:ascii="Times New Roman" w:hAnsi="Times New Roman" w:eastAsia="宋体" w:cs="Times New Roman"/>
                <w:color w:val="0000FF"/>
                <w:kern w:val="0"/>
                <w:sz w:val="22"/>
                <w:szCs w:val="22"/>
                <w:vertAlign w:val="superscript"/>
                <w:lang w:val="en-US" w:eastAsia="zh-CN" w:bidi="ar"/>
              </w:rPr>
              <w:t>3</w:t>
            </w:r>
            <w:r>
              <w:rPr>
                <w:rFonts w:hint="default" w:ascii="Times New Roman" w:hAnsi="Times New Roman" w:eastAsia="瀹嬩綋" w:cs="Times New Roman"/>
                <w:color w:val="0000FF"/>
                <w:kern w:val="0"/>
                <w:sz w:val="22"/>
                <w:szCs w:val="22"/>
                <w:lang w:val="en-US" w:eastAsia="zh-CN" w:bidi="ar"/>
              </w:rPr>
              <w:t>）</w:t>
            </w:r>
          </w:p>
        </w:tc>
        <w:tc>
          <w:tcPr>
            <w:tcW w:w="855"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rPr>
              <w:t>一次洪水量</w:t>
            </w:r>
            <w:r>
              <w:rPr>
                <w:rFonts w:hint="default" w:ascii="Times New Roman" w:hAnsi="Times New Roman" w:eastAsia="瀹嬩綋" w:cs="Times New Roman"/>
                <w:color w:val="0000FF"/>
                <w:kern w:val="0"/>
                <w:sz w:val="22"/>
                <w:szCs w:val="22"/>
                <w:lang w:val="en-US" w:eastAsia="zh-CN" w:bidi="ar"/>
              </w:rPr>
              <w:t>（万</w:t>
            </w:r>
            <w:r>
              <w:rPr>
                <w:rFonts w:hint="default" w:ascii="Times New Roman" w:hAnsi="Times New Roman" w:eastAsia="宋体" w:cs="Times New Roman"/>
                <w:color w:val="0000FF"/>
                <w:kern w:val="0"/>
                <w:sz w:val="22"/>
                <w:szCs w:val="22"/>
                <w:lang w:val="en-US" w:eastAsia="zh-CN" w:bidi="ar"/>
              </w:rPr>
              <w:t>m</w:t>
            </w:r>
            <w:r>
              <w:rPr>
                <w:rFonts w:hint="default" w:ascii="Times New Roman" w:hAnsi="Times New Roman" w:eastAsia="宋体" w:cs="Times New Roman"/>
                <w:color w:val="0000FF"/>
                <w:kern w:val="0"/>
                <w:sz w:val="22"/>
                <w:szCs w:val="22"/>
                <w:vertAlign w:val="superscript"/>
                <w:lang w:val="en-US" w:eastAsia="zh-CN" w:bidi="ar"/>
              </w:rPr>
              <w:t>3</w:t>
            </w:r>
            <w:r>
              <w:rPr>
                <w:rFonts w:hint="default" w:ascii="Times New Roman" w:hAnsi="Times New Roman" w:eastAsia="瀹嬩綋" w:cs="Times New Roman"/>
                <w:color w:val="0000FF"/>
                <w:kern w:val="0"/>
                <w:sz w:val="22"/>
                <w:szCs w:val="22"/>
                <w:lang w:val="en-US" w:eastAsia="zh-CN" w:bidi="ar"/>
              </w:rPr>
              <w:t>，</w:t>
            </w:r>
            <w:r>
              <w:rPr>
                <w:rFonts w:hint="default" w:ascii="Times New Roman" w:hAnsi="Times New Roman" w:eastAsia="宋体" w:cs="Times New Roman"/>
                <w:color w:val="0000FF"/>
                <w:kern w:val="0"/>
                <w:sz w:val="22"/>
                <w:szCs w:val="22"/>
                <w:lang w:val="en-US" w:eastAsia="zh-CN" w:bidi="ar"/>
              </w:rPr>
              <w:t>P=3.33%</w:t>
            </w:r>
            <w:r>
              <w:rPr>
                <w:rFonts w:hint="default" w:ascii="Times New Roman" w:hAnsi="Times New Roman" w:eastAsia="瀹嬩綋" w:cs="Times New Roman"/>
                <w:color w:val="0000FF"/>
                <w:kern w:val="0"/>
                <w:sz w:val="22"/>
                <w:szCs w:val="22"/>
                <w:lang w:val="en-US" w:eastAsia="zh-CN" w:bidi="ar"/>
              </w:rPr>
              <w:t>）</w:t>
            </w:r>
          </w:p>
        </w:tc>
        <w:tc>
          <w:tcPr>
            <w:tcW w:w="82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rPr>
              <w:t>α</w:t>
            </w:r>
          </w:p>
        </w:tc>
        <w:tc>
          <w:tcPr>
            <w:tcW w:w="82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rPr>
              <w:t>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界牌箐水库</w:t>
            </w:r>
          </w:p>
        </w:tc>
        <w:tc>
          <w:tcPr>
            <w:tcW w:w="82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8.46</w:t>
            </w:r>
          </w:p>
        </w:tc>
        <w:tc>
          <w:tcPr>
            <w:tcW w:w="82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10.1</w:t>
            </w:r>
          </w:p>
        </w:tc>
        <w:tc>
          <w:tcPr>
            <w:tcW w:w="855"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eastAsia" w:ascii="Times New Roman" w:hAnsi="Times New Roman" w:cs="Times New Roman"/>
                <w:color w:val="0000FF"/>
                <w:kern w:val="0"/>
                <w:sz w:val="21"/>
                <w:szCs w:val="21"/>
                <w:vertAlign w:val="baseline"/>
                <w:lang w:val="en-US" w:eastAsia="zh-CN" w:bidi="ar"/>
              </w:rPr>
              <w:t>6.76</w:t>
            </w:r>
          </w:p>
        </w:tc>
        <w:tc>
          <w:tcPr>
            <w:tcW w:w="82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eastAsia" w:ascii="Times New Roman" w:hAnsi="Times New Roman" w:cs="Times New Roman"/>
                <w:color w:val="0000FF"/>
                <w:kern w:val="0"/>
                <w:sz w:val="21"/>
                <w:szCs w:val="21"/>
                <w:vertAlign w:val="baseline"/>
                <w:lang w:val="en-US" w:eastAsia="zh-CN" w:bidi="ar"/>
              </w:rPr>
              <w:t>0.84</w:t>
            </w:r>
          </w:p>
        </w:tc>
        <w:tc>
          <w:tcPr>
            <w:tcW w:w="82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eastAsia" w:ascii="Times New Roman" w:hAnsi="Times New Roman" w:cs="Times New Roman"/>
                <w:color w:val="0000FF"/>
                <w:kern w:val="0"/>
                <w:sz w:val="21"/>
                <w:szCs w:val="21"/>
                <w:vertAlign w:val="baseline"/>
                <w:lang w:val="en-US" w:eastAsia="zh-CN" w:bidi="ar"/>
              </w:rPr>
              <w:t>0.669</w:t>
            </w:r>
          </w:p>
        </w:tc>
      </w:tr>
    </w:tbl>
    <w:p>
      <w:pPr>
        <w:keepNext w:val="0"/>
        <w:keepLines w:val="0"/>
        <w:widowControl/>
        <w:suppressLineNumbers w:val="0"/>
        <w:jc w:val="left"/>
        <w:rPr>
          <w:rFonts w:hint="eastAsia" w:ascii="宋体" w:hAnsi="宋体" w:eastAsia="宋体" w:cs="宋体"/>
          <w:color w:val="0000FF"/>
          <w:kern w:val="0"/>
          <w:sz w:val="24"/>
          <w:szCs w:val="24"/>
          <w:lang w:val="en-US" w:eastAsia="zh-CN" w:bidi="ar"/>
        </w:rPr>
      </w:pPr>
      <w:r>
        <w:rPr>
          <w:rFonts w:hint="eastAsia" w:ascii="宋体" w:hAnsi="宋体" w:eastAsia="宋体" w:cs="宋体"/>
          <w:color w:val="0000FF"/>
          <w:kern w:val="0"/>
          <w:sz w:val="24"/>
          <w:szCs w:val="24"/>
          <w:lang w:val="en-US" w:eastAsia="zh-CN" w:bidi="ar"/>
        </w:rPr>
        <w:t>根据判别结果，</w:t>
      </w:r>
      <w:r>
        <w:rPr>
          <w:rFonts w:hint="eastAsia" w:ascii="宋体" w:hAnsi="宋体" w:cs="宋体"/>
          <w:color w:val="0000FF"/>
          <w:kern w:val="0"/>
          <w:sz w:val="24"/>
          <w:szCs w:val="24"/>
          <w:lang w:val="en-US" w:eastAsia="zh-CN" w:bidi="ar"/>
        </w:rPr>
        <w:t>界牌箐水库</w:t>
      </w:r>
      <w:r>
        <w:rPr>
          <w:rFonts w:hint="eastAsia" w:ascii="宋体" w:hAnsi="宋体" w:eastAsia="宋体" w:cs="宋体"/>
          <w:color w:val="0000FF"/>
          <w:kern w:val="0"/>
          <w:sz w:val="24"/>
          <w:szCs w:val="24"/>
          <w:lang w:val="en-US" w:eastAsia="zh-CN" w:bidi="ar"/>
        </w:rPr>
        <w:t>为水温分层型水库，水库的水温可能存在的影响很小</w:t>
      </w:r>
      <w:r>
        <w:rPr>
          <w:rFonts w:hint="eastAsia" w:ascii="宋体" w:hAnsi="宋体" w:cs="宋体"/>
          <w:color w:val="0000FF"/>
          <w:kern w:val="0"/>
          <w:sz w:val="24"/>
          <w:szCs w:val="24"/>
          <w:lang w:val="en-US" w:eastAsia="zh-CN" w:bidi="ar"/>
        </w:rPr>
        <w:t>。</w:t>
      </w:r>
    </w:p>
    <w:p>
      <w:pPr>
        <w:keepNext w:val="0"/>
        <w:keepLines w:val="0"/>
        <w:widowControl/>
        <w:suppressLineNumbers w:val="0"/>
        <w:jc w:val="left"/>
        <w:rPr>
          <w:rFonts w:hint="eastAsia" w:ascii="宋体" w:hAnsi="宋体" w:eastAsia="宋体" w:cs="宋体"/>
          <w:color w:val="0000FF"/>
          <w:kern w:val="0"/>
          <w:sz w:val="24"/>
          <w:szCs w:val="24"/>
          <w:lang w:val="en-US" w:eastAsia="zh-CN" w:bidi="ar"/>
        </w:rPr>
      </w:pPr>
      <w:r>
        <w:rPr>
          <w:rFonts w:hint="eastAsia" w:ascii="宋体" w:hAnsi="宋体" w:eastAsia="宋体" w:cs="宋体"/>
          <w:color w:val="0000FF"/>
          <w:kern w:val="0"/>
          <w:sz w:val="24"/>
          <w:szCs w:val="24"/>
          <w:lang w:val="en-US" w:eastAsia="zh-CN" w:bidi="ar"/>
        </w:rPr>
        <w:t>本项目受水水库已建成，无法实施分层取水措施，同时根据现有灌溉情况，未调查到明显的低温水影响，说明在长距离输水过程中，受水区水温与来水水温差别不大。</w:t>
      </w:r>
    </w:p>
    <w:p>
      <w:pPr>
        <w:keepNext w:val="0"/>
        <w:keepLines w:val="0"/>
        <w:widowControl/>
        <w:suppressLineNumbers w:val="0"/>
        <w:jc w:val="left"/>
        <w:rPr>
          <w:rFonts w:hint="eastAsia" w:ascii="宋体" w:hAnsi="宋体" w:eastAsia="宋体" w:cs="宋体"/>
          <w:color w:val="0000FF"/>
          <w:kern w:val="0"/>
          <w:sz w:val="24"/>
          <w:szCs w:val="24"/>
          <w:lang w:val="en-US" w:eastAsia="zh-CN" w:bidi="ar"/>
        </w:rPr>
      </w:pPr>
      <w:r>
        <w:rPr>
          <w:rFonts w:hint="eastAsia" w:ascii="宋体" w:hAnsi="宋体" w:eastAsia="宋体" w:cs="宋体"/>
          <w:color w:val="0000FF"/>
          <w:kern w:val="0"/>
          <w:sz w:val="24"/>
          <w:szCs w:val="24"/>
          <w:lang w:val="en-US" w:eastAsia="zh-CN" w:bidi="ar"/>
        </w:rPr>
        <w:t>元谋县受显著金沙江干热河谷气象影响而年平均气温显著偏高，灌溉水在输送沿程将增温，根据类似工程水温实测资料，灌区主要灌溉季节5月</w:t>
      </w:r>
      <w:r>
        <w:rPr>
          <w:rFonts w:hint="eastAsia" w:ascii="宋体" w:hAnsi="宋体" w:cs="宋体"/>
          <w:color w:val="0000FF"/>
          <w:kern w:val="0"/>
          <w:sz w:val="24"/>
          <w:szCs w:val="24"/>
          <w:lang w:val="en-US" w:eastAsia="zh-CN" w:bidi="ar"/>
        </w:rPr>
        <w:t>管道</w:t>
      </w:r>
      <w:r>
        <w:rPr>
          <w:rFonts w:hint="eastAsia" w:ascii="宋体" w:hAnsi="宋体" w:eastAsia="宋体" w:cs="宋体"/>
          <w:color w:val="0000FF"/>
          <w:kern w:val="0"/>
          <w:sz w:val="24"/>
          <w:szCs w:val="24"/>
          <w:lang w:val="en-US" w:eastAsia="zh-CN" w:bidi="ar"/>
        </w:rPr>
        <w:t>沿程增温约0.2℃，预计水流最后到达田间水温能增温2℃以上，水温基本能满足作物要求温度，不影响作物正常生长。</w:t>
      </w:r>
    </w:p>
    <w:p>
      <w:pPr>
        <w:pStyle w:val="5"/>
        <w:bidi w:val="0"/>
        <w:rPr>
          <w:rFonts w:hint="default"/>
        </w:rPr>
      </w:pPr>
      <w:r>
        <w:rPr>
          <w:rFonts w:hint="eastAsia"/>
          <w:lang w:val="en-US" w:eastAsia="zh-CN"/>
        </w:rPr>
        <w:t>水质</w:t>
      </w:r>
      <w:r>
        <w:rPr>
          <w:rFonts w:hint="eastAsia"/>
          <w:lang w:eastAsia="zh-CN"/>
        </w:rPr>
        <w:t>影响分析</w:t>
      </w:r>
    </w:p>
    <w:p>
      <w:pPr>
        <w:keepNext w:val="0"/>
        <w:keepLines w:val="0"/>
        <w:widowControl/>
        <w:suppressLineNumbers w:val="0"/>
        <w:jc w:val="left"/>
        <w:rPr>
          <w:rFonts w:hint="default"/>
          <w:b/>
          <w:bCs/>
          <w:color w:val="auto"/>
          <w:lang w:val="en-US" w:eastAsia="zh-CN"/>
        </w:rPr>
      </w:pPr>
      <w:r>
        <w:rPr>
          <w:rFonts w:hint="eastAsia"/>
          <w:b/>
          <w:bCs/>
          <w:color w:val="auto"/>
          <w:lang w:val="en-US" w:eastAsia="zh-CN"/>
        </w:rPr>
        <w:t>1、水源水质分析</w:t>
      </w:r>
    </w:p>
    <w:p>
      <w:pPr>
        <w:keepNext w:val="0"/>
        <w:keepLines w:val="0"/>
        <w:widowControl/>
        <w:suppressLineNumbers w:val="0"/>
        <w:jc w:val="left"/>
        <w:rPr>
          <w:rFonts w:hint="eastAsia" w:ascii="宋体" w:hAnsi="宋体" w:eastAsia="宋体" w:cs="宋体"/>
          <w:color w:val="auto"/>
          <w:kern w:val="0"/>
          <w:sz w:val="24"/>
          <w:szCs w:val="24"/>
          <w:lang w:val="en-US" w:eastAsia="zh-CN" w:bidi="ar"/>
        </w:rPr>
      </w:pPr>
      <w:r>
        <w:rPr>
          <w:rFonts w:hint="eastAsia"/>
          <w:color w:val="auto"/>
          <w:lang w:val="en-US" w:eastAsia="zh-CN"/>
        </w:rPr>
        <w:t>金沙江乌东德水电站水资源综合利用</w:t>
      </w:r>
      <w:r>
        <w:rPr>
          <w:rFonts w:hint="default"/>
          <w:color w:val="auto"/>
          <w:lang w:val="en-US" w:eastAsia="zh-CN"/>
        </w:rPr>
        <w:t>—</w:t>
      </w:r>
      <w:r>
        <w:rPr>
          <w:rFonts w:hint="eastAsia"/>
          <w:color w:val="auto"/>
          <w:lang w:val="en-US" w:eastAsia="zh-CN"/>
        </w:rPr>
        <w:t>元谋县姜驿乡提水工程在建的</w:t>
      </w:r>
      <w:r>
        <w:rPr>
          <w:rFonts w:hint="default"/>
          <w:color w:val="auto"/>
          <w:lang w:val="en-US" w:eastAsia="zh-CN"/>
        </w:rPr>
        <w:t>2040m³</w:t>
      </w:r>
      <w:r>
        <w:rPr>
          <w:rFonts w:hint="eastAsia"/>
          <w:color w:val="auto"/>
          <w:lang w:val="en-US" w:eastAsia="zh-CN"/>
        </w:rPr>
        <w:t>高位水池为本次水源，本工程在该高位水池旁新建</w:t>
      </w:r>
      <w:r>
        <w:rPr>
          <w:rFonts w:hint="default"/>
          <w:color w:val="auto"/>
          <w:lang w:val="en-US" w:eastAsia="zh-CN"/>
        </w:rPr>
        <w:t>3.9</w:t>
      </w:r>
      <w:r>
        <w:rPr>
          <w:rFonts w:hint="eastAsia"/>
          <w:color w:val="auto"/>
          <w:lang w:val="en-US" w:eastAsia="zh-CN"/>
        </w:rPr>
        <w:t>万</w:t>
      </w:r>
      <w:r>
        <w:rPr>
          <w:rFonts w:hint="default"/>
          <w:color w:val="auto"/>
          <w:lang w:val="en-US" w:eastAsia="zh-CN"/>
        </w:rPr>
        <w:t>m³</w:t>
      </w:r>
      <w:r>
        <w:rPr>
          <w:rFonts w:hint="eastAsia"/>
          <w:color w:val="auto"/>
          <w:lang w:val="en-US" w:eastAsia="zh-CN"/>
        </w:rPr>
        <w:t>管首高位调节水池位取水。</w:t>
      </w:r>
    </w:p>
    <w:p>
      <w:pPr>
        <w:keepNext w:val="0"/>
        <w:keepLines w:val="0"/>
        <w:widowControl/>
        <w:suppressLineNumbers w:val="0"/>
        <w:jc w:val="left"/>
        <w:rPr>
          <w:rFonts w:hint="default" w:ascii="宋体" w:hAnsi="宋体" w:eastAsia="宋体" w:cs="宋体"/>
          <w:color w:val="auto"/>
          <w:kern w:val="0"/>
          <w:sz w:val="24"/>
          <w:szCs w:val="24"/>
          <w:lang w:val="en-US" w:eastAsia="zh-CN" w:bidi="ar"/>
        </w:rPr>
      </w:pPr>
      <w:r>
        <w:rPr>
          <w:rFonts w:hint="eastAsia"/>
          <w:color w:val="auto"/>
          <w:lang w:val="en-US" w:eastAsia="zh-CN"/>
        </w:rPr>
        <w:t>金沙江乌东德水电站水资源综合利用</w:t>
      </w:r>
      <w:r>
        <w:rPr>
          <w:rFonts w:hint="default"/>
          <w:color w:val="auto"/>
          <w:lang w:val="en-US" w:eastAsia="zh-CN"/>
        </w:rPr>
        <w:t>—</w:t>
      </w:r>
      <w:r>
        <w:rPr>
          <w:rFonts w:hint="eastAsia"/>
          <w:color w:val="auto"/>
          <w:lang w:val="en-US" w:eastAsia="zh-CN"/>
        </w:rPr>
        <w:t>元谋县姜驿乡提水工程水源为</w:t>
      </w:r>
      <w:r>
        <w:rPr>
          <w:rFonts w:hint="eastAsia" w:ascii="宋体" w:hAnsi="宋体" w:eastAsia="宋体" w:cs="宋体"/>
          <w:color w:val="auto"/>
          <w:kern w:val="0"/>
          <w:sz w:val="24"/>
          <w:szCs w:val="24"/>
          <w:lang w:val="en-US" w:eastAsia="zh-CN" w:bidi="ar"/>
        </w:rPr>
        <w:t>乌东德水电站库区，根据</w:t>
      </w:r>
      <w:r>
        <w:rPr>
          <w:rFonts w:hint="eastAsia" w:ascii="宋体" w:hAnsi="宋体" w:cs="宋体"/>
          <w:color w:val="auto"/>
          <w:kern w:val="0"/>
          <w:sz w:val="24"/>
          <w:szCs w:val="24"/>
          <w:lang w:val="en-US" w:eastAsia="zh-CN" w:bidi="ar"/>
        </w:rPr>
        <w:t>引用</w:t>
      </w:r>
      <w:r>
        <w:rPr>
          <w:rFonts w:hint="eastAsia" w:ascii="宋体" w:hAnsi="宋体" w:eastAsia="宋体" w:cs="宋体"/>
          <w:color w:val="auto"/>
          <w:kern w:val="0"/>
          <w:sz w:val="24"/>
          <w:szCs w:val="24"/>
          <w:lang w:val="en-US" w:eastAsia="zh-CN" w:bidi="ar"/>
        </w:rPr>
        <w:t>姜驿乡抗旱应急供水工程饮用水取水点（阿咪拉取水点）水质监测结果，</w:t>
      </w:r>
      <w:r>
        <w:rPr>
          <w:rFonts w:hint="eastAsia" w:ascii="宋体" w:hAnsi="宋体" w:eastAsia="宋体" w:cs="宋体"/>
          <w:color w:val="auto"/>
          <w:kern w:val="0"/>
          <w:sz w:val="24"/>
          <w:szCs w:val="24"/>
          <w:highlight w:val="none"/>
          <w:shd w:val="clear"/>
          <w:lang w:val="en-US" w:eastAsia="zh-CN" w:bidi="ar"/>
        </w:rPr>
        <w:t>水质监测结果能够满足Ⅱ类水质标准及集中式生活饮用水地表水源地补充项目限值。本工程</w:t>
      </w:r>
      <w:r>
        <w:rPr>
          <w:rFonts w:hint="eastAsia" w:ascii="宋体" w:hAnsi="宋体" w:cs="宋体"/>
          <w:color w:val="auto"/>
          <w:kern w:val="0"/>
          <w:sz w:val="24"/>
          <w:szCs w:val="24"/>
          <w:highlight w:val="none"/>
          <w:shd w:val="clear"/>
          <w:lang w:val="en-US" w:eastAsia="zh-CN" w:bidi="ar"/>
        </w:rPr>
        <w:t>从</w:t>
      </w:r>
      <w:r>
        <w:rPr>
          <w:rFonts w:hint="eastAsia" w:ascii="宋体" w:hAnsi="宋体" w:cs="宋体"/>
          <w:color w:val="auto"/>
          <w:kern w:val="0"/>
          <w:sz w:val="24"/>
          <w:szCs w:val="24"/>
          <w:lang w:val="en-US" w:eastAsia="zh-CN" w:bidi="ar"/>
        </w:rPr>
        <w:t>高位水池取水，对水源水质无影响。</w:t>
      </w:r>
    </w:p>
    <w:p>
      <w:pPr>
        <w:keepNext w:val="0"/>
        <w:keepLines w:val="0"/>
        <w:widowControl/>
        <w:suppressLineNumbers w:val="0"/>
        <w:jc w:val="left"/>
        <w:rPr>
          <w:color w:val="auto"/>
          <w:highlight w:val="none"/>
        </w:rPr>
      </w:pPr>
      <w:r>
        <w:rPr>
          <w:rFonts w:hint="eastAsia" w:ascii="宋体" w:hAnsi="宋体" w:cs="宋体"/>
          <w:b/>
          <w:bCs/>
          <w:color w:val="auto"/>
          <w:kern w:val="0"/>
          <w:sz w:val="24"/>
          <w:szCs w:val="24"/>
          <w:highlight w:val="none"/>
          <w:lang w:val="en-US" w:eastAsia="zh-CN" w:bidi="ar"/>
        </w:rPr>
        <w:t>2、</w:t>
      </w:r>
      <w:r>
        <w:rPr>
          <w:rFonts w:hint="eastAsia" w:ascii="宋体" w:hAnsi="宋体" w:eastAsia="宋体" w:cs="宋体"/>
          <w:b/>
          <w:bCs/>
          <w:color w:val="auto"/>
          <w:kern w:val="0"/>
          <w:sz w:val="24"/>
          <w:szCs w:val="24"/>
          <w:highlight w:val="none"/>
          <w:lang w:val="en-US" w:eastAsia="zh-CN" w:bidi="ar"/>
        </w:rPr>
        <w:t>受水区水质影响预测</w:t>
      </w:r>
    </w:p>
    <w:p>
      <w:pPr>
        <w:pStyle w:val="51"/>
        <w:tabs>
          <w:tab w:val="left" w:pos="4404"/>
        </w:tabs>
        <w:spacing w:line="360" w:lineRule="auto"/>
        <w:ind w:firstLine="480"/>
        <w:rPr>
          <w:rFonts w:hint="default"/>
          <w:b/>
          <w:bCs/>
          <w:color w:val="0000FF"/>
          <w:sz w:val="24"/>
          <w:szCs w:val="24"/>
          <w:lang w:val="en-US" w:eastAsia="zh-CN"/>
        </w:rPr>
      </w:pPr>
      <w:r>
        <w:rPr>
          <w:rFonts w:hint="eastAsia"/>
          <w:b/>
          <w:bCs/>
          <w:color w:val="0000FF"/>
          <w:sz w:val="24"/>
          <w:szCs w:val="24"/>
          <w:lang w:val="en-US" w:eastAsia="zh-CN"/>
        </w:rPr>
        <w:t>（1）受水区水质现状</w:t>
      </w:r>
    </w:p>
    <w:p>
      <w:pPr>
        <w:pStyle w:val="51"/>
        <w:tabs>
          <w:tab w:val="left" w:pos="4404"/>
        </w:tabs>
        <w:spacing w:line="360" w:lineRule="auto"/>
        <w:ind w:firstLine="480"/>
        <w:rPr>
          <w:rFonts w:hint="default"/>
          <w:b w:val="0"/>
          <w:bCs w:val="0"/>
          <w:color w:val="0000FF"/>
          <w:sz w:val="24"/>
          <w:szCs w:val="24"/>
          <w:lang w:val="en-US" w:eastAsia="zh-CN"/>
        </w:rPr>
      </w:pPr>
      <w:r>
        <w:rPr>
          <w:rFonts w:hint="eastAsia"/>
          <w:b w:val="0"/>
          <w:bCs w:val="0"/>
          <w:color w:val="0000FF"/>
          <w:sz w:val="24"/>
          <w:szCs w:val="24"/>
          <w:lang w:val="en-US" w:eastAsia="zh-CN"/>
        </w:rPr>
        <w:t>项目受水区水库为界牌箐水库、水平石头水库、姜中水库、李官坟水库，云南浩辰环保科技有限公司于2024年4月11日-2024年4月13日对受水区水库水质进行了检测。</w:t>
      </w:r>
    </w:p>
    <w:p>
      <w:pPr>
        <w:ind w:firstLine="480" w:firstLineChars="200"/>
        <w:rPr>
          <w:rFonts w:hint="default" w:eastAsia="宋体"/>
          <w:color w:val="0000FF"/>
          <w:highlight w:val="none"/>
          <w:lang w:val="en-US" w:eastAsia="zh-CN"/>
        </w:rPr>
      </w:pPr>
      <w:r>
        <w:rPr>
          <w:rFonts w:hint="eastAsia"/>
          <w:color w:val="0000FF"/>
          <w:lang w:val="en-US" w:eastAsia="zh-CN"/>
        </w:rPr>
        <w:t>水平石水库、姜中水库、李官坟水库、界牌箐水库均可满足及《农田灌溉水质标准》（GB5084-2021）；除界牌箐水库（高锰酸盐指数、化学需氧量、五日生化需氧量、氨氮、总磷</w:t>
      </w:r>
      <w:r>
        <w:rPr>
          <w:rFonts w:hint="eastAsia"/>
          <w:color w:val="0000FF"/>
          <w:highlight w:val="none"/>
          <w:lang w:val="en-US" w:eastAsia="zh-CN"/>
        </w:rPr>
        <w:t>、总氮）</w:t>
      </w:r>
      <w:r>
        <w:rPr>
          <w:rFonts w:hint="eastAsia" w:cs="Times New Roman"/>
          <w:color w:val="0000FF"/>
          <w:szCs w:val="23"/>
          <w:highlight w:val="none"/>
          <w:lang w:val="en-US" w:eastAsia="zh-CN"/>
        </w:rPr>
        <w:t>外，其余</w:t>
      </w:r>
      <w:r>
        <w:rPr>
          <w:rFonts w:hint="eastAsia"/>
          <w:color w:val="0000FF"/>
          <w:highlight w:val="none"/>
          <w:lang w:val="en-US" w:eastAsia="zh-CN"/>
        </w:rPr>
        <w:t>水质</w:t>
      </w:r>
      <w:r>
        <w:rPr>
          <w:rFonts w:hint="eastAsia" w:cs="Times New Roman"/>
          <w:color w:val="0000FF"/>
          <w:szCs w:val="23"/>
          <w:highlight w:val="none"/>
          <w:lang w:val="en-US" w:eastAsia="zh-CN"/>
        </w:rPr>
        <w:t>指标</w:t>
      </w:r>
      <w:r>
        <w:rPr>
          <w:rFonts w:hint="eastAsia"/>
          <w:color w:val="0000FF"/>
          <w:highlight w:val="none"/>
          <w:lang w:val="en-US" w:eastAsia="zh-CN"/>
        </w:rPr>
        <w:t>均可以满足</w:t>
      </w:r>
      <w:r>
        <w:rPr>
          <w:rFonts w:hint="default" w:ascii="Times New Roman" w:hAnsi="Times New Roman" w:cs="Times New Roman"/>
          <w:color w:val="0000FF"/>
          <w:szCs w:val="23"/>
          <w:highlight w:val="none"/>
        </w:rPr>
        <w:t>《地表水环境质量标准》（GB3838-2002）</w:t>
      </w:r>
      <w:r>
        <w:rPr>
          <w:rFonts w:hint="eastAsia" w:ascii="Times New Roman" w:hAnsi="Times New Roman" w:cs="Times New Roman"/>
          <w:color w:val="0000FF"/>
          <w:szCs w:val="23"/>
          <w:highlight w:val="none"/>
          <w:lang w:val="en-US" w:eastAsia="zh-CN"/>
        </w:rPr>
        <w:t>Ⅲ类水质标准</w:t>
      </w:r>
      <w:r>
        <w:rPr>
          <w:rFonts w:hint="eastAsia" w:cs="Times New Roman"/>
          <w:color w:val="0000FF"/>
          <w:szCs w:val="23"/>
          <w:highlight w:val="none"/>
          <w:lang w:val="en-US" w:eastAsia="zh-CN"/>
        </w:rPr>
        <w:t xml:space="preserve">；界牌箐水库高锰酸盐指数、化学需氧量、五日生化需氧量、氨氮、总磷、总氮超标指数分别为：0.63、1.02、1.53、1.4、0.2、4.82。超标原因可能是农村、农业面源污染造成的。 </w:t>
      </w:r>
    </w:p>
    <w:p>
      <w:pPr>
        <w:pStyle w:val="51"/>
        <w:tabs>
          <w:tab w:val="left" w:pos="4404"/>
        </w:tabs>
        <w:spacing w:line="360" w:lineRule="auto"/>
        <w:ind w:firstLine="480"/>
        <w:rPr>
          <w:rFonts w:hint="default" w:ascii="Times New Roman" w:hAnsi="Times New Roman" w:cs="Times New Roman"/>
          <w:b/>
          <w:bCs/>
          <w:color w:val="0000FF"/>
          <w:sz w:val="24"/>
          <w:szCs w:val="24"/>
          <w:lang w:val="en-US" w:eastAsia="zh-CN"/>
        </w:rPr>
      </w:pPr>
      <w:r>
        <w:rPr>
          <w:rFonts w:hint="default" w:ascii="Times New Roman" w:hAnsi="Times New Roman" w:cs="Times New Roman"/>
          <w:b/>
          <w:bCs/>
          <w:color w:val="0000FF"/>
          <w:sz w:val="24"/>
          <w:szCs w:val="24"/>
          <w:lang w:val="en-US" w:eastAsia="zh-CN"/>
        </w:rPr>
        <w:t>（2）受水区水库水质预测</w:t>
      </w:r>
    </w:p>
    <w:p>
      <w:pPr>
        <w:pStyle w:val="51"/>
        <w:tabs>
          <w:tab w:val="left" w:pos="4404"/>
        </w:tabs>
        <w:spacing w:line="360" w:lineRule="auto"/>
        <w:ind w:firstLine="480"/>
        <w:rPr>
          <w:rFonts w:hint="default" w:ascii="Times New Roman" w:hAnsi="Times New Roman" w:cs="Times New Roman"/>
          <w:color w:val="0000FF"/>
          <w:kern w:val="0"/>
          <w:sz w:val="24"/>
          <w:szCs w:val="24"/>
        </w:rPr>
      </w:pPr>
      <w:r>
        <w:rPr>
          <w:rFonts w:hint="default" w:ascii="Times New Roman" w:hAnsi="Times New Roman" w:cs="Times New Roman"/>
          <w:color w:val="0000FF"/>
          <w:sz w:val="24"/>
          <w:szCs w:val="24"/>
          <w:lang w:val="en-US" w:eastAsia="zh-CN"/>
        </w:rPr>
        <w:t>受水区水库主要包括界牌箐水库</w:t>
      </w:r>
      <w:r>
        <w:rPr>
          <w:rFonts w:hint="eastAsia" w:ascii="Times New Roman" w:hAnsi="Times New Roman" w:cs="Times New Roman"/>
          <w:color w:val="0000FF"/>
          <w:sz w:val="24"/>
          <w:szCs w:val="24"/>
          <w:lang w:val="en-US" w:eastAsia="zh-CN"/>
        </w:rPr>
        <w:t>、</w:t>
      </w:r>
      <w:r>
        <w:rPr>
          <w:rFonts w:hint="default" w:ascii="Times New Roman" w:hAnsi="Times New Roman" w:cs="Times New Roman"/>
          <w:color w:val="0000FF"/>
          <w:sz w:val="24"/>
          <w:szCs w:val="24"/>
          <w:lang w:val="en-US" w:eastAsia="zh-CN"/>
        </w:rPr>
        <w:t>水平石水库</w:t>
      </w:r>
      <w:r>
        <w:rPr>
          <w:rFonts w:hint="eastAsia" w:ascii="Times New Roman" w:hAnsi="Times New Roman" w:cs="Times New Roman"/>
          <w:color w:val="0000FF"/>
          <w:sz w:val="24"/>
          <w:szCs w:val="24"/>
          <w:lang w:val="en-US" w:eastAsia="zh-CN"/>
        </w:rPr>
        <w:t>、李官坟水库及姜中水库</w:t>
      </w:r>
      <w:r>
        <w:rPr>
          <w:rFonts w:hint="default" w:ascii="Times New Roman" w:hAnsi="Times New Roman" w:cs="Times New Roman"/>
          <w:color w:val="0000FF"/>
          <w:sz w:val="24"/>
          <w:szCs w:val="24"/>
          <w:lang w:val="en-US" w:eastAsia="zh-CN"/>
        </w:rPr>
        <w:t>。</w:t>
      </w:r>
      <w:r>
        <w:rPr>
          <w:rFonts w:hint="default" w:ascii="Times New Roman" w:hAnsi="Times New Roman" w:cs="Times New Roman"/>
          <w:color w:val="0000FF"/>
          <w:sz w:val="24"/>
          <w:szCs w:val="24"/>
        </w:rPr>
        <w:t>污染物混合</w:t>
      </w:r>
      <w:r>
        <w:rPr>
          <w:rFonts w:hint="default" w:ascii="Times New Roman" w:hAnsi="Times New Roman" w:cs="Times New Roman"/>
          <w:color w:val="0000FF"/>
          <w:sz w:val="24"/>
          <w:szCs w:val="24"/>
          <w:lang w:eastAsia="zh-CN"/>
        </w:rPr>
        <w:t>后浓度</w:t>
      </w:r>
      <w:r>
        <w:rPr>
          <w:rFonts w:hint="default" w:ascii="Times New Roman" w:hAnsi="Times New Roman" w:cs="Times New Roman"/>
          <w:color w:val="0000FF"/>
          <w:sz w:val="24"/>
          <w:szCs w:val="24"/>
        </w:rPr>
        <w:t>根据《环境影响评价技术导则•地表水</w:t>
      </w:r>
      <w:r>
        <w:rPr>
          <w:rFonts w:hint="default" w:ascii="Times New Roman" w:hAnsi="Times New Roman" w:cs="Times New Roman"/>
          <w:color w:val="0000FF"/>
          <w:sz w:val="24"/>
          <w:szCs w:val="24"/>
          <w:lang w:eastAsia="zh-CN"/>
        </w:rPr>
        <w:t>环境</w:t>
      </w:r>
      <w:r>
        <w:rPr>
          <w:rFonts w:hint="default" w:ascii="Times New Roman" w:hAnsi="Times New Roman" w:cs="Times New Roman"/>
          <w:color w:val="0000FF"/>
          <w:sz w:val="24"/>
          <w:szCs w:val="24"/>
        </w:rPr>
        <w:t>》（HJ/T2.3-</w:t>
      </w:r>
      <w:r>
        <w:rPr>
          <w:rFonts w:hint="default" w:ascii="Times New Roman" w:hAnsi="Times New Roman" w:cs="Times New Roman"/>
          <w:color w:val="0000FF"/>
          <w:sz w:val="24"/>
          <w:szCs w:val="24"/>
          <w:lang w:val="en-US" w:eastAsia="zh-CN"/>
        </w:rPr>
        <w:t>2018</w:t>
      </w:r>
      <w:r>
        <w:rPr>
          <w:rFonts w:hint="default" w:ascii="Times New Roman" w:hAnsi="Times New Roman" w:cs="Times New Roman"/>
          <w:color w:val="0000FF"/>
          <w:sz w:val="24"/>
          <w:szCs w:val="24"/>
        </w:rPr>
        <w:t>）中推荐的预测公式计算，公式如下</w:t>
      </w:r>
      <w:r>
        <w:rPr>
          <w:rFonts w:hint="default" w:ascii="Times New Roman" w:hAnsi="Times New Roman" w:cs="Times New Roman"/>
          <w:color w:val="0000FF"/>
          <w:sz w:val="24"/>
          <w:szCs w:val="24"/>
          <w:highlight w:val="none"/>
        </w:rPr>
        <w:t>：</w:t>
      </w:r>
    </w:p>
    <w:p>
      <w:pPr>
        <w:pStyle w:val="114"/>
        <w:ind w:left="0" w:leftChars="0" w:firstLine="0" w:firstLineChars="0"/>
        <w:jc w:val="center"/>
        <w:rPr>
          <w:rFonts w:hint="default" w:ascii="Times New Roman" w:hAnsi="Times New Roman" w:cs="Times New Roman"/>
          <w:color w:val="0000FF"/>
          <w:sz w:val="24"/>
          <w:szCs w:val="24"/>
          <w:highlight w:val="none"/>
        </w:rPr>
      </w:pPr>
      <w:r>
        <w:rPr>
          <w:rFonts w:hint="default" w:ascii="Times New Roman" w:hAnsi="Times New Roman" w:cs="Times New Roman"/>
          <w:color w:val="0000FF"/>
          <w:position w:val="-14"/>
          <w:sz w:val="24"/>
          <w:szCs w:val="24"/>
          <w:highlight w:val="none"/>
        </w:rPr>
        <w:object>
          <v:shape id="_x0000_i1029" o:spt="75" type="#_x0000_t75" style="height:24.25pt;width:196.5pt;" o:ole="t" filled="f" o:preferrelative="t" stroked="f" coordsize="21600,21600">
            <v:path/>
            <v:fill on="f" focussize="0,0"/>
            <v:stroke on="f"/>
            <v:imagedata r:id="rId86" o:title=""/>
            <o:lock v:ext="edit" aspectratio="t"/>
            <w10:wrap type="none"/>
            <w10:anchorlock/>
          </v:shape>
          <o:OLEObject Type="Embed" ProgID="Equation.KSEE3" ShapeID="_x0000_i1029" DrawAspect="Content" ObjectID="_1468075729" r:id="rId85">
            <o:LockedField>false</o:LockedField>
          </o:OLEObject>
        </w:object>
      </w:r>
    </w:p>
    <w:p>
      <w:pPr>
        <w:ind w:firstLine="472"/>
        <w:rPr>
          <w:rFonts w:hint="default" w:ascii="Times New Roman" w:hAnsi="Times New Roman" w:cs="Times New Roman"/>
          <w:color w:val="0000FF"/>
          <w:sz w:val="24"/>
          <w:szCs w:val="24"/>
          <w:highlight w:val="none"/>
        </w:rPr>
      </w:pPr>
      <w:r>
        <w:rPr>
          <w:rFonts w:hint="default" w:ascii="Times New Roman" w:hAnsi="Times New Roman" w:cs="Times New Roman"/>
          <w:color w:val="0000FF"/>
          <w:sz w:val="24"/>
          <w:szCs w:val="24"/>
          <w:highlight w:val="none"/>
        </w:rPr>
        <w:t>式中：C</w:t>
      </w:r>
      <w:r>
        <w:rPr>
          <w:rFonts w:hint="default" w:ascii="Times New Roman" w:hAnsi="Times New Roman" w:cs="Times New Roman"/>
          <w:color w:val="0000FF"/>
          <w:sz w:val="24"/>
          <w:szCs w:val="24"/>
          <w:highlight w:val="none"/>
          <w:vertAlign w:val="subscript"/>
        </w:rPr>
        <w:t>h</w:t>
      </w:r>
      <w:r>
        <w:rPr>
          <w:rFonts w:hint="default" w:ascii="Times New Roman" w:hAnsi="Times New Roman" w:cs="Times New Roman"/>
          <w:color w:val="0000FF"/>
          <w:sz w:val="24"/>
          <w:szCs w:val="24"/>
          <w:highlight w:val="none"/>
        </w:rPr>
        <w:t>——</w:t>
      </w:r>
      <w:r>
        <w:rPr>
          <w:rFonts w:hint="default" w:ascii="Times New Roman" w:hAnsi="Times New Roman" w:cs="Times New Roman"/>
          <w:color w:val="0000FF"/>
          <w:sz w:val="24"/>
          <w:szCs w:val="24"/>
          <w:highlight w:val="none"/>
          <w:lang w:eastAsia="zh-CN"/>
        </w:rPr>
        <w:t>初始断面的污染物浓度</w:t>
      </w:r>
      <w:r>
        <w:rPr>
          <w:rFonts w:hint="default" w:ascii="Times New Roman" w:hAnsi="Times New Roman" w:cs="Times New Roman"/>
          <w:color w:val="0000FF"/>
          <w:sz w:val="24"/>
          <w:szCs w:val="24"/>
          <w:highlight w:val="none"/>
        </w:rPr>
        <w:t>（mg/L）；</w:t>
      </w:r>
    </w:p>
    <w:p>
      <w:pPr>
        <w:ind w:firstLine="472"/>
        <w:rPr>
          <w:rFonts w:hint="default" w:ascii="Times New Roman" w:hAnsi="Times New Roman" w:cs="Times New Roman"/>
          <w:color w:val="0000FF"/>
          <w:sz w:val="24"/>
          <w:szCs w:val="24"/>
          <w:highlight w:val="none"/>
        </w:rPr>
      </w:pPr>
      <w:r>
        <w:rPr>
          <w:rFonts w:hint="default" w:ascii="Times New Roman" w:hAnsi="Times New Roman" w:cs="Times New Roman"/>
          <w:color w:val="0000FF"/>
          <w:sz w:val="24"/>
          <w:szCs w:val="24"/>
          <w:highlight w:val="none"/>
        </w:rPr>
        <w:t>C</w:t>
      </w:r>
      <w:r>
        <w:rPr>
          <w:rFonts w:hint="default" w:ascii="Times New Roman" w:hAnsi="Times New Roman" w:cs="Times New Roman"/>
          <w:color w:val="0000FF"/>
          <w:sz w:val="24"/>
          <w:szCs w:val="24"/>
          <w:highlight w:val="none"/>
          <w:vertAlign w:val="subscript"/>
        </w:rPr>
        <w:t>p</w:t>
      </w:r>
      <w:r>
        <w:rPr>
          <w:rFonts w:hint="default" w:ascii="Times New Roman" w:hAnsi="Times New Roman" w:cs="Times New Roman"/>
          <w:color w:val="0000FF"/>
          <w:sz w:val="24"/>
          <w:szCs w:val="24"/>
          <w:highlight w:val="none"/>
        </w:rPr>
        <w:t>——</w:t>
      </w:r>
      <w:r>
        <w:rPr>
          <w:rFonts w:hint="default" w:ascii="Times New Roman" w:hAnsi="Times New Roman" w:cs="Times New Roman"/>
          <w:color w:val="0000FF"/>
          <w:sz w:val="24"/>
          <w:szCs w:val="24"/>
          <w:highlight w:val="none"/>
          <w:lang w:eastAsia="zh-CN"/>
        </w:rPr>
        <w:t>排放的废污水污染物</w:t>
      </w:r>
      <w:r>
        <w:rPr>
          <w:rFonts w:hint="default" w:ascii="Times New Roman" w:hAnsi="Times New Roman" w:cs="Times New Roman"/>
          <w:color w:val="0000FF"/>
          <w:sz w:val="24"/>
          <w:szCs w:val="24"/>
          <w:highlight w:val="none"/>
        </w:rPr>
        <w:t>浓度（mg/L）；</w:t>
      </w:r>
    </w:p>
    <w:p>
      <w:pPr>
        <w:ind w:firstLine="472"/>
        <w:rPr>
          <w:rFonts w:hint="default" w:ascii="Times New Roman" w:hAnsi="Times New Roman" w:cs="Times New Roman"/>
          <w:color w:val="0000FF"/>
          <w:sz w:val="24"/>
          <w:szCs w:val="24"/>
          <w:highlight w:val="none"/>
        </w:rPr>
      </w:pPr>
      <w:r>
        <w:rPr>
          <w:rFonts w:hint="default" w:ascii="Times New Roman" w:hAnsi="Times New Roman" w:cs="Times New Roman"/>
          <w:color w:val="0000FF"/>
          <w:sz w:val="24"/>
          <w:szCs w:val="24"/>
          <w:highlight w:val="none"/>
        </w:rPr>
        <w:t>Q</w:t>
      </w:r>
      <w:r>
        <w:rPr>
          <w:rFonts w:hint="default" w:ascii="Times New Roman" w:hAnsi="Times New Roman" w:cs="Times New Roman"/>
          <w:color w:val="0000FF"/>
          <w:sz w:val="24"/>
          <w:szCs w:val="24"/>
          <w:highlight w:val="none"/>
          <w:vertAlign w:val="subscript"/>
        </w:rPr>
        <w:t>h</w:t>
      </w:r>
      <w:r>
        <w:rPr>
          <w:rFonts w:hint="default" w:ascii="Times New Roman" w:hAnsi="Times New Roman" w:cs="Times New Roman"/>
          <w:color w:val="0000FF"/>
          <w:sz w:val="24"/>
          <w:szCs w:val="24"/>
          <w:highlight w:val="none"/>
        </w:rPr>
        <w:t>——</w:t>
      </w:r>
      <w:r>
        <w:rPr>
          <w:rFonts w:hint="default" w:ascii="Times New Roman" w:hAnsi="Times New Roman" w:cs="Times New Roman"/>
          <w:color w:val="0000FF"/>
          <w:sz w:val="24"/>
          <w:szCs w:val="24"/>
          <w:highlight w:val="none"/>
          <w:lang w:eastAsia="zh-CN"/>
        </w:rPr>
        <w:t>初始断面的</w:t>
      </w:r>
      <w:r>
        <w:rPr>
          <w:rFonts w:hint="default" w:ascii="Times New Roman" w:hAnsi="Times New Roman" w:cs="Times New Roman"/>
          <w:color w:val="0000FF"/>
          <w:sz w:val="24"/>
          <w:szCs w:val="24"/>
          <w:highlight w:val="none"/>
        </w:rPr>
        <w:t>河流流量（m</w:t>
      </w:r>
      <w:r>
        <w:rPr>
          <w:rFonts w:hint="default" w:ascii="Times New Roman" w:hAnsi="Times New Roman" w:cs="Times New Roman"/>
          <w:color w:val="0000FF"/>
          <w:sz w:val="24"/>
          <w:szCs w:val="24"/>
          <w:highlight w:val="none"/>
          <w:vertAlign w:val="superscript"/>
        </w:rPr>
        <w:t>3</w:t>
      </w:r>
      <w:r>
        <w:rPr>
          <w:rFonts w:hint="default" w:ascii="Times New Roman" w:hAnsi="Times New Roman" w:cs="Times New Roman"/>
          <w:color w:val="0000FF"/>
          <w:sz w:val="24"/>
          <w:szCs w:val="24"/>
          <w:highlight w:val="none"/>
        </w:rPr>
        <w:t>/s）；</w:t>
      </w:r>
    </w:p>
    <w:p>
      <w:pPr>
        <w:keepNext w:val="0"/>
        <w:keepLines w:val="0"/>
        <w:widowControl/>
        <w:suppressLineNumbers w:val="0"/>
        <w:jc w:val="left"/>
        <w:rPr>
          <w:rFonts w:hint="default" w:ascii="Times New Roman" w:hAnsi="Times New Roman" w:cs="Times New Roman"/>
          <w:color w:val="0000FF"/>
          <w:sz w:val="24"/>
          <w:szCs w:val="24"/>
        </w:rPr>
      </w:pPr>
      <w:r>
        <w:rPr>
          <w:rFonts w:hint="default" w:ascii="Times New Roman" w:hAnsi="Times New Roman" w:cs="Times New Roman"/>
          <w:color w:val="0000FF"/>
          <w:sz w:val="24"/>
          <w:szCs w:val="24"/>
          <w:highlight w:val="none"/>
        </w:rPr>
        <w:t>Q</w:t>
      </w:r>
      <w:r>
        <w:rPr>
          <w:rFonts w:hint="default" w:ascii="Times New Roman" w:hAnsi="Times New Roman" w:cs="Times New Roman"/>
          <w:color w:val="0000FF"/>
          <w:sz w:val="24"/>
          <w:szCs w:val="24"/>
          <w:highlight w:val="none"/>
          <w:vertAlign w:val="subscript"/>
        </w:rPr>
        <w:t>p</w:t>
      </w:r>
      <w:r>
        <w:rPr>
          <w:rFonts w:hint="default" w:ascii="Times New Roman" w:hAnsi="Times New Roman" w:cs="Times New Roman"/>
          <w:color w:val="0000FF"/>
          <w:sz w:val="24"/>
          <w:szCs w:val="24"/>
          <w:highlight w:val="none"/>
        </w:rPr>
        <w:t>——</w:t>
      </w:r>
      <w:r>
        <w:rPr>
          <w:rFonts w:hint="default" w:ascii="Times New Roman" w:hAnsi="Times New Roman" w:cs="Times New Roman"/>
          <w:color w:val="0000FF"/>
          <w:sz w:val="24"/>
          <w:szCs w:val="24"/>
          <w:highlight w:val="none"/>
          <w:lang w:eastAsia="zh-CN"/>
        </w:rPr>
        <w:t>废污水</w:t>
      </w:r>
      <w:r>
        <w:rPr>
          <w:rFonts w:hint="default" w:ascii="Times New Roman" w:hAnsi="Times New Roman" w:cs="Times New Roman"/>
          <w:color w:val="0000FF"/>
          <w:sz w:val="24"/>
          <w:szCs w:val="24"/>
          <w:highlight w:val="none"/>
        </w:rPr>
        <w:t>排放量（m</w:t>
      </w:r>
      <w:r>
        <w:rPr>
          <w:rFonts w:hint="default" w:ascii="Times New Roman" w:hAnsi="Times New Roman" w:cs="Times New Roman"/>
          <w:color w:val="0000FF"/>
          <w:sz w:val="24"/>
          <w:szCs w:val="24"/>
          <w:highlight w:val="none"/>
          <w:vertAlign w:val="superscript"/>
        </w:rPr>
        <w:t>3</w:t>
      </w:r>
      <w:r>
        <w:rPr>
          <w:rFonts w:hint="default" w:ascii="Times New Roman" w:hAnsi="Times New Roman" w:cs="Times New Roman"/>
          <w:color w:val="0000FF"/>
          <w:sz w:val="24"/>
          <w:szCs w:val="24"/>
          <w:highlight w:val="none"/>
        </w:rPr>
        <w:t>/s）。</w:t>
      </w:r>
    </w:p>
    <w:p>
      <w:pPr>
        <w:keepNext w:val="0"/>
        <w:keepLines w:val="0"/>
        <w:widowControl/>
        <w:suppressLineNumbers w:val="0"/>
        <w:jc w:val="left"/>
        <w:rPr>
          <w:rFonts w:hint="eastAsia" w:ascii="Times New Roman" w:hAnsi="Times New Roman" w:eastAsia="宋体" w:cs="Times New Roman"/>
          <w:color w:val="0000FF"/>
          <w:kern w:val="0"/>
          <w:sz w:val="24"/>
          <w:szCs w:val="24"/>
          <w:lang w:val="en-US" w:eastAsia="zh-CN" w:bidi="ar"/>
        </w:rPr>
      </w:pPr>
      <w:r>
        <w:rPr>
          <w:rFonts w:hint="default" w:ascii="Times New Roman" w:hAnsi="Times New Roman" w:eastAsia="瀹嬩綋" w:cs="Times New Roman"/>
          <w:color w:val="0000FF"/>
          <w:kern w:val="0"/>
          <w:sz w:val="24"/>
          <w:szCs w:val="24"/>
          <w:lang w:val="en-US" w:eastAsia="zh-CN" w:bidi="ar"/>
        </w:rPr>
        <w:t>根据水源2022年4月12日、2022年11月7日两次</w:t>
      </w:r>
      <w:r>
        <w:rPr>
          <w:rFonts w:hint="eastAsia" w:ascii="Times New Roman" w:hAnsi="Times New Roman" w:eastAsia="瀹嬩綋" w:cs="Times New Roman"/>
          <w:color w:val="0000FF"/>
          <w:kern w:val="0"/>
          <w:sz w:val="24"/>
          <w:szCs w:val="24"/>
          <w:lang w:val="en-US" w:eastAsia="zh-CN" w:bidi="ar"/>
        </w:rPr>
        <w:t>不同时期</w:t>
      </w:r>
      <w:r>
        <w:rPr>
          <w:rFonts w:hint="default" w:ascii="Times New Roman" w:hAnsi="Times New Roman" w:eastAsia="瀹嬩綋" w:cs="Times New Roman"/>
          <w:color w:val="0000FF"/>
          <w:kern w:val="0"/>
          <w:sz w:val="24"/>
          <w:szCs w:val="24"/>
          <w:lang w:val="en-US" w:eastAsia="zh-CN" w:bidi="ar"/>
        </w:rPr>
        <w:t>水质现状监测报告</w:t>
      </w:r>
      <w:r>
        <w:rPr>
          <w:rFonts w:hint="eastAsia" w:eastAsia="瀹嬩綋" w:cs="Times New Roman"/>
          <w:color w:val="0000FF"/>
          <w:kern w:val="0"/>
          <w:sz w:val="24"/>
          <w:szCs w:val="24"/>
          <w:lang w:val="en-US" w:eastAsia="zh-CN" w:bidi="ar"/>
        </w:rPr>
        <w:t>以及受水区最不利情况下（枯水期）的水质监测</w:t>
      </w:r>
      <w:r>
        <w:rPr>
          <w:rFonts w:hint="default" w:ascii="Times New Roman" w:hAnsi="Times New Roman" w:eastAsia="瀹嬩綋" w:cs="Times New Roman"/>
          <w:color w:val="0000FF"/>
          <w:kern w:val="0"/>
          <w:sz w:val="24"/>
          <w:szCs w:val="24"/>
          <w:lang w:val="en-US" w:eastAsia="zh-CN" w:bidi="ar"/>
        </w:rPr>
        <w:t>来进行水库水质预测。</w:t>
      </w:r>
      <w:r>
        <w:rPr>
          <w:rFonts w:hint="default" w:ascii="Times New Roman" w:hAnsi="Times New Roman" w:eastAsia="宋体" w:cs="Times New Roman"/>
          <w:color w:val="0000FF"/>
          <w:kern w:val="0"/>
          <w:sz w:val="24"/>
          <w:szCs w:val="24"/>
          <w:lang w:val="en-US" w:eastAsia="zh-CN" w:bidi="ar"/>
        </w:rPr>
        <w:t>2022年4月12日</w:t>
      </w:r>
      <w:r>
        <w:rPr>
          <w:rFonts w:hint="eastAsia" w:ascii="Times New Roman" w:hAnsi="Times New Roman" w:eastAsia="宋体" w:cs="Times New Roman"/>
          <w:color w:val="0000FF"/>
          <w:kern w:val="0"/>
          <w:sz w:val="24"/>
          <w:szCs w:val="24"/>
          <w:lang w:val="en-US" w:eastAsia="zh-CN" w:bidi="ar"/>
        </w:rPr>
        <w:t>（枯水期</w:t>
      </w:r>
      <w:r>
        <w:rPr>
          <w:rFonts w:hint="eastAsia" w:ascii="Times New Roman" w:hAnsi="Times New Roman" w:eastAsia="瀹嬩綋" w:cs="Times New Roman"/>
          <w:color w:val="0000FF"/>
          <w:kern w:val="0"/>
          <w:sz w:val="24"/>
          <w:szCs w:val="24"/>
          <w:lang w:val="en-US" w:eastAsia="zh-CN" w:bidi="ar"/>
        </w:rPr>
        <w:t>）</w:t>
      </w:r>
      <w:r>
        <w:rPr>
          <w:rFonts w:hint="default" w:ascii="Times New Roman" w:hAnsi="Times New Roman" w:eastAsia="瀹嬩綋" w:cs="Times New Roman"/>
          <w:color w:val="0000FF"/>
          <w:kern w:val="0"/>
          <w:sz w:val="24"/>
          <w:szCs w:val="24"/>
          <w:lang w:val="en-US" w:eastAsia="zh-CN" w:bidi="ar"/>
        </w:rPr>
        <w:t>水源现状COD、氨氮、总磷和总氮浓度分别为1.8mg/L、0.56mg/L、0.01mg/L和0.8mg/L</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2022年11月7日</w:t>
      </w:r>
      <w:r>
        <w:rPr>
          <w:rFonts w:hint="eastAsia" w:ascii="Times New Roman" w:hAnsi="Times New Roman" w:eastAsia="宋体" w:cs="Times New Roman"/>
          <w:color w:val="0000FF"/>
          <w:kern w:val="0"/>
          <w:sz w:val="24"/>
          <w:szCs w:val="24"/>
          <w:lang w:val="en-US" w:eastAsia="zh-CN" w:bidi="ar"/>
        </w:rPr>
        <w:t>（丰水期）</w:t>
      </w:r>
      <w:r>
        <w:rPr>
          <w:rFonts w:hint="eastAsia" w:ascii="Times New Roman" w:hAnsi="Times New Roman" w:eastAsia="瀹嬩綋" w:cs="Times New Roman"/>
          <w:color w:val="0000FF"/>
          <w:kern w:val="0"/>
          <w:sz w:val="24"/>
          <w:szCs w:val="24"/>
          <w:lang w:val="en-US" w:eastAsia="zh-CN" w:bidi="ar"/>
        </w:rPr>
        <w:t>未对总氮进行检测，</w:t>
      </w:r>
      <w:r>
        <w:rPr>
          <w:rFonts w:hint="default" w:ascii="Times New Roman" w:hAnsi="Times New Roman" w:eastAsia="宋体" w:cs="Times New Roman"/>
          <w:color w:val="0000FF"/>
          <w:kern w:val="0"/>
          <w:sz w:val="24"/>
          <w:szCs w:val="24"/>
          <w:lang w:val="en-US" w:eastAsia="zh-CN" w:bidi="ar"/>
        </w:rPr>
        <w:t>COD</w:t>
      </w:r>
      <w:r>
        <w:rPr>
          <w:rFonts w:hint="default" w:ascii="Times New Roman" w:hAnsi="Times New Roman" w:eastAsia="瀹嬩綋" w:cs="Times New Roman"/>
          <w:color w:val="0000FF"/>
          <w:kern w:val="0"/>
          <w:sz w:val="24"/>
          <w:szCs w:val="24"/>
          <w:lang w:val="en-US" w:eastAsia="zh-CN" w:bidi="ar"/>
        </w:rPr>
        <w:t>、氨氮、总磷浓度分别为</w:t>
      </w:r>
      <w:r>
        <w:rPr>
          <w:rFonts w:hint="eastAsia" w:ascii="Times New Roman" w:hAnsi="Times New Roman" w:eastAsia="宋体" w:cs="Times New Roman"/>
          <w:color w:val="0000FF"/>
          <w:kern w:val="0"/>
          <w:sz w:val="24"/>
          <w:szCs w:val="24"/>
          <w:lang w:val="en-US" w:eastAsia="zh-CN" w:bidi="ar"/>
        </w:rPr>
        <w:t>1.1</w:t>
      </w:r>
      <w:r>
        <w:rPr>
          <w:rFonts w:hint="default" w:ascii="Times New Roman" w:hAnsi="Times New Roman" w:eastAsia="宋体" w:cs="Times New Roman"/>
          <w:color w:val="0000FF"/>
          <w:kern w:val="0"/>
          <w:sz w:val="24"/>
          <w:szCs w:val="24"/>
          <w:lang w:val="en-US" w:eastAsia="zh-CN" w:bidi="ar"/>
        </w:rPr>
        <w:t>mg/L</w:t>
      </w:r>
      <w:r>
        <w:rPr>
          <w:rFonts w:hint="default" w:ascii="Times New Roman" w:hAnsi="Times New Roman" w:eastAsia="瀹嬩綋" w:cs="Times New Roman"/>
          <w:color w:val="0000FF"/>
          <w:kern w:val="0"/>
          <w:sz w:val="24"/>
          <w:szCs w:val="24"/>
          <w:lang w:val="en-US" w:eastAsia="zh-CN" w:bidi="ar"/>
        </w:rPr>
        <w:t>、</w:t>
      </w:r>
      <w:r>
        <w:rPr>
          <w:rFonts w:hint="eastAsia" w:ascii="Times New Roman" w:hAnsi="Times New Roman" w:eastAsia="宋体" w:cs="Times New Roman"/>
          <w:color w:val="0000FF"/>
          <w:kern w:val="0"/>
          <w:sz w:val="24"/>
          <w:szCs w:val="24"/>
          <w:lang w:val="en-US" w:eastAsia="zh-CN" w:bidi="ar"/>
        </w:rPr>
        <w:t>0.218</w:t>
      </w:r>
      <w:r>
        <w:rPr>
          <w:rFonts w:hint="default" w:ascii="Times New Roman" w:hAnsi="Times New Roman" w:eastAsia="宋体" w:cs="Times New Roman"/>
          <w:color w:val="0000FF"/>
          <w:kern w:val="0"/>
          <w:sz w:val="24"/>
          <w:szCs w:val="24"/>
          <w:lang w:val="en-US" w:eastAsia="zh-CN" w:bidi="ar"/>
        </w:rPr>
        <w:t>mg/L</w:t>
      </w:r>
      <w:r>
        <w:rPr>
          <w:rFonts w:hint="default" w:ascii="Times New Roman" w:hAnsi="Times New Roman" w:eastAsia="瀹嬩綋" w:cs="Times New Roman"/>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0.01mg/L</w:t>
      </w:r>
      <w:r>
        <w:rPr>
          <w:rFonts w:hint="eastAsia" w:ascii="Times New Roman" w:hAnsi="Times New Roman" w:eastAsia="宋体" w:cs="Times New Roman"/>
          <w:color w:val="0000FF"/>
          <w:kern w:val="0"/>
          <w:sz w:val="24"/>
          <w:szCs w:val="24"/>
          <w:lang w:val="en-US" w:eastAsia="zh-CN" w:bidi="ar"/>
        </w:rPr>
        <w:t>。</w:t>
      </w:r>
    </w:p>
    <w:p>
      <w:pPr>
        <w:keepNext w:val="0"/>
        <w:keepLines w:val="0"/>
        <w:widowControl/>
        <w:suppressLineNumbers w:val="0"/>
        <w:jc w:val="left"/>
        <w:rPr>
          <w:rFonts w:hint="default" w:ascii="Times New Roman" w:hAnsi="Times New Roman" w:cs="Times New Roman"/>
          <w:color w:val="0000FF"/>
          <w:highlight w:val="none"/>
          <w:lang w:val="en-US"/>
        </w:rPr>
      </w:pPr>
      <w:r>
        <w:rPr>
          <w:rFonts w:hint="default" w:ascii="Times New Roman" w:hAnsi="Times New Roman" w:eastAsia="瀹嬩綋" w:cs="Times New Roman"/>
          <w:color w:val="0000FF"/>
          <w:kern w:val="0"/>
          <w:sz w:val="24"/>
          <w:szCs w:val="24"/>
          <w:highlight w:val="none"/>
          <w:lang w:val="en-US" w:eastAsia="zh-CN" w:bidi="ar"/>
        </w:rPr>
        <w:t>根据</w:t>
      </w:r>
      <w:r>
        <w:rPr>
          <w:rFonts w:hint="eastAsia" w:ascii="Times New Roman" w:hAnsi="Times New Roman" w:eastAsia="瀹嬩綋" w:cs="Times New Roman"/>
          <w:color w:val="0000FF"/>
          <w:kern w:val="0"/>
          <w:sz w:val="24"/>
          <w:szCs w:val="24"/>
          <w:highlight w:val="none"/>
          <w:lang w:val="en-US" w:eastAsia="zh-CN" w:bidi="ar"/>
        </w:rPr>
        <w:t>预测</w:t>
      </w:r>
      <w:r>
        <w:rPr>
          <w:rFonts w:hint="default" w:ascii="Times New Roman" w:hAnsi="Times New Roman" w:eastAsia="瀹嬩綋" w:cs="Times New Roman"/>
          <w:color w:val="0000FF"/>
          <w:kern w:val="0"/>
          <w:sz w:val="24"/>
          <w:szCs w:val="24"/>
          <w:highlight w:val="none"/>
          <w:lang w:val="en-US" w:eastAsia="zh-CN" w:bidi="ar"/>
        </w:rPr>
        <w:t>，接受补水后受水区水库</w:t>
      </w:r>
      <w:r>
        <w:rPr>
          <w:rFonts w:hint="default" w:ascii="Times New Roman" w:hAnsi="Times New Roman" w:eastAsia="宋体" w:cs="Times New Roman"/>
          <w:color w:val="0000FF"/>
          <w:kern w:val="0"/>
          <w:sz w:val="24"/>
          <w:szCs w:val="24"/>
          <w:highlight w:val="none"/>
          <w:lang w:val="en-US" w:eastAsia="zh-CN" w:bidi="ar"/>
        </w:rPr>
        <w:t>COD</w:t>
      </w:r>
      <w:r>
        <w:rPr>
          <w:rFonts w:hint="default" w:ascii="Times New Roman" w:hAnsi="Times New Roman" w:eastAsia="瀹嬩綋" w:cs="Times New Roman"/>
          <w:color w:val="0000FF"/>
          <w:kern w:val="0"/>
          <w:sz w:val="24"/>
          <w:szCs w:val="24"/>
          <w:highlight w:val="none"/>
          <w:lang w:val="en-US" w:eastAsia="zh-CN" w:bidi="ar"/>
        </w:rPr>
        <w:t>、氨氮、总磷和总氮的预测浓度见表</w:t>
      </w:r>
      <w:r>
        <w:rPr>
          <w:rFonts w:hint="eastAsia" w:cs="Times New Roman"/>
          <w:color w:val="0000FF"/>
          <w:kern w:val="0"/>
          <w:sz w:val="24"/>
          <w:szCs w:val="24"/>
          <w:highlight w:val="none"/>
          <w:lang w:val="en-US" w:eastAsia="zh-CN" w:bidi="ar"/>
        </w:rPr>
        <w:t>5.2.2-8</w:t>
      </w:r>
      <w:r>
        <w:rPr>
          <w:rFonts w:hint="eastAsia" w:ascii="Times New Roman" w:hAnsi="Times New Roman" w:eastAsia="宋体" w:cs="Times New Roman"/>
          <w:color w:val="0000FF"/>
          <w:kern w:val="0"/>
          <w:sz w:val="24"/>
          <w:szCs w:val="24"/>
          <w:highlight w:val="none"/>
          <w:lang w:val="en-US" w:eastAsia="zh-CN" w:bidi="ar"/>
        </w:rPr>
        <w:t>。</w:t>
      </w:r>
    </w:p>
    <w:p>
      <w:pPr>
        <w:keepNext w:val="0"/>
        <w:keepLines w:val="0"/>
        <w:widowControl/>
        <w:suppressLineNumbers w:val="0"/>
        <w:spacing w:line="240" w:lineRule="auto"/>
        <w:jc w:val="center"/>
        <w:rPr>
          <w:rFonts w:hint="default" w:ascii="Times New Roman" w:hAnsi="Times New Roman" w:eastAsia="宋体" w:cs="Times New Roman"/>
          <w:b/>
          <w:bCs/>
          <w:color w:val="0000FF"/>
          <w:lang w:val="en-US" w:eastAsia="zh-CN"/>
        </w:rPr>
      </w:pPr>
      <w:r>
        <w:rPr>
          <w:rFonts w:hint="eastAsia" w:cs="Times New Roman"/>
          <w:b/>
          <w:bCs/>
          <w:color w:val="0000FF"/>
          <w:lang w:val="en-US" w:eastAsia="zh-CN"/>
        </w:rPr>
        <w:t>表5.2.2-8  不同时期受水区水库混合浓度计算表</w:t>
      </w:r>
    </w:p>
    <w:tbl>
      <w:tblPr>
        <w:tblStyle w:val="30"/>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723"/>
        <w:gridCol w:w="696"/>
        <w:gridCol w:w="886"/>
        <w:gridCol w:w="964"/>
        <w:gridCol w:w="1009"/>
        <w:gridCol w:w="1009"/>
        <w:gridCol w:w="1090"/>
        <w:gridCol w:w="823"/>
        <w:gridCol w:w="6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3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18"/>
                <w:szCs w:val="18"/>
                <w:vertAlign w:val="baseline"/>
                <w:lang w:val="en-US" w:eastAsia="zh-CN"/>
              </w:rPr>
            </w:pPr>
            <w:r>
              <w:rPr>
                <w:rFonts w:hint="eastAsia" w:ascii="Times New Roman" w:hAnsi="Times New Roman" w:eastAsia="宋体" w:cs="Times New Roman"/>
                <w:color w:val="0000FF"/>
                <w:kern w:val="0"/>
                <w:sz w:val="18"/>
                <w:szCs w:val="18"/>
                <w:vertAlign w:val="baseline"/>
                <w:lang w:val="en-US" w:eastAsia="zh-CN"/>
              </w:rPr>
              <w:t>水库名称</w:t>
            </w:r>
          </w:p>
        </w:tc>
        <w:tc>
          <w:tcPr>
            <w:tcW w:w="833" w:type="pct"/>
            <w:gridSpan w:val="2"/>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FF"/>
                <w:sz w:val="18"/>
                <w:szCs w:val="18"/>
                <w:highlight w:val="none"/>
                <w:lang w:eastAsia="zh-CN"/>
              </w:rPr>
            </w:pPr>
            <w:r>
              <w:rPr>
                <w:rFonts w:hint="eastAsia" w:ascii="Times New Roman" w:hAnsi="Times New Roman" w:eastAsia="宋体" w:cs="Times New Roman"/>
                <w:color w:val="0000FF"/>
                <w:sz w:val="18"/>
                <w:szCs w:val="18"/>
                <w:highlight w:val="none"/>
                <w:lang w:eastAsia="zh-CN"/>
              </w:rPr>
              <w:t>污染物</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18"/>
                <w:szCs w:val="18"/>
                <w:vertAlign w:val="baseline"/>
              </w:rPr>
            </w:pPr>
            <w:r>
              <w:rPr>
                <w:rFonts w:hint="default" w:ascii="Times New Roman" w:hAnsi="Times New Roman" w:eastAsia="宋体" w:cs="Times New Roman"/>
                <w:color w:val="0000FF"/>
                <w:sz w:val="18"/>
                <w:szCs w:val="18"/>
                <w:highlight w:val="none"/>
              </w:rPr>
              <w:t>C</w:t>
            </w:r>
            <w:r>
              <w:rPr>
                <w:rFonts w:hint="default" w:ascii="Times New Roman" w:hAnsi="Times New Roman" w:eastAsia="宋体" w:cs="Times New Roman"/>
                <w:color w:val="0000FF"/>
                <w:sz w:val="18"/>
                <w:szCs w:val="18"/>
                <w:highlight w:val="none"/>
                <w:vertAlign w:val="subscript"/>
              </w:rPr>
              <w:t>h</w:t>
            </w:r>
            <w:r>
              <w:rPr>
                <w:rFonts w:hint="default" w:ascii="Times New Roman" w:hAnsi="Times New Roman" w:eastAsia="宋体" w:cs="Times New Roman"/>
                <w:color w:val="0000FF"/>
                <w:sz w:val="18"/>
                <w:szCs w:val="18"/>
                <w:highlight w:val="none"/>
                <w:vertAlign w:val="baseline"/>
              </w:rPr>
              <w:t>（mg/L）</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18"/>
                <w:szCs w:val="18"/>
                <w:vertAlign w:val="baseline"/>
              </w:rPr>
            </w:pPr>
            <w:r>
              <w:rPr>
                <w:rFonts w:hint="default" w:ascii="Times New Roman" w:hAnsi="Times New Roman" w:eastAsia="宋体" w:cs="Times New Roman"/>
                <w:color w:val="0000FF"/>
                <w:sz w:val="18"/>
                <w:szCs w:val="18"/>
                <w:highlight w:val="none"/>
              </w:rPr>
              <w:t>C</w:t>
            </w:r>
            <w:r>
              <w:rPr>
                <w:rFonts w:hint="default" w:ascii="Times New Roman" w:hAnsi="Times New Roman" w:eastAsia="宋体" w:cs="Times New Roman"/>
                <w:color w:val="0000FF"/>
                <w:sz w:val="18"/>
                <w:szCs w:val="18"/>
                <w:highlight w:val="none"/>
                <w:vertAlign w:val="subscript"/>
              </w:rPr>
              <w:t>p</w:t>
            </w:r>
            <w:r>
              <w:rPr>
                <w:rFonts w:hint="default" w:ascii="Times New Roman" w:hAnsi="Times New Roman" w:eastAsia="宋体" w:cs="Times New Roman"/>
                <w:color w:val="0000FF"/>
                <w:sz w:val="18"/>
                <w:szCs w:val="18"/>
                <w:highlight w:val="none"/>
                <w:vertAlign w:val="baseline"/>
              </w:rPr>
              <w:t>（mg/L）</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18"/>
                <w:szCs w:val="18"/>
                <w:highlight w:val="none"/>
              </w:rPr>
            </w:pPr>
            <w:r>
              <w:rPr>
                <w:rFonts w:hint="default" w:ascii="Times New Roman" w:hAnsi="Times New Roman" w:eastAsia="宋体" w:cs="Times New Roman"/>
                <w:color w:val="0000FF"/>
                <w:sz w:val="18"/>
                <w:szCs w:val="18"/>
                <w:highlight w:val="none"/>
              </w:rPr>
              <w:t>Q</w:t>
            </w:r>
            <w:r>
              <w:rPr>
                <w:rFonts w:hint="default" w:ascii="Times New Roman" w:hAnsi="Times New Roman" w:eastAsia="宋体" w:cs="Times New Roman"/>
                <w:color w:val="0000FF"/>
                <w:sz w:val="18"/>
                <w:szCs w:val="18"/>
                <w:highlight w:val="none"/>
                <w:vertAlign w:val="subscript"/>
              </w:rPr>
              <w:t>h</w:t>
            </w:r>
            <w:r>
              <w:rPr>
                <w:rFonts w:hint="default" w:ascii="Times New Roman" w:hAnsi="Times New Roman" w:eastAsia="宋体" w:cs="Times New Roman"/>
                <w:color w:val="0000FF"/>
                <w:sz w:val="18"/>
                <w:szCs w:val="18"/>
                <w:highlight w:val="none"/>
              </w:rPr>
              <w:t>（m</w:t>
            </w:r>
            <w:r>
              <w:rPr>
                <w:rFonts w:hint="default" w:ascii="Times New Roman" w:hAnsi="Times New Roman" w:eastAsia="宋体" w:cs="Times New Roman"/>
                <w:color w:val="0000FF"/>
                <w:sz w:val="18"/>
                <w:szCs w:val="18"/>
                <w:highlight w:val="none"/>
                <w:vertAlign w:val="superscript"/>
              </w:rPr>
              <w:t>3</w:t>
            </w:r>
            <w:r>
              <w:rPr>
                <w:rFonts w:hint="default" w:ascii="Times New Roman" w:hAnsi="Times New Roman" w:eastAsia="宋体" w:cs="Times New Roman"/>
                <w:color w:val="0000FF"/>
                <w:sz w:val="18"/>
                <w:szCs w:val="18"/>
                <w:highlight w:val="none"/>
              </w:rPr>
              <w:t>/s）</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18"/>
                <w:szCs w:val="18"/>
                <w:highlight w:val="none"/>
              </w:rPr>
            </w:pPr>
            <w:r>
              <w:rPr>
                <w:rFonts w:hint="default" w:ascii="Times New Roman" w:hAnsi="Times New Roman" w:eastAsia="宋体" w:cs="Times New Roman"/>
                <w:color w:val="0000FF"/>
                <w:sz w:val="18"/>
                <w:szCs w:val="18"/>
                <w:highlight w:val="none"/>
              </w:rPr>
              <w:t>Qp（m</w:t>
            </w:r>
            <w:r>
              <w:rPr>
                <w:rFonts w:hint="default" w:ascii="Times New Roman" w:hAnsi="Times New Roman" w:eastAsia="宋体" w:cs="Times New Roman"/>
                <w:color w:val="0000FF"/>
                <w:sz w:val="18"/>
                <w:szCs w:val="18"/>
                <w:highlight w:val="none"/>
                <w:vertAlign w:val="superscript"/>
              </w:rPr>
              <w:t>3</w:t>
            </w:r>
            <w:r>
              <w:rPr>
                <w:rFonts w:hint="default" w:ascii="Times New Roman" w:hAnsi="Times New Roman" w:eastAsia="宋体" w:cs="Times New Roman"/>
                <w:color w:val="0000FF"/>
                <w:sz w:val="18"/>
                <w:szCs w:val="18"/>
                <w:highlight w:val="none"/>
              </w:rPr>
              <w:t>/s）</w:t>
            </w:r>
          </w:p>
        </w:tc>
        <w:tc>
          <w:tcPr>
            <w:tcW w:w="64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18"/>
                <w:szCs w:val="18"/>
                <w:highlight w:val="none"/>
                <w:lang w:eastAsia="zh-CN"/>
              </w:rPr>
            </w:pPr>
            <w:r>
              <w:rPr>
                <w:rFonts w:hint="default" w:ascii="Times New Roman" w:hAnsi="Times New Roman" w:eastAsia="宋体" w:cs="Times New Roman"/>
                <w:color w:val="0000FF"/>
                <w:sz w:val="18"/>
                <w:szCs w:val="18"/>
                <w:highlight w:val="none"/>
              </w:rPr>
              <w:t>C</w:t>
            </w:r>
            <w:r>
              <w:rPr>
                <w:rFonts w:hint="default" w:ascii="Times New Roman" w:hAnsi="Times New Roman" w:eastAsia="宋体" w:cs="Times New Roman"/>
                <w:color w:val="0000FF"/>
                <w:sz w:val="18"/>
                <w:szCs w:val="18"/>
                <w:highlight w:val="none"/>
                <w:lang w:val="en-US" w:eastAsia="zh-CN"/>
              </w:rPr>
              <w:t>0</w:t>
            </w:r>
            <w:r>
              <w:rPr>
                <w:rFonts w:hint="default" w:ascii="Times New Roman" w:hAnsi="Times New Roman" w:eastAsia="宋体" w:cs="Times New Roman"/>
                <w:color w:val="0000FF"/>
                <w:sz w:val="18"/>
                <w:szCs w:val="18"/>
                <w:highlight w:val="none"/>
                <w:vertAlign w:val="baseline"/>
              </w:rPr>
              <w:t>（mg/L）</w:t>
            </w:r>
          </w:p>
        </w:tc>
        <w:tc>
          <w:tcPr>
            <w:tcW w:w="483"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18"/>
                <w:szCs w:val="18"/>
                <w:highlight w:val="none"/>
              </w:rPr>
            </w:pPr>
            <w:r>
              <w:rPr>
                <w:rFonts w:hint="default" w:ascii="Times New Roman" w:hAnsi="Times New Roman" w:eastAsia="宋体" w:cs="Times New Roman"/>
                <w:color w:val="0000FF"/>
                <w:sz w:val="18"/>
                <w:szCs w:val="18"/>
                <w:highlight w:val="none"/>
              </w:rPr>
              <w:t>Ⅲ类标准</w:t>
            </w:r>
          </w:p>
        </w:tc>
        <w:tc>
          <w:tcPr>
            <w:tcW w:w="377"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sz w:val="18"/>
                <w:szCs w:val="18"/>
                <w:highlight w:val="none"/>
                <w:lang w:val="en-US" w:eastAsia="zh-CN"/>
              </w:rPr>
            </w:pPr>
            <w:r>
              <w:rPr>
                <w:rFonts w:hint="eastAsia" w:ascii="Times New Roman" w:hAnsi="Times New Roman" w:cs="Times New Roman"/>
                <w:color w:val="0000FF"/>
                <w:sz w:val="18"/>
                <w:szCs w:val="18"/>
                <w:highlight w:val="none"/>
                <w:lang w:val="en-US"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rPr>
            </w:pPr>
            <w:r>
              <w:rPr>
                <w:rFonts w:hint="eastAsia"/>
                <w:color w:val="0000FF"/>
                <w:sz w:val="21"/>
                <w:szCs w:val="21"/>
                <w:lang w:val="en-US" w:eastAsia="zh-CN"/>
              </w:rPr>
              <w:t>界牌箐水库</w:t>
            </w:r>
          </w:p>
        </w:tc>
        <w:tc>
          <w:tcPr>
            <w:tcW w:w="424"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rPr>
            </w:pPr>
            <w:r>
              <w:rPr>
                <w:rFonts w:hint="default" w:ascii="Times New Roman" w:eastAsia="宋体" w:cs="Times New Roman"/>
                <w:color w:val="0000FF"/>
                <w:sz w:val="21"/>
                <w:szCs w:val="21"/>
              </w:rPr>
              <w:t>COD</w:t>
            </w: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枯期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40.3</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default" w:ascii="Times New Roman" w:eastAsia="宋体" w:cs="Times New Roman"/>
                <w:color w:val="0000FF"/>
                <w:sz w:val="21"/>
                <w:szCs w:val="21"/>
                <w:lang w:val="en-US" w:eastAsia="zh-CN"/>
              </w:rPr>
              <w:t>1.8</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0.0018</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0.0006</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30.68 </w:t>
            </w:r>
          </w:p>
        </w:tc>
        <w:tc>
          <w:tcPr>
            <w:tcW w:w="48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20</w:t>
            </w: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超标0.53倍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eastAsia="zh-CN"/>
              </w:rPr>
            </w:pPr>
          </w:p>
        </w:tc>
        <w:tc>
          <w:tcPr>
            <w:tcW w:w="424"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rPr>
            </w:pP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汛期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40.3</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1.1</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0.0027</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0.0006</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33.17 </w:t>
            </w:r>
          </w:p>
        </w:tc>
        <w:tc>
          <w:tcPr>
            <w:tcW w:w="48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超标0.66倍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eastAsia="zh-CN"/>
              </w:rPr>
            </w:pPr>
          </w:p>
        </w:tc>
        <w:tc>
          <w:tcPr>
            <w:tcW w:w="424"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rPr>
            </w:pPr>
            <w:r>
              <w:rPr>
                <w:rFonts w:hint="default" w:ascii="Times New Roman" w:eastAsia="宋体" w:cs="Times New Roman"/>
                <w:color w:val="0000FF"/>
                <w:sz w:val="21"/>
                <w:szCs w:val="21"/>
              </w:rPr>
              <w:t>氨氮</w:t>
            </w: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rPr>
            </w:pPr>
            <w:r>
              <w:rPr>
                <w:rFonts w:hint="eastAsia" w:ascii="Times New Roman" w:cs="Times New Roman"/>
                <w:color w:val="0000FF"/>
                <w:sz w:val="21"/>
                <w:szCs w:val="21"/>
                <w:lang w:val="en-US" w:eastAsia="zh-CN"/>
              </w:rPr>
              <w:t>枯期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2.4</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0.56</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0.0018</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0.0006</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1.94 </w:t>
            </w:r>
          </w:p>
        </w:tc>
        <w:tc>
          <w:tcPr>
            <w:tcW w:w="48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1</w:t>
            </w: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超标0.94倍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eastAsia="zh-CN"/>
              </w:rPr>
            </w:pPr>
          </w:p>
        </w:tc>
        <w:tc>
          <w:tcPr>
            <w:tcW w:w="424"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rPr>
            </w:pP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rPr>
            </w:pPr>
            <w:r>
              <w:rPr>
                <w:rFonts w:hint="eastAsia" w:ascii="Times New Roman" w:cs="Times New Roman"/>
                <w:color w:val="0000FF"/>
                <w:sz w:val="21"/>
                <w:szCs w:val="21"/>
                <w:lang w:val="en-US" w:eastAsia="zh-CN"/>
              </w:rPr>
              <w:t>汛期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2.4</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0.218</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0.0027</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0.0006</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 xml:space="preserve">2.00 </w:t>
            </w:r>
          </w:p>
        </w:tc>
        <w:tc>
          <w:tcPr>
            <w:tcW w:w="48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超标1倍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eastAsia"/>
                <w:color w:val="0000FF"/>
                <w:sz w:val="21"/>
                <w:szCs w:val="21"/>
                <w:lang w:val="en-US" w:eastAsia="zh-CN"/>
              </w:rPr>
            </w:pPr>
          </w:p>
        </w:tc>
        <w:tc>
          <w:tcPr>
            <w:tcW w:w="424"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ascii="Times New Roman" w:eastAsia="宋体" w:cs="Times New Roman"/>
                <w:color w:val="0000FF"/>
                <w:sz w:val="21"/>
                <w:szCs w:val="21"/>
              </w:rPr>
            </w:pPr>
            <w:r>
              <w:rPr>
                <w:rFonts w:hint="eastAsia" w:ascii="Times New Roman" w:eastAsia="宋体" w:cs="Times New Roman"/>
                <w:color w:val="0000FF"/>
                <w:sz w:val="21"/>
                <w:szCs w:val="21"/>
              </w:rPr>
              <w:t>总磷</w:t>
            </w: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rPr>
            </w:pPr>
            <w:r>
              <w:rPr>
                <w:rFonts w:hint="eastAsia" w:ascii="Times New Roman" w:cs="Times New Roman"/>
                <w:color w:val="0000FF"/>
                <w:sz w:val="21"/>
                <w:szCs w:val="21"/>
                <w:lang w:val="en-US" w:eastAsia="zh-CN"/>
              </w:rPr>
              <w:t>枯期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0.24</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0.01</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0.0018</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0.0006</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0.18 </w:t>
            </w:r>
          </w:p>
        </w:tc>
        <w:tc>
          <w:tcPr>
            <w:tcW w:w="48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0.2</w:t>
            </w: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eastAsia"/>
                <w:color w:val="0000FF"/>
                <w:sz w:val="21"/>
                <w:szCs w:val="21"/>
                <w:lang w:val="en-US" w:eastAsia="zh-CN"/>
              </w:rPr>
            </w:pPr>
          </w:p>
        </w:tc>
        <w:tc>
          <w:tcPr>
            <w:tcW w:w="424"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ascii="Times New Roman" w:eastAsia="宋体" w:cs="Times New Roman"/>
                <w:color w:val="0000FF"/>
                <w:sz w:val="21"/>
                <w:szCs w:val="21"/>
              </w:rPr>
            </w:pP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rPr>
            </w:pPr>
            <w:r>
              <w:rPr>
                <w:rFonts w:hint="eastAsia" w:ascii="Times New Roman" w:cs="Times New Roman"/>
                <w:color w:val="0000FF"/>
                <w:sz w:val="21"/>
                <w:szCs w:val="21"/>
                <w:lang w:val="en-US" w:eastAsia="zh-CN"/>
              </w:rPr>
              <w:t>汛期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0.24</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0.01</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0.0027</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0.0006</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0.20 </w:t>
            </w:r>
          </w:p>
        </w:tc>
        <w:tc>
          <w:tcPr>
            <w:tcW w:w="48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eastAsia"/>
                <w:color w:val="0000FF"/>
                <w:sz w:val="21"/>
                <w:szCs w:val="21"/>
                <w:lang w:val="en-US" w:eastAsia="zh-CN"/>
              </w:rPr>
            </w:pPr>
          </w:p>
        </w:tc>
        <w:tc>
          <w:tcPr>
            <w:tcW w:w="424"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ascii="Times New Roman" w:eastAsia="宋体" w:cs="Times New Roman"/>
                <w:color w:val="0000FF"/>
                <w:sz w:val="21"/>
                <w:szCs w:val="21"/>
              </w:rPr>
            </w:pPr>
            <w:r>
              <w:rPr>
                <w:rFonts w:hint="eastAsia" w:ascii="Times New Roman" w:eastAsia="宋体" w:cs="Times New Roman"/>
                <w:color w:val="0000FF"/>
                <w:sz w:val="21"/>
                <w:szCs w:val="21"/>
              </w:rPr>
              <w:t>总氮</w:t>
            </w: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rPr>
            </w:pPr>
            <w:r>
              <w:rPr>
                <w:rFonts w:hint="eastAsia" w:ascii="Times New Roman" w:cs="Times New Roman"/>
                <w:color w:val="0000FF"/>
                <w:sz w:val="21"/>
                <w:szCs w:val="21"/>
                <w:lang w:val="en-US" w:eastAsia="zh-CN"/>
              </w:rPr>
              <w:t>枯期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5.82</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0.8</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0.0018</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0.0006</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4.57 </w:t>
            </w:r>
          </w:p>
        </w:tc>
        <w:tc>
          <w:tcPr>
            <w:tcW w:w="48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1</w:t>
            </w: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超标3.57倍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eastAsia"/>
                <w:color w:val="0000FF"/>
                <w:sz w:val="21"/>
                <w:szCs w:val="21"/>
                <w:lang w:val="en-US" w:eastAsia="zh-CN"/>
              </w:rPr>
            </w:pPr>
          </w:p>
        </w:tc>
        <w:tc>
          <w:tcPr>
            <w:tcW w:w="424"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ascii="Times New Roman" w:eastAsia="宋体" w:cs="Times New Roman"/>
                <w:color w:val="0000FF"/>
                <w:sz w:val="21"/>
                <w:szCs w:val="21"/>
              </w:rPr>
            </w:pP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rPr>
            </w:pPr>
            <w:r>
              <w:rPr>
                <w:rFonts w:hint="eastAsia" w:ascii="Times New Roman" w:cs="Times New Roman"/>
                <w:color w:val="0000FF"/>
                <w:sz w:val="21"/>
                <w:szCs w:val="21"/>
                <w:lang w:val="en-US" w:eastAsia="zh-CN"/>
              </w:rPr>
              <w:t>汛期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5.82</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0.0027</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0.0006</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eastAsia" w:ascii="宋体" w:hAnsi="宋体" w:eastAsia="宋体" w:cs="宋体"/>
                <w:i w:val="0"/>
                <w:iCs w:val="0"/>
                <w:color w:val="0000FF"/>
                <w:kern w:val="0"/>
                <w:sz w:val="21"/>
                <w:szCs w:val="21"/>
                <w:u w:val="none"/>
                <w:lang w:val="en-US" w:eastAsia="zh-CN" w:bidi="ar"/>
              </w:rPr>
              <w:t>/</w:t>
            </w:r>
          </w:p>
        </w:tc>
        <w:tc>
          <w:tcPr>
            <w:tcW w:w="48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color w:val="0000FF"/>
                <w:sz w:val="21"/>
                <w:szCs w:val="21"/>
                <w:lang w:val="en-US" w:eastAsia="zh-CN"/>
              </w:rPr>
            </w:pPr>
            <w:r>
              <w:rPr>
                <w:rFonts w:hint="eastAsia"/>
                <w:color w:val="0000FF"/>
                <w:sz w:val="21"/>
                <w:szCs w:val="21"/>
                <w:lang w:val="en-US" w:eastAsia="zh-CN"/>
              </w:rPr>
              <w:t>水平石水库</w:t>
            </w:r>
          </w:p>
        </w:tc>
        <w:tc>
          <w:tcPr>
            <w:tcW w:w="424"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r>
              <w:rPr>
                <w:rFonts w:hint="default" w:ascii="Times New Roman" w:eastAsia="宋体" w:cs="Times New Roman"/>
                <w:color w:val="0000FF"/>
                <w:sz w:val="21"/>
                <w:szCs w:val="21"/>
              </w:rPr>
              <w:t>COD</w:t>
            </w: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枯期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19.3</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default" w:ascii="Times New Roman" w:eastAsia="宋体" w:cs="Times New Roman"/>
                <w:color w:val="0000FF"/>
                <w:sz w:val="21"/>
                <w:szCs w:val="21"/>
                <w:lang w:val="en-US" w:eastAsia="zh-CN"/>
              </w:rPr>
              <w:t>1.8</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0.0082</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0.0032</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14.39 </w:t>
            </w:r>
          </w:p>
        </w:tc>
        <w:tc>
          <w:tcPr>
            <w:tcW w:w="48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20</w:t>
            </w: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汛期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19.3</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1.1</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0.0121</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0.0032</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15.49 </w:t>
            </w:r>
          </w:p>
        </w:tc>
        <w:tc>
          <w:tcPr>
            <w:tcW w:w="48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r>
              <w:rPr>
                <w:rFonts w:hint="default" w:ascii="Times New Roman" w:eastAsia="宋体" w:cs="Times New Roman"/>
                <w:color w:val="0000FF"/>
                <w:sz w:val="21"/>
                <w:szCs w:val="21"/>
              </w:rPr>
              <w:t>氨氮</w:t>
            </w: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枯期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0.430</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0.56</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0.0082</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0.0032</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0.47 </w:t>
            </w:r>
          </w:p>
        </w:tc>
        <w:tc>
          <w:tcPr>
            <w:tcW w:w="48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1</w:t>
            </w: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汛期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0.430</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0.218</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0.0121</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0.0032</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0.39 </w:t>
            </w:r>
          </w:p>
        </w:tc>
        <w:tc>
          <w:tcPr>
            <w:tcW w:w="48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r>
              <w:rPr>
                <w:rFonts w:hint="eastAsia" w:ascii="Times New Roman" w:eastAsia="宋体" w:cs="Times New Roman"/>
                <w:color w:val="0000FF"/>
                <w:sz w:val="21"/>
                <w:szCs w:val="21"/>
              </w:rPr>
              <w:t>总磷</w:t>
            </w: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枯期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0.03</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0.01</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0.0082</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0.0032</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0.02 </w:t>
            </w:r>
          </w:p>
        </w:tc>
        <w:tc>
          <w:tcPr>
            <w:tcW w:w="48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0.2</w:t>
            </w: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汛期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0.03</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0.01</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0.0121</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0.0032</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0.03 </w:t>
            </w:r>
          </w:p>
        </w:tc>
        <w:tc>
          <w:tcPr>
            <w:tcW w:w="48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r>
              <w:rPr>
                <w:rFonts w:hint="eastAsia" w:ascii="Times New Roman" w:eastAsia="宋体" w:cs="Times New Roman"/>
                <w:color w:val="0000FF"/>
                <w:sz w:val="21"/>
                <w:szCs w:val="21"/>
              </w:rPr>
              <w:t>总氮</w:t>
            </w: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枯期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0.63</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0.8</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0.0082</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0.0032</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0.68 </w:t>
            </w:r>
          </w:p>
        </w:tc>
        <w:tc>
          <w:tcPr>
            <w:tcW w:w="48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1</w:t>
            </w: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FF0000"/>
                <w:sz w:val="21"/>
                <w:szCs w:val="21"/>
                <w:lang w:val="en-US" w:eastAsia="zh-CN"/>
              </w:rPr>
            </w:pPr>
          </w:p>
        </w:tc>
        <w:tc>
          <w:tcPr>
            <w:tcW w:w="424"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FF0000"/>
                <w:sz w:val="21"/>
                <w:szCs w:val="21"/>
              </w:rPr>
            </w:pP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汛期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0.63</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0.0121</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0.0032</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w:t>
            </w:r>
          </w:p>
        </w:tc>
        <w:tc>
          <w:tcPr>
            <w:tcW w:w="48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color w:val="0000FF"/>
                <w:sz w:val="21"/>
                <w:szCs w:val="21"/>
                <w:lang w:val="en-US" w:eastAsia="zh-CN"/>
              </w:rPr>
            </w:pPr>
            <w:r>
              <w:rPr>
                <w:rFonts w:hint="eastAsia"/>
                <w:color w:val="0000FF"/>
                <w:sz w:val="21"/>
                <w:szCs w:val="21"/>
                <w:lang w:val="en-US" w:eastAsia="zh-CN"/>
              </w:rPr>
              <w:t>姜中水库</w:t>
            </w:r>
          </w:p>
        </w:tc>
        <w:tc>
          <w:tcPr>
            <w:tcW w:w="424"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r>
              <w:rPr>
                <w:rFonts w:hint="default" w:ascii="Times New Roman" w:eastAsia="宋体" w:cs="Times New Roman"/>
                <w:color w:val="0000FF"/>
                <w:sz w:val="21"/>
                <w:szCs w:val="21"/>
              </w:rPr>
              <w:t>COD</w:t>
            </w: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枯期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12.67</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default" w:ascii="Times New Roman" w:eastAsia="宋体" w:cs="Times New Roman"/>
                <w:color w:val="0000FF"/>
                <w:sz w:val="21"/>
                <w:szCs w:val="21"/>
                <w:lang w:val="en-US" w:eastAsia="zh-CN"/>
              </w:rPr>
              <w:t>1.8</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0.0038</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0.0013</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9.90 </w:t>
            </w:r>
          </w:p>
        </w:tc>
        <w:tc>
          <w:tcPr>
            <w:tcW w:w="48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20</w:t>
            </w: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汛期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12.67</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1.1</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0.0056</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0.0013</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10.49 </w:t>
            </w:r>
          </w:p>
        </w:tc>
        <w:tc>
          <w:tcPr>
            <w:tcW w:w="48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r>
              <w:rPr>
                <w:rFonts w:hint="default" w:ascii="Times New Roman" w:eastAsia="宋体" w:cs="Times New Roman"/>
                <w:color w:val="0000FF"/>
                <w:sz w:val="21"/>
                <w:szCs w:val="21"/>
              </w:rPr>
              <w:t>氨氮</w:t>
            </w: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枯期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0.48</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0.56</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0.0038</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0.0013</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0.50 </w:t>
            </w:r>
          </w:p>
        </w:tc>
        <w:tc>
          <w:tcPr>
            <w:tcW w:w="48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1</w:t>
            </w: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汛期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0.48</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0.218</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0.0056</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0.0013</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0.43 </w:t>
            </w:r>
          </w:p>
        </w:tc>
        <w:tc>
          <w:tcPr>
            <w:tcW w:w="48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r>
              <w:rPr>
                <w:rFonts w:hint="eastAsia" w:ascii="Times New Roman" w:eastAsia="宋体" w:cs="Times New Roman"/>
                <w:color w:val="0000FF"/>
                <w:sz w:val="21"/>
                <w:szCs w:val="21"/>
              </w:rPr>
              <w:t>总磷</w:t>
            </w: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枯期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0.02</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0.01</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0.0038</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0.0013</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0.02 </w:t>
            </w:r>
          </w:p>
        </w:tc>
        <w:tc>
          <w:tcPr>
            <w:tcW w:w="48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0.2</w:t>
            </w: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汛期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0.02</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0.01</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0.0056</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0.0013</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0.02 </w:t>
            </w:r>
          </w:p>
        </w:tc>
        <w:tc>
          <w:tcPr>
            <w:tcW w:w="48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r>
              <w:rPr>
                <w:rFonts w:hint="eastAsia" w:ascii="Times New Roman" w:eastAsia="宋体" w:cs="Times New Roman"/>
                <w:color w:val="0000FF"/>
                <w:sz w:val="21"/>
                <w:szCs w:val="21"/>
              </w:rPr>
              <w:t>总氮</w:t>
            </w: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枯期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0.81</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0.8</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0.0038</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0.0013</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0.81 </w:t>
            </w:r>
          </w:p>
        </w:tc>
        <w:tc>
          <w:tcPr>
            <w:tcW w:w="48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1</w:t>
            </w: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汛期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0.81</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0.0056</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0.0013</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w:t>
            </w:r>
          </w:p>
        </w:tc>
        <w:tc>
          <w:tcPr>
            <w:tcW w:w="48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r>
              <w:rPr>
                <w:rFonts w:hint="eastAsia"/>
                <w:color w:val="0000FF"/>
                <w:sz w:val="21"/>
                <w:szCs w:val="21"/>
                <w:lang w:val="en-US" w:eastAsia="zh-CN"/>
              </w:rPr>
              <w:t>李官坟水库</w:t>
            </w:r>
          </w:p>
        </w:tc>
        <w:tc>
          <w:tcPr>
            <w:tcW w:w="424"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r>
              <w:rPr>
                <w:rFonts w:hint="default" w:ascii="Times New Roman" w:eastAsia="宋体" w:cs="Times New Roman"/>
                <w:color w:val="0000FF"/>
                <w:sz w:val="21"/>
                <w:szCs w:val="21"/>
              </w:rPr>
              <w:t>COD</w:t>
            </w: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枯期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20</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default" w:ascii="Times New Roman" w:eastAsia="宋体" w:cs="Times New Roman"/>
                <w:color w:val="0000FF"/>
                <w:sz w:val="21"/>
                <w:szCs w:val="21"/>
                <w:lang w:val="en-US" w:eastAsia="zh-CN"/>
              </w:rPr>
              <w:t>1.8</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0.0023</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14.48 </w:t>
            </w:r>
          </w:p>
        </w:tc>
        <w:tc>
          <w:tcPr>
            <w:tcW w:w="48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20</w:t>
            </w: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汛期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20</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1.1</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0.0035</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15.80 </w:t>
            </w:r>
          </w:p>
        </w:tc>
        <w:tc>
          <w:tcPr>
            <w:tcW w:w="48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r>
              <w:rPr>
                <w:rFonts w:hint="default" w:ascii="Times New Roman" w:eastAsia="宋体" w:cs="Times New Roman"/>
                <w:color w:val="0000FF"/>
                <w:sz w:val="21"/>
                <w:szCs w:val="21"/>
              </w:rPr>
              <w:t>氨氮</w:t>
            </w: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枯期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0.55</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0.56</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0.0023</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0.55 </w:t>
            </w:r>
          </w:p>
        </w:tc>
        <w:tc>
          <w:tcPr>
            <w:tcW w:w="48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1</w:t>
            </w: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汛期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0.55</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0.218</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0.0035</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0.48 </w:t>
            </w:r>
          </w:p>
        </w:tc>
        <w:tc>
          <w:tcPr>
            <w:tcW w:w="48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r>
              <w:rPr>
                <w:rFonts w:hint="eastAsia" w:ascii="Times New Roman" w:eastAsia="宋体" w:cs="Times New Roman"/>
                <w:color w:val="0000FF"/>
                <w:sz w:val="21"/>
                <w:szCs w:val="21"/>
              </w:rPr>
              <w:t>总磷</w:t>
            </w: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枯期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0.1</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0.01</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0.0023</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0.07 </w:t>
            </w:r>
          </w:p>
        </w:tc>
        <w:tc>
          <w:tcPr>
            <w:tcW w:w="48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0.2</w:t>
            </w: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汛期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0.1</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0.01</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0.0035</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0.08 </w:t>
            </w:r>
          </w:p>
        </w:tc>
        <w:tc>
          <w:tcPr>
            <w:tcW w:w="48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restar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r>
              <w:rPr>
                <w:rFonts w:hint="eastAsia" w:ascii="Times New Roman" w:eastAsia="宋体" w:cs="Times New Roman"/>
                <w:color w:val="0000FF"/>
                <w:sz w:val="21"/>
                <w:szCs w:val="21"/>
              </w:rPr>
              <w:t>总氮</w:t>
            </w: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枯期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0.94</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0.8</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0.0023</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0.90 </w:t>
            </w:r>
          </w:p>
        </w:tc>
        <w:tc>
          <w:tcPr>
            <w:tcW w:w="483"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eastAsia"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1</w:t>
            </w: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2"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color w:val="0000FF"/>
                <w:sz w:val="21"/>
                <w:szCs w:val="21"/>
                <w:lang w:val="en-US" w:eastAsia="zh-CN"/>
              </w:rPr>
            </w:pPr>
          </w:p>
        </w:tc>
        <w:tc>
          <w:tcPr>
            <w:tcW w:w="424" w:type="pct"/>
            <w:vMerge w:val="continue"/>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ascii="Times New Roman" w:eastAsia="宋体" w:cs="Times New Roman"/>
                <w:color w:val="0000FF"/>
                <w:sz w:val="21"/>
                <w:szCs w:val="21"/>
              </w:rPr>
            </w:pPr>
          </w:p>
        </w:tc>
        <w:tc>
          <w:tcPr>
            <w:tcW w:w="408"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cs="Times New Roman"/>
                <w:color w:val="0000FF"/>
                <w:sz w:val="21"/>
                <w:szCs w:val="21"/>
                <w:lang w:val="en-US" w:eastAsia="zh-CN"/>
              </w:rPr>
            </w:pPr>
            <w:r>
              <w:rPr>
                <w:rFonts w:hint="eastAsia" w:ascii="Times New Roman" w:cs="Times New Roman"/>
                <w:color w:val="0000FF"/>
                <w:sz w:val="21"/>
                <w:szCs w:val="21"/>
                <w:lang w:val="en-US" w:eastAsia="zh-CN"/>
              </w:rPr>
              <w:t>汛期</w:t>
            </w:r>
          </w:p>
        </w:tc>
        <w:tc>
          <w:tcPr>
            <w:tcW w:w="520"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0.94</w:t>
            </w:r>
          </w:p>
        </w:tc>
        <w:tc>
          <w:tcPr>
            <w:tcW w:w="566"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w:t>
            </w:r>
          </w:p>
        </w:tc>
        <w:tc>
          <w:tcPr>
            <w:tcW w:w="592" w:type="pct"/>
            <w:vAlign w:val="center"/>
          </w:tcPr>
          <w:p>
            <w:pPr>
              <w:pStyle w:val="51"/>
              <w:keepNext w:val="0"/>
              <w:keepLines w:val="0"/>
              <w:pageBreakBefore w:val="0"/>
              <w:widowControl w:val="0"/>
              <w:tabs>
                <w:tab w:val="left" w:pos="4404"/>
              </w:tabs>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0.0035</w:t>
            </w:r>
          </w:p>
        </w:tc>
        <w:tc>
          <w:tcPr>
            <w:tcW w:w="59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eastAsia" w:ascii="Times New Roman" w:eastAsia="宋体" w:cs="Times New Roman"/>
                <w:color w:val="0000FF"/>
                <w:sz w:val="21"/>
                <w:szCs w:val="21"/>
                <w:lang w:val="en-US" w:eastAsia="zh-CN"/>
              </w:rPr>
            </w:pPr>
            <w:r>
              <w:rPr>
                <w:rFonts w:hint="eastAsia" w:ascii="Times New Roman" w:cs="Times New Roman"/>
                <w:color w:val="0000FF"/>
                <w:sz w:val="21"/>
                <w:szCs w:val="21"/>
                <w:lang w:val="en-US" w:eastAsia="zh-CN"/>
              </w:rPr>
              <w:t>0.001</w:t>
            </w:r>
          </w:p>
        </w:tc>
        <w:tc>
          <w:tcPr>
            <w:tcW w:w="109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w:t>
            </w:r>
          </w:p>
        </w:tc>
        <w:tc>
          <w:tcPr>
            <w:tcW w:w="483"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377"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w:t>
            </w:r>
          </w:p>
        </w:tc>
      </w:tr>
    </w:tbl>
    <w:p>
      <w:pPr>
        <w:keepNext w:val="0"/>
        <w:keepLines w:val="0"/>
        <w:pageBreakBefore w:val="0"/>
        <w:widowControl/>
        <w:suppressLineNumbers w:val="0"/>
        <w:kinsoku/>
        <w:wordWrap/>
        <w:overflowPunct/>
        <w:topLinePunct w:val="0"/>
        <w:autoSpaceDE/>
        <w:autoSpaceDN/>
        <w:bidi w:val="0"/>
        <w:adjustRightInd/>
        <w:snapToGrid w:val="0"/>
        <w:spacing w:line="360" w:lineRule="auto"/>
        <w:ind w:left="0" w:leftChars="0" w:firstLine="480" w:firstLineChars="200"/>
        <w:jc w:val="left"/>
        <w:textAlignment w:val="auto"/>
        <w:rPr>
          <w:rFonts w:hint="default" w:ascii="Times New Roman" w:hAnsi="Times New Roman" w:cs="Times New Roman"/>
          <w:b w:val="0"/>
          <w:bCs w:val="0"/>
          <w:color w:val="0000FF"/>
          <w:kern w:val="0"/>
          <w:sz w:val="24"/>
          <w:szCs w:val="24"/>
          <w:lang w:val="en-US" w:eastAsia="zh-CN" w:bidi="ar"/>
        </w:rPr>
      </w:pPr>
      <w:r>
        <w:rPr>
          <w:rFonts w:hint="default" w:ascii="Times New Roman" w:hAnsi="Times New Roman" w:cs="Times New Roman"/>
          <w:color w:val="0000FF"/>
          <w:kern w:val="0"/>
          <w:sz w:val="24"/>
          <w:szCs w:val="24"/>
          <w:lang w:val="en-US" w:eastAsia="zh-CN" w:bidi="ar"/>
        </w:rPr>
        <w:t>由上表可知：本项目补水混合后，水平石水库、姜中水库、李官坟水库化学需氧量、氨氮、总磷、总氮均能达到《地表水环境质量标准》（GB3838-2002）Ⅲ类水质标准要求；界牌箐水库</w:t>
      </w:r>
      <w:r>
        <w:rPr>
          <w:rFonts w:hint="default" w:ascii="Times New Roman" w:hAnsi="Times New Roman" w:cs="Times New Roman"/>
          <w:b w:val="0"/>
          <w:bCs w:val="0"/>
          <w:color w:val="0000FF"/>
          <w:kern w:val="0"/>
          <w:sz w:val="24"/>
          <w:szCs w:val="24"/>
          <w:lang w:val="en-US" w:eastAsia="zh-CN" w:bidi="ar"/>
        </w:rPr>
        <w:t>化学需氧量枯期超标0.53倍，汛期超标0.66倍；氨氮枯期超标0.94倍，汛期超标1倍</w:t>
      </w:r>
      <w:r>
        <w:rPr>
          <w:rFonts w:hint="eastAsia" w:ascii="Times New Roman" w:hAnsi="Times New Roman" w:cs="Times New Roman"/>
          <w:b w:val="0"/>
          <w:bCs w:val="0"/>
          <w:color w:val="0000FF"/>
          <w:kern w:val="0"/>
          <w:sz w:val="24"/>
          <w:szCs w:val="24"/>
          <w:lang w:val="en-US" w:eastAsia="zh-CN" w:bidi="ar"/>
        </w:rPr>
        <w:t>；总氮枯期超标倍数为3.57倍。</w:t>
      </w:r>
      <w:r>
        <w:rPr>
          <w:rFonts w:hint="default" w:ascii="Times New Roman" w:hAnsi="Times New Roman" w:cs="Times New Roman"/>
          <w:b w:val="0"/>
          <w:bCs w:val="0"/>
          <w:color w:val="0000FF"/>
          <w:kern w:val="0"/>
          <w:sz w:val="24"/>
          <w:szCs w:val="24"/>
          <w:lang w:val="en-US" w:eastAsia="zh-CN" w:bidi="ar"/>
        </w:rPr>
        <w:t>对比混合前，超标倍数降低。</w:t>
      </w:r>
    </w:p>
    <w:p>
      <w:pPr>
        <w:keepNext w:val="0"/>
        <w:keepLines w:val="0"/>
        <w:widowControl/>
        <w:suppressLineNumbers w:val="0"/>
        <w:jc w:val="left"/>
        <w:rPr>
          <w:rFonts w:hint="default" w:ascii="Times New Roman" w:hAnsi="Times New Roman" w:cs="Times New Roman"/>
          <w:b w:val="0"/>
          <w:bCs w:val="0"/>
          <w:color w:val="0000FF"/>
          <w:kern w:val="0"/>
          <w:sz w:val="24"/>
          <w:szCs w:val="24"/>
          <w:lang w:val="en-US" w:eastAsia="zh-CN" w:bidi="ar"/>
        </w:rPr>
      </w:pPr>
      <w:r>
        <w:rPr>
          <w:rFonts w:hint="default" w:ascii="Times New Roman" w:hAnsi="Times New Roman" w:cs="Times New Roman"/>
          <w:b w:val="0"/>
          <w:bCs w:val="0"/>
          <w:color w:val="0000FF"/>
          <w:kern w:val="0"/>
          <w:sz w:val="24"/>
          <w:szCs w:val="24"/>
          <w:lang w:val="en-US" w:eastAsia="zh-CN" w:bidi="ar"/>
        </w:rPr>
        <w:t>综上，本项目补水对受水区水库水质影响为有利的。</w:t>
      </w:r>
    </w:p>
    <w:p>
      <w:pPr>
        <w:keepNext w:val="0"/>
        <w:keepLines w:val="0"/>
        <w:widowControl/>
        <w:numPr>
          <w:numId w:val="0"/>
        </w:numPr>
        <w:suppressLineNumbers w:val="0"/>
        <w:ind w:left="480" w:leftChars="0"/>
        <w:jc w:val="left"/>
        <w:rPr>
          <w:rFonts w:hint="default"/>
          <w:color w:val="0000FF"/>
          <w:lang w:val="en-US" w:eastAsia="zh-CN"/>
        </w:rPr>
      </w:pPr>
      <w:r>
        <w:rPr>
          <w:rFonts w:hint="eastAsia" w:ascii="宋体" w:hAnsi="宋体" w:cs="宋体"/>
          <w:b/>
          <w:bCs/>
          <w:color w:val="0000FF"/>
          <w:kern w:val="0"/>
          <w:sz w:val="24"/>
          <w:szCs w:val="24"/>
          <w:lang w:val="en-US" w:eastAsia="zh-CN" w:bidi="ar"/>
        </w:rPr>
        <w:t>（3）受水区水体富营养化评价</w:t>
      </w:r>
    </w:p>
    <w:p>
      <w:pPr>
        <w:ind w:firstLine="480" w:firstLineChars="200"/>
        <w:rPr>
          <w:color w:val="0000FF"/>
          <w:highlight w:val="none"/>
        </w:rPr>
      </w:pPr>
      <w:r>
        <w:rPr>
          <w:rFonts w:hint="eastAsia"/>
          <w:color w:val="0000FF"/>
          <w:highlight w:val="none"/>
        </w:rPr>
        <w:t>根据《地表水环境质量评价办法（试行）》（环办[2011]22 号），湖库营养状态评价采用综合营养指数法（TLI（∑）评价。</w:t>
      </w:r>
    </w:p>
    <w:p>
      <w:pPr>
        <w:ind w:firstLine="480" w:firstLineChars="200"/>
        <w:rPr>
          <w:color w:val="0000FF"/>
          <w:highlight w:val="none"/>
        </w:rPr>
      </w:pPr>
      <w:r>
        <w:rPr>
          <w:rFonts w:hint="eastAsia"/>
          <w:color w:val="0000FF"/>
          <w:highlight w:val="none"/>
          <w:lang w:val="en-US" w:eastAsia="zh-CN"/>
        </w:rPr>
        <w:t>①</w:t>
      </w:r>
      <w:r>
        <w:rPr>
          <w:color w:val="0000FF"/>
          <w:highlight w:val="none"/>
        </w:rPr>
        <w:t>综合营养状态指数计算公式</w:t>
      </w:r>
    </w:p>
    <w:p>
      <w:pPr>
        <w:ind w:firstLine="480" w:firstLineChars="200"/>
        <w:rPr>
          <w:color w:val="0000FF"/>
          <w:highlight w:val="none"/>
        </w:rPr>
      </w:pPr>
      <w:r>
        <w:rPr>
          <w:color w:val="0000FF"/>
          <w:highlight w:val="none"/>
        </w:rPr>
        <w:t>综合营养状态指数采用卡尔森指数方法，计算公式如下：</w:t>
      </w:r>
    </w:p>
    <w:p>
      <w:pPr>
        <w:ind w:firstLine="480"/>
        <w:jc w:val="center"/>
        <w:rPr>
          <w:color w:val="0000FF"/>
          <w:highlight w:val="none"/>
        </w:rPr>
      </w:pPr>
      <w:r>
        <w:rPr>
          <w:rFonts w:eastAsia="仿宋"/>
          <w:color w:val="0000FF"/>
          <w:highlight w:val="none"/>
        </w:rPr>
        <w:object>
          <v:shape id="_x0000_i1030" o:spt="75" type="#_x0000_t75" style="height:34.5pt;width:96.75pt;" o:ole="t" fillcolor="#000011" filled="f" o:preferrelative="t" stroked="f" coordsize="21600,21600">
            <v:path/>
            <v:fill on="f" focussize="0,0"/>
            <v:stroke on="f"/>
            <v:imagedata r:id="rId88" o:title=""/>
            <o:lock v:ext="edit" aspectratio="t"/>
            <w10:wrap type="none"/>
            <w10:anchorlock/>
          </v:shape>
          <o:OLEObject Type="Embed" ProgID="Equation.3" ShapeID="_x0000_i1030" DrawAspect="Content" ObjectID="_1468075730" r:id="rId87">
            <o:LockedField>false</o:LockedField>
          </o:OLEObject>
        </w:object>
      </w:r>
    </w:p>
    <w:p>
      <w:pPr>
        <w:ind w:firstLine="480"/>
        <w:rPr>
          <w:color w:val="0000FF"/>
          <w:highlight w:val="none"/>
        </w:rPr>
      </w:pPr>
      <w:r>
        <w:rPr>
          <w:color w:val="0000FF"/>
          <w:highlight w:val="none"/>
        </w:rPr>
        <w:t>式中：TLI（∑）—综合营养状态指数；</w:t>
      </w:r>
    </w:p>
    <w:p>
      <w:pPr>
        <w:ind w:firstLine="480"/>
        <w:rPr>
          <w:color w:val="0000FF"/>
          <w:highlight w:val="none"/>
        </w:rPr>
      </w:pPr>
      <w:r>
        <w:rPr>
          <w:color w:val="0000FF"/>
          <w:highlight w:val="none"/>
        </w:rPr>
        <w:t xml:space="preserve">      Wj—第j种参数的营养状态指数的相关权重；</w:t>
      </w:r>
    </w:p>
    <w:p>
      <w:pPr>
        <w:ind w:firstLine="480"/>
        <w:rPr>
          <w:color w:val="0000FF"/>
          <w:highlight w:val="none"/>
        </w:rPr>
      </w:pPr>
      <w:r>
        <w:rPr>
          <w:color w:val="0000FF"/>
          <w:highlight w:val="none"/>
        </w:rPr>
        <w:t xml:space="preserve">      TLI（j）—代表第j种参数的营养状态指数。</w:t>
      </w:r>
    </w:p>
    <w:p>
      <w:pPr>
        <w:ind w:firstLine="480"/>
        <w:rPr>
          <w:color w:val="0000FF"/>
          <w:highlight w:val="none"/>
        </w:rPr>
      </w:pPr>
      <w:r>
        <w:rPr>
          <w:color w:val="0000FF"/>
          <w:highlight w:val="none"/>
        </w:rPr>
        <w:t>以chla作为基准参数，则第j种参数的归一化的相关权重计算公式为：</w:t>
      </w:r>
    </w:p>
    <w:p>
      <w:pPr>
        <w:ind w:firstLine="480"/>
        <w:jc w:val="center"/>
        <w:rPr>
          <w:color w:val="0000FF"/>
          <w:highlight w:val="none"/>
        </w:rPr>
      </w:pPr>
      <w:r>
        <w:rPr>
          <w:rFonts w:eastAsia="仿宋"/>
          <w:color w:val="0000FF"/>
          <w:highlight w:val="none"/>
        </w:rPr>
        <w:object>
          <v:shape id="_x0000_i1031" o:spt="75" type="#_x0000_t75" style="height:52.5pt;width:59.25pt;" o:ole="t" fillcolor="#000011" filled="f" o:preferrelative="t" stroked="f" coordsize="21600,21600">
            <v:path/>
            <v:fill on="f" focussize="0,0"/>
            <v:stroke on="f"/>
            <v:imagedata r:id="rId90" o:title=""/>
            <o:lock v:ext="edit" aspectratio="t"/>
            <w10:wrap type="none"/>
            <w10:anchorlock/>
          </v:shape>
          <o:OLEObject Type="Embed" ProgID="Equation.3" ShapeID="_x0000_i1031" DrawAspect="Content" ObjectID="_1468075731" r:id="rId89">
            <o:LockedField>false</o:LockedField>
          </o:OLEObject>
        </w:object>
      </w:r>
    </w:p>
    <w:p>
      <w:pPr>
        <w:ind w:firstLine="480"/>
        <w:rPr>
          <w:color w:val="0000FF"/>
          <w:highlight w:val="none"/>
        </w:rPr>
      </w:pPr>
      <w:r>
        <w:rPr>
          <w:color w:val="0000FF"/>
          <w:highlight w:val="none"/>
        </w:rPr>
        <w:t>式中：rij—第j种参数与基准参数chla的相关系数；</w:t>
      </w:r>
    </w:p>
    <w:p>
      <w:pPr>
        <w:ind w:firstLine="480"/>
        <w:rPr>
          <w:color w:val="0000FF"/>
          <w:highlight w:val="none"/>
        </w:rPr>
      </w:pPr>
      <w:r>
        <w:rPr>
          <w:color w:val="0000FF"/>
          <w:highlight w:val="none"/>
        </w:rPr>
        <w:t xml:space="preserve">      m—评价参数的个数。</w:t>
      </w:r>
    </w:p>
    <w:p>
      <w:pPr>
        <w:ind w:firstLine="480"/>
        <w:rPr>
          <w:color w:val="0000FF"/>
          <w:highlight w:val="none"/>
        </w:rPr>
      </w:pPr>
      <w:r>
        <w:rPr>
          <w:color w:val="0000FF"/>
          <w:highlight w:val="none"/>
        </w:rPr>
        <w:t>中国湖泊（水库）的chla与其它参数之间的相关关系rij及rij</w:t>
      </w:r>
      <w:r>
        <w:rPr>
          <w:color w:val="0000FF"/>
          <w:highlight w:val="none"/>
          <w:vertAlign w:val="superscript"/>
        </w:rPr>
        <w:t>2</w:t>
      </w:r>
      <w:r>
        <w:rPr>
          <w:color w:val="0000FF"/>
          <w:highlight w:val="none"/>
        </w:rPr>
        <w:t>见</w:t>
      </w:r>
      <w:r>
        <w:rPr>
          <w:rFonts w:hint="eastAsia"/>
          <w:color w:val="0000FF"/>
          <w:highlight w:val="none"/>
        </w:rPr>
        <w:t>下表</w:t>
      </w:r>
      <w:r>
        <w:rPr>
          <w:color w:val="0000FF"/>
          <w:highlight w:val="none"/>
        </w:rPr>
        <w:t>。</w:t>
      </w:r>
    </w:p>
    <w:p>
      <w:pPr>
        <w:pStyle w:val="121"/>
        <w:spacing w:line="240" w:lineRule="auto"/>
        <w:jc w:val="both"/>
        <w:rPr>
          <w:rFonts w:eastAsia="仿宋"/>
          <w:color w:val="0000FF"/>
          <w:highlight w:val="none"/>
        </w:rPr>
      </w:pPr>
      <w:r>
        <w:rPr>
          <w:rFonts w:hint="eastAsia"/>
          <w:color w:val="0000FF"/>
          <w:highlight w:val="none"/>
        </w:rPr>
        <w:t>表5.2.2-</w:t>
      </w:r>
      <w:r>
        <w:rPr>
          <w:rFonts w:hint="eastAsia"/>
          <w:color w:val="0000FF"/>
          <w:highlight w:val="none"/>
          <w:lang w:val="en-US" w:eastAsia="zh-CN"/>
        </w:rPr>
        <w:t>9</w:t>
      </w:r>
      <w:r>
        <w:rPr>
          <w:color w:val="0000FF"/>
          <w:highlight w:val="none"/>
        </w:rPr>
        <w:t xml:space="preserve">   中国湖泊（水库）部分参数与chla的相关关系rij及rij</w:t>
      </w:r>
      <w:r>
        <w:rPr>
          <w:color w:val="0000FF"/>
          <w:highlight w:val="none"/>
          <w:vertAlign w:val="superscript"/>
        </w:rPr>
        <w:t>2</w:t>
      </w:r>
      <w:r>
        <w:rPr>
          <w:color w:val="0000FF"/>
          <w:highlight w:val="none"/>
        </w:rPr>
        <w:t>值</w:t>
      </w:r>
    </w:p>
    <w:tbl>
      <w:tblPr>
        <w:tblStyle w:val="29"/>
        <w:tblW w:w="0" w:type="auto"/>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9"/>
        <w:gridCol w:w="1340"/>
        <w:gridCol w:w="1340"/>
        <w:gridCol w:w="1340"/>
        <w:gridCol w:w="1340"/>
        <w:gridCol w:w="1340"/>
      </w:tblGrid>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9"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参数</w:t>
            </w:r>
          </w:p>
        </w:tc>
        <w:tc>
          <w:tcPr>
            <w:tcW w:w="1340"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Chla</w:t>
            </w:r>
          </w:p>
        </w:tc>
        <w:tc>
          <w:tcPr>
            <w:tcW w:w="1340"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TP</w:t>
            </w:r>
          </w:p>
        </w:tc>
        <w:tc>
          <w:tcPr>
            <w:tcW w:w="1340"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TN</w:t>
            </w:r>
          </w:p>
        </w:tc>
        <w:tc>
          <w:tcPr>
            <w:tcW w:w="1340"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SD</w:t>
            </w:r>
          </w:p>
        </w:tc>
        <w:tc>
          <w:tcPr>
            <w:tcW w:w="1340"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COD</w:t>
            </w:r>
            <w:r>
              <w:rPr>
                <w:rFonts w:ascii="Times New Roman" w:hAnsi="Times New Roman"/>
                <w:color w:val="0000FF"/>
                <w:highlight w:val="none"/>
                <w:vertAlign w:val="subscript"/>
              </w:rPr>
              <w:t>Mn</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9"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r</w:t>
            </w:r>
            <w:r>
              <w:rPr>
                <w:rFonts w:ascii="Times New Roman" w:hAnsi="Times New Roman"/>
                <w:color w:val="0000FF"/>
                <w:highlight w:val="none"/>
                <w:vertAlign w:val="subscript"/>
              </w:rPr>
              <w:t>ij</w:t>
            </w:r>
          </w:p>
        </w:tc>
        <w:tc>
          <w:tcPr>
            <w:tcW w:w="1340"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1</w:t>
            </w:r>
          </w:p>
        </w:tc>
        <w:tc>
          <w:tcPr>
            <w:tcW w:w="1340"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0.84</w:t>
            </w:r>
          </w:p>
        </w:tc>
        <w:tc>
          <w:tcPr>
            <w:tcW w:w="1340"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0.82</w:t>
            </w:r>
          </w:p>
        </w:tc>
        <w:tc>
          <w:tcPr>
            <w:tcW w:w="1340"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-0.83</w:t>
            </w:r>
          </w:p>
        </w:tc>
        <w:tc>
          <w:tcPr>
            <w:tcW w:w="1340"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0.83</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9"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r</w:t>
            </w:r>
            <w:r>
              <w:rPr>
                <w:rFonts w:ascii="Times New Roman" w:hAnsi="Times New Roman"/>
                <w:color w:val="0000FF"/>
                <w:highlight w:val="none"/>
                <w:vertAlign w:val="subscript"/>
              </w:rPr>
              <w:t>ij</w:t>
            </w:r>
            <w:r>
              <w:rPr>
                <w:rFonts w:ascii="Times New Roman" w:hAnsi="Times New Roman"/>
                <w:color w:val="0000FF"/>
                <w:highlight w:val="none"/>
                <w:vertAlign w:val="superscript"/>
              </w:rPr>
              <w:t>2</w:t>
            </w:r>
          </w:p>
        </w:tc>
        <w:tc>
          <w:tcPr>
            <w:tcW w:w="1340"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1</w:t>
            </w:r>
          </w:p>
        </w:tc>
        <w:tc>
          <w:tcPr>
            <w:tcW w:w="1340"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0.7056</w:t>
            </w:r>
          </w:p>
        </w:tc>
        <w:tc>
          <w:tcPr>
            <w:tcW w:w="1340"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0.6724</w:t>
            </w:r>
          </w:p>
        </w:tc>
        <w:tc>
          <w:tcPr>
            <w:tcW w:w="1340"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0.6889</w:t>
            </w:r>
          </w:p>
        </w:tc>
        <w:tc>
          <w:tcPr>
            <w:tcW w:w="1340" w:type="dxa"/>
            <w:tcBorders>
              <w:top w:val="single" w:color="auto" w:sz="4" w:space="0"/>
              <w:left w:val="single" w:color="auto" w:sz="4" w:space="0"/>
              <w:bottom w:val="single" w:color="auto" w:sz="4" w:space="0"/>
              <w:right w:val="single" w:color="auto" w:sz="4" w:space="0"/>
            </w:tcBorders>
            <w:noWrap w:val="0"/>
            <w:vAlign w:val="center"/>
          </w:tcPr>
          <w:p>
            <w:pPr>
              <w:pStyle w:val="122"/>
              <w:rPr>
                <w:rFonts w:ascii="Times New Roman" w:hAnsi="Times New Roman"/>
                <w:color w:val="0000FF"/>
                <w:highlight w:val="none"/>
              </w:rPr>
            </w:pPr>
            <w:r>
              <w:rPr>
                <w:rFonts w:ascii="Times New Roman" w:hAnsi="Times New Roman"/>
                <w:color w:val="0000FF"/>
                <w:highlight w:val="none"/>
              </w:rPr>
              <w:t>0.6889</w:t>
            </w:r>
          </w:p>
        </w:tc>
      </w:tr>
    </w:tbl>
    <w:p>
      <w:pPr>
        <w:ind w:firstLine="480"/>
        <w:rPr>
          <w:color w:val="0000FF"/>
          <w:szCs w:val="28"/>
          <w:highlight w:val="none"/>
        </w:rPr>
      </w:pPr>
      <w:r>
        <w:rPr>
          <w:rFonts w:hint="eastAsia"/>
          <w:color w:val="0000FF"/>
          <w:highlight w:val="none"/>
          <w:lang w:val="en-US" w:eastAsia="zh-CN"/>
        </w:rPr>
        <w:t>②</w:t>
      </w:r>
      <w:r>
        <w:rPr>
          <w:color w:val="0000FF"/>
          <w:highlight w:val="none"/>
        </w:rPr>
        <w:t>单个项目营养状态指数计算公式</w:t>
      </w:r>
    </w:p>
    <w:p>
      <w:pPr>
        <w:ind w:firstLine="480"/>
        <w:rPr>
          <w:color w:val="0000FF"/>
          <w:highlight w:val="none"/>
        </w:rPr>
      </w:pPr>
      <w:r>
        <w:rPr>
          <w:color w:val="0000FF"/>
          <w:highlight w:val="none"/>
        </w:rPr>
        <w:t>TLI（chla）=10（2.5+1.086lnchla）</w:t>
      </w:r>
    </w:p>
    <w:p>
      <w:pPr>
        <w:ind w:firstLine="480"/>
        <w:rPr>
          <w:color w:val="0000FF"/>
          <w:highlight w:val="none"/>
        </w:rPr>
      </w:pPr>
      <w:r>
        <w:rPr>
          <w:color w:val="0000FF"/>
          <w:highlight w:val="none"/>
        </w:rPr>
        <w:t>TLI（TP）=10（9.436+1.624lnTP）</w:t>
      </w:r>
    </w:p>
    <w:p>
      <w:pPr>
        <w:ind w:firstLine="480"/>
        <w:rPr>
          <w:color w:val="0000FF"/>
          <w:highlight w:val="none"/>
        </w:rPr>
      </w:pPr>
      <w:r>
        <w:rPr>
          <w:color w:val="0000FF"/>
          <w:highlight w:val="none"/>
        </w:rPr>
        <w:t>TLI（TN）=10（5.453+1.694lnTN）</w:t>
      </w:r>
    </w:p>
    <w:p>
      <w:pPr>
        <w:ind w:firstLine="480"/>
        <w:rPr>
          <w:color w:val="0000FF"/>
          <w:highlight w:val="none"/>
        </w:rPr>
      </w:pPr>
      <w:r>
        <w:rPr>
          <w:color w:val="0000FF"/>
          <w:highlight w:val="none"/>
        </w:rPr>
        <w:t>TLI（SD）=10（5.118-1.94lnSD）</w:t>
      </w:r>
    </w:p>
    <w:p>
      <w:pPr>
        <w:ind w:firstLine="480"/>
        <w:rPr>
          <w:color w:val="0000FF"/>
          <w:highlight w:val="none"/>
        </w:rPr>
      </w:pPr>
      <w:r>
        <w:rPr>
          <w:color w:val="0000FF"/>
          <w:highlight w:val="none"/>
        </w:rPr>
        <w:t>TLI（COD</w:t>
      </w:r>
      <w:r>
        <w:rPr>
          <w:color w:val="0000FF"/>
          <w:highlight w:val="none"/>
          <w:vertAlign w:val="subscript"/>
        </w:rPr>
        <w:t>Mn</w:t>
      </w:r>
      <w:r>
        <w:rPr>
          <w:color w:val="0000FF"/>
          <w:highlight w:val="none"/>
        </w:rPr>
        <w:t>）=10（0.109+2.661lnCOD</w:t>
      </w:r>
      <w:r>
        <w:rPr>
          <w:color w:val="0000FF"/>
          <w:highlight w:val="none"/>
          <w:vertAlign w:val="subscript"/>
        </w:rPr>
        <w:t>Mn</w:t>
      </w:r>
      <w:r>
        <w:rPr>
          <w:color w:val="0000FF"/>
          <w:highlight w:val="none"/>
        </w:rPr>
        <w:t>）</w:t>
      </w:r>
    </w:p>
    <w:p>
      <w:pPr>
        <w:ind w:firstLine="480"/>
        <w:rPr>
          <w:color w:val="0000FF"/>
          <w:highlight w:val="none"/>
        </w:rPr>
      </w:pPr>
      <w:r>
        <w:rPr>
          <w:color w:val="0000FF"/>
          <w:highlight w:val="none"/>
        </w:rPr>
        <w:t>式中：chla单位为mg/m</w:t>
      </w:r>
      <w:r>
        <w:rPr>
          <w:color w:val="0000FF"/>
          <w:highlight w:val="none"/>
          <w:vertAlign w:val="superscript"/>
        </w:rPr>
        <w:t>3</w:t>
      </w:r>
      <w:r>
        <w:rPr>
          <w:color w:val="0000FF"/>
          <w:highlight w:val="none"/>
        </w:rPr>
        <w:t>，SD单位为m；其它项目单位均为mg/L。</w:t>
      </w:r>
    </w:p>
    <w:p>
      <w:pPr>
        <w:ind w:firstLine="480" w:firstLineChars="200"/>
        <w:rPr>
          <w:color w:val="0000FF"/>
          <w:highlight w:val="none"/>
        </w:rPr>
      </w:pPr>
      <w:bookmarkStart w:id="606" w:name="_Toc272332644"/>
      <w:r>
        <w:rPr>
          <w:rFonts w:hint="eastAsia"/>
          <w:color w:val="0000FF"/>
          <w:highlight w:val="none"/>
          <w:lang w:val="en-US" w:eastAsia="zh-CN"/>
        </w:rPr>
        <w:t>③</w:t>
      </w:r>
      <w:r>
        <w:rPr>
          <w:color w:val="0000FF"/>
          <w:highlight w:val="none"/>
        </w:rPr>
        <w:t>湖泊水库营养状态分级</w:t>
      </w:r>
      <w:bookmarkEnd w:id="606"/>
    </w:p>
    <w:p>
      <w:pPr>
        <w:ind w:firstLine="480" w:firstLineChars="200"/>
        <w:rPr>
          <w:color w:val="0000FF"/>
          <w:highlight w:val="none"/>
        </w:rPr>
      </w:pPr>
      <w:r>
        <w:rPr>
          <w:color w:val="0000FF"/>
          <w:highlight w:val="none"/>
        </w:rPr>
        <w:t>采用0～100的一系列连续数字对湖泊营养状态进行分级，包括：贫营养、中营养、富营养、轻度富营养、中度富营养和重度富营养，与污染程度关系</w:t>
      </w:r>
      <w:r>
        <w:rPr>
          <w:rFonts w:hint="eastAsia"/>
          <w:color w:val="0000FF"/>
          <w:highlight w:val="none"/>
        </w:rPr>
        <w:t>详见下表。</w:t>
      </w:r>
    </w:p>
    <w:p>
      <w:pPr>
        <w:pStyle w:val="121"/>
        <w:spacing w:line="240" w:lineRule="auto"/>
        <w:ind w:firstLine="482"/>
        <w:rPr>
          <w:color w:val="0000FF"/>
          <w:highlight w:val="none"/>
        </w:rPr>
      </w:pPr>
      <w:r>
        <w:rPr>
          <w:rFonts w:hint="eastAsia"/>
          <w:color w:val="0000FF"/>
          <w:highlight w:val="none"/>
        </w:rPr>
        <w:t>表5.2.2-</w:t>
      </w:r>
      <w:r>
        <w:rPr>
          <w:rFonts w:hint="eastAsia"/>
          <w:color w:val="0000FF"/>
          <w:highlight w:val="none"/>
          <w:lang w:val="en-US" w:eastAsia="zh-CN"/>
        </w:rPr>
        <w:t>10</w:t>
      </w:r>
      <w:r>
        <w:rPr>
          <w:color w:val="0000FF"/>
          <w:highlight w:val="none"/>
        </w:rPr>
        <w:t xml:space="preserve">  水质类别与评分值对应表</w:t>
      </w:r>
    </w:p>
    <w:tbl>
      <w:tblPr>
        <w:tblStyle w:val="2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2"/>
        <w:gridCol w:w="2906"/>
        <w:gridCol w:w="27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3"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营养状态分级</w:t>
            </w:r>
          </w:p>
        </w:tc>
        <w:tc>
          <w:tcPr>
            <w:tcW w:w="1705"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评分值TLI（∑）</w:t>
            </w:r>
          </w:p>
        </w:tc>
        <w:tc>
          <w:tcPr>
            <w:tcW w:w="1591"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定性评价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3"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贫营养</w:t>
            </w:r>
          </w:p>
        </w:tc>
        <w:tc>
          <w:tcPr>
            <w:tcW w:w="1705"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0＜TLI（∑）≤30</w:t>
            </w:r>
          </w:p>
        </w:tc>
        <w:tc>
          <w:tcPr>
            <w:tcW w:w="1591"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3"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中营养</w:t>
            </w:r>
          </w:p>
        </w:tc>
        <w:tc>
          <w:tcPr>
            <w:tcW w:w="1705"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30＜TLI（∑）≤50</w:t>
            </w:r>
          </w:p>
        </w:tc>
        <w:tc>
          <w:tcPr>
            <w:tcW w:w="1591"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良好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3"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（轻度）富营养</w:t>
            </w:r>
          </w:p>
        </w:tc>
        <w:tc>
          <w:tcPr>
            <w:tcW w:w="1705"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50＜TLI（∑）≤60</w:t>
            </w:r>
          </w:p>
        </w:tc>
        <w:tc>
          <w:tcPr>
            <w:tcW w:w="1591"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轻度污染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3"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（中度）富营养</w:t>
            </w:r>
          </w:p>
        </w:tc>
        <w:tc>
          <w:tcPr>
            <w:tcW w:w="1705"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60＜TLI（∑）≤70</w:t>
            </w:r>
          </w:p>
        </w:tc>
        <w:tc>
          <w:tcPr>
            <w:tcW w:w="1591"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中度污染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3"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（重度）富营养</w:t>
            </w:r>
          </w:p>
        </w:tc>
        <w:tc>
          <w:tcPr>
            <w:tcW w:w="1705"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70＜TLI（∑）≤100</w:t>
            </w:r>
          </w:p>
        </w:tc>
        <w:tc>
          <w:tcPr>
            <w:tcW w:w="1591" w:type="pct"/>
            <w:tcBorders>
              <w:top w:val="single" w:color="auto" w:sz="4" w:space="0"/>
              <w:left w:val="single" w:color="auto" w:sz="4" w:space="0"/>
              <w:bottom w:val="single" w:color="auto" w:sz="4" w:space="0"/>
              <w:right w:val="single" w:color="auto" w:sz="4" w:space="0"/>
            </w:tcBorders>
            <w:noWrap w:val="0"/>
            <w:vAlign w:val="center"/>
          </w:tcPr>
          <w:p>
            <w:pPr>
              <w:pStyle w:val="123"/>
              <w:spacing w:line="240" w:lineRule="auto"/>
              <w:jc w:val="center"/>
              <w:rPr>
                <w:rFonts w:ascii="Times New Roman" w:hAnsi="Times New Roman"/>
                <w:color w:val="0000FF"/>
                <w:sz w:val="21"/>
                <w:szCs w:val="21"/>
                <w:highlight w:val="none"/>
              </w:rPr>
            </w:pPr>
            <w:r>
              <w:rPr>
                <w:rFonts w:ascii="Times New Roman" w:hAnsi="Times New Roman"/>
                <w:color w:val="0000FF"/>
                <w:sz w:val="21"/>
                <w:szCs w:val="21"/>
                <w:highlight w:val="none"/>
              </w:rPr>
              <w:t>重度污染</w:t>
            </w:r>
          </w:p>
        </w:tc>
      </w:tr>
    </w:tbl>
    <w:p>
      <w:pPr>
        <w:ind w:firstLine="480" w:firstLineChars="200"/>
        <w:rPr>
          <w:color w:val="0000FF"/>
          <w:highlight w:val="none"/>
        </w:rPr>
      </w:pPr>
      <w:r>
        <w:rPr>
          <w:rFonts w:hint="eastAsia"/>
          <w:color w:val="0000FF"/>
          <w:highlight w:val="none"/>
        </w:rPr>
        <w:t>根据上述公式，</w:t>
      </w:r>
      <w:r>
        <w:rPr>
          <w:rFonts w:hint="eastAsia"/>
          <w:color w:val="0000FF"/>
          <w:highlight w:val="none"/>
          <w:lang w:val="en-US" w:eastAsia="zh-CN"/>
        </w:rPr>
        <w:t>选取受水区现状水质监测及接受补水后枯期水质数据进行水库</w:t>
      </w:r>
      <w:r>
        <w:rPr>
          <w:rFonts w:hint="eastAsia"/>
          <w:color w:val="0000FF"/>
          <w:highlight w:val="none"/>
        </w:rPr>
        <w:t>的富营养化状况</w:t>
      </w:r>
      <w:r>
        <w:rPr>
          <w:rFonts w:hint="eastAsia"/>
          <w:color w:val="0000FF"/>
          <w:highlight w:val="none"/>
          <w:lang w:val="en-US" w:eastAsia="zh-CN"/>
        </w:rPr>
        <w:t>评价，详见</w:t>
      </w:r>
      <w:r>
        <w:rPr>
          <w:rFonts w:hint="eastAsia"/>
          <w:color w:val="0000FF"/>
          <w:highlight w:val="none"/>
        </w:rPr>
        <w:t>下表。</w:t>
      </w:r>
    </w:p>
    <w:p>
      <w:pPr>
        <w:spacing w:line="240" w:lineRule="auto"/>
        <w:jc w:val="center"/>
        <w:rPr>
          <w:rFonts w:hint="default" w:eastAsia="宋体"/>
          <w:b/>
          <w:bCs/>
          <w:color w:val="0000FF"/>
          <w:highlight w:val="none"/>
          <w:lang w:val="en-US" w:eastAsia="zh-CN"/>
        </w:rPr>
      </w:pPr>
      <w:r>
        <w:rPr>
          <w:rFonts w:hint="eastAsia"/>
          <w:b/>
          <w:bCs/>
          <w:color w:val="0000FF"/>
          <w:highlight w:val="none"/>
        </w:rPr>
        <w:t>表5.2.2-</w:t>
      </w:r>
      <w:r>
        <w:rPr>
          <w:rFonts w:hint="eastAsia"/>
          <w:b/>
          <w:bCs/>
          <w:color w:val="0000FF"/>
          <w:highlight w:val="none"/>
          <w:lang w:val="en-US" w:eastAsia="zh-CN"/>
        </w:rPr>
        <w:t>11</w:t>
      </w:r>
      <w:r>
        <w:rPr>
          <w:b/>
          <w:bCs/>
          <w:color w:val="0000FF"/>
          <w:highlight w:val="none"/>
        </w:rPr>
        <w:t xml:space="preserve"> </w:t>
      </w:r>
      <w:r>
        <w:rPr>
          <w:rFonts w:hint="eastAsia"/>
          <w:b/>
          <w:bCs/>
          <w:color w:val="0000FF"/>
          <w:highlight w:val="none"/>
        </w:rPr>
        <w:t xml:space="preserve"> </w:t>
      </w:r>
      <w:r>
        <w:rPr>
          <w:b/>
          <w:bCs/>
          <w:color w:val="0000FF"/>
          <w:highlight w:val="none"/>
        </w:rPr>
        <w:t xml:space="preserve"> </w:t>
      </w:r>
      <w:r>
        <w:rPr>
          <w:rFonts w:hint="eastAsia"/>
          <w:b/>
          <w:bCs/>
          <w:color w:val="0000FF"/>
          <w:highlight w:val="none"/>
          <w:lang w:val="en-US" w:eastAsia="zh-CN"/>
        </w:rPr>
        <w:t>水库</w:t>
      </w:r>
      <w:r>
        <w:rPr>
          <w:rFonts w:hint="eastAsia"/>
          <w:b/>
          <w:bCs/>
          <w:color w:val="0000FF"/>
          <w:highlight w:val="none"/>
        </w:rPr>
        <w:t>富营养化状况</w:t>
      </w:r>
    </w:p>
    <w:tbl>
      <w:tblPr>
        <w:tblStyle w:val="2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15" w:type="dxa"/>
          <w:left w:w="15" w:type="dxa"/>
          <w:bottom w:w="15" w:type="dxa"/>
          <w:right w:w="15" w:type="dxa"/>
        </w:tblCellMar>
      </w:tblPr>
      <w:tblGrid>
        <w:gridCol w:w="612"/>
        <w:gridCol w:w="1288"/>
        <w:gridCol w:w="1038"/>
        <w:gridCol w:w="1163"/>
        <w:gridCol w:w="1016"/>
        <w:gridCol w:w="1038"/>
        <w:gridCol w:w="1163"/>
        <w:gridCol w:w="101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108" w:hRule="atLeast"/>
        </w:trPr>
        <w:tc>
          <w:tcPr>
            <w:tcW w:w="367"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FF"/>
                <w:kern w:val="0"/>
                <w:sz w:val="21"/>
                <w:szCs w:val="21"/>
                <w:highlight w:val="none"/>
                <w:lang w:val="en-US" w:eastAsia="zh-CN"/>
              </w:rPr>
            </w:pPr>
            <w:r>
              <w:rPr>
                <w:rFonts w:hint="eastAsia" w:ascii="Times New Roman" w:hAnsi="Times New Roman" w:cs="Times New Roman"/>
                <w:color w:val="0000FF"/>
                <w:kern w:val="0"/>
                <w:sz w:val="21"/>
                <w:szCs w:val="21"/>
                <w:highlight w:val="none"/>
                <w:lang w:val="en-US" w:eastAsia="zh-CN"/>
              </w:rPr>
              <w:t>水库名称</w:t>
            </w: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s="Times New Roman"/>
                <w:color w:val="0000FF"/>
                <w:kern w:val="0"/>
                <w:sz w:val="21"/>
                <w:szCs w:val="21"/>
                <w:highlight w:val="none"/>
              </w:rPr>
            </w:pPr>
            <w:r>
              <w:rPr>
                <w:rFonts w:ascii="Times New Roman" w:hAnsi="Times New Roman" w:cs="Times New Roman"/>
                <w:color w:val="0000FF"/>
                <w:kern w:val="0"/>
                <w:sz w:val="21"/>
                <w:szCs w:val="21"/>
                <w:highlight w:val="none"/>
              </w:rPr>
              <w:t>污染物</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s="Times New Roman"/>
                <w:color w:val="0000FF"/>
                <w:sz w:val="21"/>
                <w:szCs w:val="21"/>
                <w:highlight w:val="none"/>
              </w:rPr>
            </w:pPr>
            <w:r>
              <w:rPr>
                <w:rFonts w:hint="eastAsia" w:ascii="Times New Roman" w:hAnsi="Times New Roman" w:cs="Times New Roman"/>
                <w:color w:val="0000FF"/>
                <w:kern w:val="0"/>
                <w:sz w:val="21"/>
                <w:szCs w:val="21"/>
                <w:highlight w:val="none"/>
                <w:lang w:val="en-US" w:eastAsia="zh-CN"/>
              </w:rPr>
              <w:t>补水前</w:t>
            </w:r>
            <w:r>
              <w:rPr>
                <w:rFonts w:hint="eastAsia" w:ascii="Times New Roman" w:hAnsi="Times New Roman" w:cs="Times New Roman"/>
                <w:color w:val="0000FF"/>
                <w:kern w:val="0"/>
                <w:sz w:val="21"/>
                <w:szCs w:val="21"/>
                <w:highlight w:val="none"/>
              </w:rPr>
              <w:t>污染物浓度</w:t>
            </w:r>
          </w:p>
        </w:tc>
        <w:tc>
          <w:tcPr>
            <w:tcW w:w="697"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FF"/>
                <w:kern w:val="0"/>
                <w:sz w:val="21"/>
                <w:szCs w:val="21"/>
                <w:highlight w:val="none"/>
                <w:lang w:val="en-US" w:eastAsia="zh-CN"/>
              </w:rPr>
            </w:pPr>
            <w:r>
              <w:rPr>
                <w:rFonts w:hint="eastAsia" w:ascii="Times New Roman" w:hAnsi="Times New Roman" w:cs="Times New Roman"/>
                <w:color w:val="0000FF"/>
                <w:kern w:val="0"/>
                <w:sz w:val="21"/>
                <w:szCs w:val="21"/>
                <w:highlight w:val="none"/>
                <w:lang w:val="en-US" w:eastAsia="zh-CN"/>
              </w:rPr>
              <w:t>补水前-富营养化指数</w:t>
            </w:r>
          </w:p>
        </w:tc>
        <w:tc>
          <w:tcPr>
            <w:tcW w:w="609"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FF"/>
                <w:kern w:val="0"/>
                <w:sz w:val="21"/>
                <w:szCs w:val="21"/>
                <w:highlight w:val="none"/>
                <w:lang w:val="en-US" w:eastAsia="zh-CN"/>
              </w:rPr>
            </w:pPr>
            <w:r>
              <w:rPr>
                <w:rFonts w:hint="eastAsia" w:ascii="Times New Roman" w:hAnsi="Times New Roman" w:cs="Times New Roman"/>
                <w:color w:val="0000FF"/>
                <w:kern w:val="0"/>
                <w:sz w:val="21"/>
                <w:szCs w:val="21"/>
                <w:highlight w:val="none"/>
                <w:lang w:val="en-US" w:eastAsia="zh-CN"/>
              </w:rPr>
              <w:t>补水前-富营养化评价</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0000FF"/>
                <w:kern w:val="0"/>
                <w:sz w:val="21"/>
                <w:szCs w:val="21"/>
                <w:highlight w:val="none"/>
                <w:lang w:val="en-US" w:eastAsia="zh-CN"/>
              </w:rPr>
            </w:pPr>
            <w:r>
              <w:rPr>
                <w:rFonts w:hint="eastAsia" w:ascii="Times New Roman" w:hAnsi="Times New Roman" w:cs="Times New Roman"/>
                <w:color w:val="0000FF"/>
                <w:kern w:val="0"/>
                <w:sz w:val="21"/>
                <w:szCs w:val="21"/>
                <w:highlight w:val="none"/>
                <w:lang w:val="en-US" w:eastAsia="zh-CN"/>
              </w:rPr>
              <w:t>补水后</w:t>
            </w:r>
            <w:r>
              <w:rPr>
                <w:rFonts w:hint="eastAsia" w:ascii="Times New Roman" w:hAnsi="Times New Roman" w:cs="Times New Roman"/>
                <w:color w:val="0000FF"/>
                <w:kern w:val="0"/>
                <w:sz w:val="21"/>
                <w:szCs w:val="21"/>
                <w:highlight w:val="none"/>
              </w:rPr>
              <w:t>污染物浓度</w:t>
            </w:r>
          </w:p>
        </w:tc>
        <w:tc>
          <w:tcPr>
            <w:tcW w:w="697"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color w:val="0000FF"/>
                <w:kern w:val="0"/>
                <w:sz w:val="21"/>
                <w:szCs w:val="21"/>
                <w:highlight w:val="none"/>
                <w:lang w:val="en-US" w:eastAsia="zh-CN"/>
              </w:rPr>
            </w:pPr>
            <w:r>
              <w:rPr>
                <w:rFonts w:hint="eastAsia" w:ascii="Times New Roman" w:hAnsi="Times New Roman" w:cs="Times New Roman"/>
                <w:color w:val="0000FF"/>
                <w:kern w:val="0"/>
                <w:sz w:val="21"/>
                <w:szCs w:val="21"/>
                <w:highlight w:val="none"/>
                <w:lang w:val="en-US" w:eastAsia="zh-CN"/>
              </w:rPr>
              <w:t>补水后-富营养化指数</w:t>
            </w:r>
          </w:p>
        </w:tc>
        <w:tc>
          <w:tcPr>
            <w:tcW w:w="610"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color w:val="0000FF"/>
                <w:kern w:val="0"/>
                <w:sz w:val="21"/>
                <w:szCs w:val="21"/>
                <w:highlight w:val="none"/>
                <w:lang w:val="en-US" w:eastAsia="zh-CN"/>
              </w:rPr>
            </w:pPr>
            <w:r>
              <w:rPr>
                <w:rFonts w:hint="eastAsia" w:ascii="Times New Roman" w:hAnsi="Times New Roman" w:cs="Times New Roman"/>
                <w:color w:val="0000FF"/>
                <w:kern w:val="0"/>
                <w:sz w:val="21"/>
                <w:szCs w:val="21"/>
                <w:highlight w:val="none"/>
                <w:lang w:val="en-US" w:eastAsia="zh-CN"/>
              </w:rPr>
              <w:t>补水后-富营养化评价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48" w:hRule="atLeast"/>
        </w:trPr>
        <w:tc>
          <w:tcPr>
            <w:tcW w:w="367"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界牌箐水库</w:t>
            </w: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ascii="Times New Roman" w:hAnsi="Times New Roman" w:cs="Times New Roman"/>
                <w:color w:val="0000FF"/>
                <w:sz w:val="21"/>
                <w:szCs w:val="21"/>
                <w:highlight w:val="none"/>
              </w:rPr>
            </w:pPr>
            <w:r>
              <w:rPr>
                <w:rFonts w:ascii="Times New Roman" w:hAnsi="Times New Roman" w:cs="Times New Roman"/>
                <w:color w:val="0000FF"/>
                <w:sz w:val="21"/>
                <w:szCs w:val="21"/>
                <w:highlight w:val="none"/>
              </w:rPr>
              <w:t>叶绿素</w:t>
            </w:r>
            <w:r>
              <w:rPr>
                <w:rFonts w:ascii="Times New Roman" w:hAnsi="Times New Roman"/>
                <w:color w:val="0000FF"/>
                <w:sz w:val="21"/>
                <w:szCs w:val="21"/>
                <w:highlight w:val="none"/>
              </w:rPr>
              <w:t>（mg/</w:t>
            </w:r>
            <w:r>
              <w:rPr>
                <w:rFonts w:hint="eastAsia" w:ascii="Times New Roman" w:hAnsi="Times New Roman"/>
                <w:color w:val="0000FF"/>
                <w:sz w:val="21"/>
                <w:szCs w:val="21"/>
                <w:highlight w:val="none"/>
              </w:rPr>
              <w:t>m</w:t>
            </w:r>
            <w:r>
              <w:rPr>
                <w:rFonts w:hint="eastAsia" w:ascii="Times New Roman" w:hAnsi="Times New Roman"/>
                <w:color w:val="0000FF"/>
                <w:sz w:val="21"/>
                <w:szCs w:val="21"/>
                <w:highlight w:val="none"/>
                <w:vertAlign w:val="superscript"/>
              </w:rPr>
              <w:t>3</w:t>
            </w:r>
            <w:r>
              <w:rPr>
                <w:rFonts w:ascii="Times New Roman" w:hAnsi="Times New Roman"/>
                <w:color w:val="0000FF"/>
                <w:sz w:val="21"/>
                <w:szCs w:val="21"/>
                <w:highlight w:val="none"/>
              </w:rPr>
              <w:t>）</w:t>
            </w:r>
          </w:p>
        </w:tc>
        <w:tc>
          <w:tcPr>
            <w:tcW w:w="62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color w:val="0000FF"/>
                <w:kern w:val="0"/>
                <w:sz w:val="21"/>
                <w:szCs w:val="21"/>
                <w:highlight w:val="none"/>
                <w:lang w:val="en-US" w:eastAsia="zh-CN"/>
              </w:rPr>
            </w:pPr>
            <w:r>
              <w:rPr>
                <w:rFonts w:hint="eastAsia" w:ascii="Times New Roman" w:hAnsi="Times New Roman" w:cs="Times New Roman"/>
                <w:color w:val="0000FF"/>
                <w:kern w:val="0"/>
                <w:sz w:val="21"/>
                <w:szCs w:val="21"/>
                <w:highlight w:val="none"/>
                <w:lang w:val="en-US" w:eastAsia="zh-CN"/>
              </w:rPr>
              <w:t>96.3</w:t>
            </w:r>
          </w:p>
        </w:tc>
        <w:tc>
          <w:tcPr>
            <w:tcW w:w="697"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0000FF"/>
                <w:kern w:val="0"/>
                <w:sz w:val="21"/>
                <w:szCs w:val="21"/>
                <w:highlight w:val="none"/>
                <w:lang w:val="en-US" w:eastAsia="zh-CN"/>
              </w:rPr>
            </w:pPr>
            <w:r>
              <w:rPr>
                <w:rFonts w:hint="eastAsia" w:ascii="Times New Roman" w:hAnsi="Times New Roman" w:cs="Times New Roman"/>
                <w:color w:val="0000FF"/>
                <w:kern w:val="0"/>
                <w:sz w:val="21"/>
                <w:szCs w:val="21"/>
                <w:highlight w:val="none"/>
                <w:lang w:val="en-US" w:eastAsia="zh-CN"/>
              </w:rPr>
              <w:t>77.33</w:t>
            </w:r>
          </w:p>
        </w:tc>
        <w:tc>
          <w:tcPr>
            <w:tcW w:w="609"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color w:val="0000FF"/>
                <w:kern w:val="0"/>
                <w:sz w:val="21"/>
                <w:szCs w:val="21"/>
                <w:highlight w:val="none"/>
                <w:lang w:val="en-US" w:eastAsia="zh-CN"/>
              </w:rPr>
            </w:pPr>
            <w:r>
              <w:rPr>
                <w:rFonts w:ascii="Times New Roman" w:hAnsi="Times New Roman"/>
                <w:color w:val="0000FF"/>
                <w:sz w:val="21"/>
                <w:szCs w:val="21"/>
                <w:highlight w:val="none"/>
              </w:rPr>
              <w:t>（重度）富营养</w:t>
            </w:r>
          </w:p>
        </w:tc>
        <w:tc>
          <w:tcPr>
            <w:tcW w:w="62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color w:val="0000FF"/>
                <w:kern w:val="0"/>
                <w:sz w:val="21"/>
                <w:szCs w:val="21"/>
                <w:highlight w:val="none"/>
                <w:lang w:val="en-US" w:eastAsia="zh-CN"/>
              </w:rPr>
            </w:pPr>
            <w:r>
              <w:rPr>
                <w:rFonts w:hint="eastAsia" w:ascii="Times New Roman" w:hAnsi="Times New Roman" w:cs="Times New Roman"/>
                <w:color w:val="0000FF"/>
                <w:kern w:val="0"/>
                <w:sz w:val="21"/>
                <w:szCs w:val="21"/>
                <w:highlight w:val="none"/>
                <w:lang w:val="en-US" w:eastAsia="zh-CN"/>
              </w:rPr>
              <w:t>96.3</w:t>
            </w:r>
          </w:p>
        </w:tc>
        <w:tc>
          <w:tcPr>
            <w:tcW w:w="697"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cs="Times New Roman"/>
                <w:color w:val="0000FF"/>
                <w:kern w:val="0"/>
                <w:sz w:val="21"/>
                <w:szCs w:val="21"/>
                <w:highlight w:val="none"/>
                <w:lang w:val="en-US" w:eastAsia="zh-CN"/>
              </w:rPr>
            </w:pPr>
            <w:r>
              <w:rPr>
                <w:rFonts w:hint="eastAsia" w:ascii="Times New Roman" w:hAnsi="Times New Roman" w:cs="Times New Roman"/>
                <w:color w:val="0000FF"/>
                <w:kern w:val="0"/>
                <w:sz w:val="21"/>
                <w:szCs w:val="21"/>
                <w:highlight w:val="none"/>
                <w:lang w:val="en-US" w:eastAsia="zh-CN"/>
              </w:rPr>
              <w:t>73.79</w:t>
            </w:r>
          </w:p>
        </w:tc>
        <w:tc>
          <w:tcPr>
            <w:tcW w:w="610"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color w:val="0000FF"/>
                <w:kern w:val="0"/>
                <w:sz w:val="21"/>
                <w:szCs w:val="21"/>
                <w:highlight w:val="none"/>
                <w:lang w:val="en-US" w:eastAsia="zh-CN"/>
              </w:rPr>
            </w:pPr>
            <w:r>
              <w:rPr>
                <w:rFonts w:ascii="Times New Roman" w:hAnsi="Times New Roman"/>
                <w:color w:val="0000FF"/>
                <w:sz w:val="21"/>
                <w:szCs w:val="21"/>
                <w:highlight w:val="none"/>
              </w:rPr>
              <w:t>（重度）富营养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s="Times New Roman"/>
                <w:color w:val="0000FF"/>
                <w:kern w:val="0"/>
                <w:sz w:val="21"/>
                <w:szCs w:val="21"/>
                <w:highlight w:val="none"/>
              </w:rPr>
            </w:pPr>
          </w:p>
        </w:tc>
        <w:tc>
          <w:tcPr>
            <w:tcW w:w="772" w:type="pct"/>
            <w:tcBorders>
              <w:top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s="Times New Roman"/>
                <w:color w:val="0000FF"/>
                <w:kern w:val="0"/>
                <w:sz w:val="21"/>
                <w:szCs w:val="21"/>
                <w:highlight w:val="none"/>
              </w:rPr>
            </w:pPr>
            <w:r>
              <w:rPr>
                <w:rFonts w:ascii="Times New Roman" w:hAnsi="Times New Roman" w:cs="Times New Roman"/>
                <w:color w:val="0000FF"/>
                <w:kern w:val="0"/>
                <w:sz w:val="21"/>
                <w:szCs w:val="21"/>
                <w:highlight w:val="none"/>
              </w:rPr>
              <w:t>COD</w:t>
            </w:r>
            <w:r>
              <w:rPr>
                <w:rFonts w:ascii="Times New Roman" w:hAnsi="Times New Roman"/>
                <w:color w:val="0000FF"/>
                <w:sz w:val="21"/>
                <w:szCs w:val="21"/>
                <w:highlight w:val="none"/>
              </w:rPr>
              <w:t>（mg/L）</w:t>
            </w:r>
          </w:p>
        </w:tc>
        <w:tc>
          <w:tcPr>
            <w:tcW w:w="622" w:type="pct"/>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40.3</w:t>
            </w:r>
          </w:p>
        </w:tc>
        <w:tc>
          <w:tcPr>
            <w:tcW w:w="697" w:type="pct"/>
            <w:vMerge w:val="continue"/>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09" w:type="pct"/>
            <w:vMerge w:val="continue"/>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22" w:type="pct"/>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30.68</w:t>
            </w:r>
          </w:p>
        </w:tc>
        <w:tc>
          <w:tcPr>
            <w:tcW w:w="697" w:type="pct"/>
            <w:vMerge w:val="continue"/>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10" w:type="pct"/>
            <w:vMerge w:val="continue"/>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color w:val="0000FF"/>
                <w:kern w:val="0"/>
                <w:sz w:val="21"/>
                <w:szCs w:val="21"/>
                <w:highlight w:val="none"/>
              </w:rPr>
            </w:pPr>
          </w:p>
        </w:tc>
        <w:tc>
          <w:tcPr>
            <w:tcW w:w="772" w:type="pct"/>
            <w:tcBorders>
              <w:top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s="Times New Roman"/>
                <w:color w:val="0000FF"/>
                <w:kern w:val="0"/>
                <w:sz w:val="21"/>
                <w:szCs w:val="21"/>
                <w:highlight w:val="none"/>
              </w:rPr>
            </w:pPr>
            <w:r>
              <w:rPr>
                <w:rFonts w:hint="eastAsia" w:ascii="Times New Roman" w:hAnsi="Times New Roman" w:cs="Times New Roman"/>
                <w:color w:val="0000FF"/>
                <w:kern w:val="0"/>
                <w:sz w:val="21"/>
                <w:szCs w:val="21"/>
                <w:highlight w:val="none"/>
              </w:rPr>
              <w:t>TN</w:t>
            </w:r>
            <w:r>
              <w:rPr>
                <w:rFonts w:ascii="Times New Roman" w:hAnsi="Times New Roman"/>
                <w:color w:val="0000FF"/>
                <w:sz w:val="21"/>
                <w:szCs w:val="21"/>
                <w:highlight w:val="none"/>
              </w:rPr>
              <w:t>（mg/L）</w:t>
            </w:r>
          </w:p>
        </w:tc>
        <w:tc>
          <w:tcPr>
            <w:tcW w:w="622" w:type="pct"/>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5.82</w:t>
            </w:r>
          </w:p>
        </w:tc>
        <w:tc>
          <w:tcPr>
            <w:tcW w:w="697" w:type="pct"/>
            <w:vMerge w:val="continue"/>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09" w:type="pct"/>
            <w:vMerge w:val="continue"/>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22" w:type="pct"/>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4.57</w:t>
            </w:r>
          </w:p>
        </w:tc>
        <w:tc>
          <w:tcPr>
            <w:tcW w:w="697" w:type="pct"/>
            <w:vMerge w:val="continue"/>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10" w:type="pct"/>
            <w:vMerge w:val="continue"/>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cs="Times New Roman"/>
                <w:color w:val="0000FF"/>
                <w:kern w:val="0"/>
                <w:sz w:val="21"/>
                <w:szCs w:val="21"/>
                <w:highlight w:val="none"/>
              </w:rPr>
            </w:pPr>
          </w:p>
        </w:tc>
        <w:tc>
          <w:tcPr>
            <w:tcW w:w="772" w:type="pct"/>
            <w:tcBorders>
              <w:top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s="Times New Roman"/>
                <w:color w:val="0000FF"/>
                <w:kern w:val="0"/>
                <w:sz w:val="21"/>
                <w:szCs w:val="21"/>
                <w:highlight w:val="none"/>
              </w:rPr>
            </w:pPr>
            <w:r>
              <w:rPr>
                <w:rFonts w:hint="eastAsia" w:ascii="Times New Roman" w:hAnsi="Times New Roman" w:cs="Times New Roman"/>
                <w:color w:val="0000FF"/>
                <w:kern w:val="0"/>
                <w:sz w:val="21"/>
                <w:szCs w:val="21"/>
                <w:highlight w:val="none"/>
              </w:rPr>
              <w:t>透明度（m）</w:t>
            </w:r>
          </w:p>
        </w:tc>
        <w:tc>
          <w:tcPr>
            <w:tcW w:w="622" w:type="pct"/>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18.3</w:t>
            </w:r>
          </w:p>
        </w:tc>
        <w:tc>
          <w:tcPr>
            <w:tcW w:w="697" w:type="pct"/>
            <w:vMerge w:val="continue"/>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09" w:type="pct"/>
            <w:vMerge w:val="continue"/>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22" w:type="pct"/>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18.3</w:t>
            </w:r>
          </w:p>
        </w:tc>
        <w:tc>
          <w:tcPr>
            <w:tcW w:w="697" w:type="pct"/>
            <w:vMerge w:val="continue"/>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10" w:type="pct"/>
            <w:vMerge w:val="continue"/>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s="Times New Roman"/>
                <w:color w:val="0000FF"/>
                <w:kern w:val="0"/>
                <w:sz w:val="21"/>
                <w:szCs w:val="21"/>
                <w:highlight w:val="none"/>
              </w:rPr>
            </w:pP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s="Times New Roman"/>
                <w:color w:val="0000FF"/>
                <w:kern w:val="0"/>
                <w:sz w:val="21"/>
                <w:szCs w:val="21"/>
                <w:highlight w:val="none"/>
              </w:rPr>
            </w:pPr>
            <w:r>
              <w:rPr>
                <w:rFonts w:ascii="Times New Roman" w:hAnsi="Times New Roman" w:cs="Times New Roman"/>
                <w:color w:val="0000FF"/>
                <w:kern w:val="0"/>
                <w:sz w:val="21"/>
                <w:szCs w:val="21"/>
                <w:highlight w:val="none"/>
              </w:rPr>
              <w:t>TP</w:t>
            </w:r>
            <w:r>
              <w:rPr>
                <w:rFonts w:ascii="Times New Roman" w:hAnsi="Times New Roman"/>
                <w:color w:val="0000FF"/>
                <w:sz w:val="21"/>
                <w:szCs w:val="21"/>
                <w:highlight w:val="none"/>
              </w:rPr>
              <w:t>（mg/L）</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eastAsia="宋体"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0.24</w:t>
            </w:r>
          </w:p>
        </w:tc>
        <w:tc>
          <w:tcPr>
            <w:tcW w:w="697" w:type="pct"/>
            <w:vMerge w:val="continue"/>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09" w:type="pct"/>
            <w:vMerge w:val="continue"/>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0.18</w:t>
            </w:r>
          </w:p>
        </w:tc>
        <w:tc>
          <w:tcPr>
            <w:tcW w:w="697" w:type="pct"/>
            <w:vMerge w:val="continue"/>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10" w:type="pct"/>
            <w:vMerge w:val="continue"/>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0000FF"/>
                <w:sz w:val="21"/>
                <w:szCs w:val="21"/>
                <w:highlight w:val="none"/>
                <w:lang w:val="en-US" w:eastAsia="zh-CN"/>
              </w:rPr>
            </w:pPr>
            <w:r>
              <w:rPr>
                <w:rFonts w:hint="eastAsia" w:ascii="Times New Roman" w:hAnsi="Times New Roman"/>
                <w:color w:val="0000FF"/>
                <w:sz w:val="21"/>
                <w:szCs w:val="21"/>
                <w:highlight w:val="none"/>
                <w:lang w:val="en-US" w:eastAsia="zh-CN"/>
              </w:rPr>
              <w:t>水平石水库</w:t>
            </w: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0000FF"/>
                <w:sz w:val="21"/>
                <w:szCs w:val="21"/>
                <w:highlight w:val="none"/>
              </w:rPr>
            </w:pPr>
            <w:r>
              <w:rPr>
                <w:rFonts w:ascii="Times New Roman" w:hAnsi="Times New Roman" w:cs="Times New Roman"/>
                <w:color w:val="0000FF"/>
                <w:sz w:val="21"/>
                <w:szCs w:val="21"/>
                <w:highlight w:val="none"/>
              </w:rPr>
              <w:t>叶绿素</w:t>
            </w:r>
            <w:r>
              <w:rPr>
                <w:rFonts w:ascii="Times New Roman" w:hAnsi="Times New Roman"/>
                <w:color w:val="0000FF"/>
                <w:sz w:val="21"/>
                <w:szCs w:val="21"/>
                <w:highlight w:val="none"/>
              </w:rPr>
              <w:t>（mg/</w:t>
            </w:r>
            <w:r>
              <w:rPr>
                <w:rFonts w:hint="eastAsia" w:ascii="Times New Roman" w:hAnsi="Times New Roman"/>
                <w:color w:val="0000FF"/>
                <w:sz w:val="21"/>
                <w:szCs w:val="21"/>
                <w:highlight w:val="none"/>
              </w:rPr>
              <w:t>m</w:t>
            </w:r>
            <w:r>
              <w:rPr>
                <w:rFonts w:hint="eastAsia" w:ascii="Times New Roman" w:hAnsi="Times New Roman"/>
                <w:color w:val="0000FF"/>
                <w:sz w:val="21"/>
                <w:szCs w:val="21"/>
                <w:highlight w:val="none"/>
                <w:vertAlign w:val="superscript"/>
              </w:rPr>
              <w:t>3</w:t>
            </w:r>
            <w:r>
              <w:rPr>
                <w:rFonts w:ascii="Times New Roman" w:hAnsi="Times New Roman"/>
                <w:color w:val="0000FF"/>
                <w:sz w:val="21"/>
                <w:szCs w:val="21"/>
                <w:highlight w:val="none"/>
              </w:rPr>
              <w:t>）</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2.3</w:t>
            </w:r>
          </w:p>
        </w:tc>
        <w:tc>
          <w:tcPr>
            <w:tcW w:w="697" w:type="pct"/>
            <w:vMerge w:val="restar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51.3</w:t>
            </w:r>
          </w:p>
        </w:tc>
        <w:tc>
          <w:tcPr>
            <w:tcW w:w="609" w:type="pct"/>
            <w:vMerge w:val="restar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r>
              <w:rPr>
                <w:rFonts w:ascii="Times New Roman" w:hAnsi="Times New Roman"/>
                <w:color w:val="0000FF"/>
                <w:sz w:val="21"/>
                <w:szCs w:val="21"/>
                <w:highlight w:val="none"/>
              </w:rPr>
              <w:t>（轻度）富营养</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2.3</w:t>
            </w:r>
          </w:p>
        </w:tc>
        <w:tc>
          <w:tcPr>
            <w:tcW w:w="697" w:type="pct"/>
            <w:vMerge w:val="restar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48.38</w:t>
            </w:r>
          </w:p>
        </w:tc>
        <w:tc>
          <w:tcPr>
            <w:tcW w:w="610" w:type="pct"/>
            <w:vMerge w:val="restar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r>
              <w:rPr>
                <w:rFonts w:ascii="Times New Roman" w:hAnsi="Times New Roman"/>
                <w:color w:val="0000FF"/>
                <w:sz w:val="21"/>
                <w:szCs w:val="21"/>
                <w:highlight w:val="none"/>
              </w:rPr>
              <w:t>中营养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r>
              <w:rPr>
                <w:rFonts w:ascii="Times New Roman" w:hAnsi="Times New Roman" w:cs="Times New Roman"/>
                <w:color w:val="0000FF"/>
                <w:kern w:val="0"/>
                <w:sz w:val="21"/>
                <w:szCs w:val="21"/>
                <w:highlight w:val="none"/>
              </w:rPr>
              <w:t>COD</w:t>
            </w:r>
            <w:r>
              <w:rPr>
                <w:rFonts w:ascii="Times New Roman" w:hAnsi="Times New Roman"/>
                <w:color w:val="0000FF"/>
                <w:sz w:val="21"/>
                <w:szCs w:val="21"/>
                <w:highlight w:val="none"/>
              </w:rPr>
              <w:t>（mg/L）</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19.3</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09"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14.39</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10"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r>
              <w:rPr>
                <w:rFonts w:hint="eastAsia" w:ascii="Times New Roman" w:hAnsi="Times New Roman" w:cs="Times New Roman"/>
                <w:color w:val="0000FF"/>
                <w:kern w:val="0"/>
                <w:sz w:val="21"/>
                <w:szCs w:val="21"/>
                <w:highlight w:val="none"/>
              </w:rPr>
              <w:t>TN</w:t>
            </w:r>
            <w:r>
              <w:rPr>
                <w:rFonts w:ascii="Times New Roman" w:hAnsi="Times New Roman"/>
                <w:color w:val="0000FF"/>
                <w:sz w:val="21"/>
                <w:szCs w:val="21"/>
                <w:highlight w:val="none"/>
              </w:rPr>
              <w:t>（mg/L）</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0.63</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09"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0.68</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10"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r>
              <w:rPr>
                <w:rFonts w:hint="eastAsia" w:ascii="Times New Roman" w:hAnsi="Times New Roman" w:cs="Times New Roman"/>
                <w:color w:val="0000FF"/>
                <w:kern w:val="0"/>
                <w:sz w:val="21"/>
                <w:szCs w:val="21"/>
                <w:highlight w:val="none"/>
              </w:rPr>
              <w:t>透明度（m）</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57</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09"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57</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10"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r>
              <w:rPr>
                <w:rFonts w:ascii="Times New Roman" w:hAnsi="Times New Roman" w:cs="Times New Roman"/>
                <w:color w:val="0000FF"/>
                <w:kern w:val="0"/>
                <w:sz w:val="21"/>
                <w:szCs w:val="21"/>
                <w:highlight w:val="none"/>
              </w:rPr>
              <w:t>TP</w:t>
            </w:r>
            <w:r>
              <w:rPr>
                <w:rFonts w:ascii="Times New Roman" w:hAnsi="Times New Roman"/>
                <w:color w:val="0000FF"/>
                <w:sz w:val="21"/>
                <w:szCs w:val="21"/>
                <w:highlight w:val="none"/>
              </w:rPr>
              <w:t>（mg/L）</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0.03</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09"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0.02</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10"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olor w:val="0000FF"/>
                <w:sz w:val="21"/>
                <w:szCs w:val="21"/>
                <w:highlight w:val="none"/>
                <w:lang w:val="en-US" w:eastAsia="zh-CN"/>
              </w:rPr>
            </w:pPr>
            <w:r>
              <w:rPr>
                <w:rFonts w:hint="eastAsia" w:ascii="Times New Roman" w:hAnsi="Times New Roman"/>
                <w:color w:val="0000FF"/>
                <w:sz w:val="21"/>
                <w:szCs w:val="21"/>
                <w:highlight w:val="none"/>
                <w:lang w:val="en-US" w:eastAsia="zh-CN"/>
              </w:rPr>
              <w:t>姜中水库</w:t>
            </w: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0000FF"/>
                <w:sz w:val="21"/>
                <w:szCs w:val="21"/>
                <w:highlight w:val="none"/>
              </w:rPr>
            </w:pPr>
            <w:r>
              <w:rPr>
                <w:rFonts w:ascii="Times New Roman" w:hAnsi="Times New Roman" w:cs="Times New Roman"/>
                <w:color w:val="0000FF"/>
                <w:sz w:val="21"/>
                <w:szCs w:val="21"/>
                <w:highlight w:val="none"/>
              </w:rPr>
              <w:t>叶绿素</w:t>
            </w:r>
            <w:r>
              <w:rPr>
                <w:rFonts w:ascii="Times New Roman" w:hAnsi="Times New Roman"/>
                <w:color w:val="0000FF"/>
                <w:sz w:val="21"/>
                <w:szCs w:val="21"/>
                <w:highlight w:val="none"/>
              </w:rPr>
              <w:t>（mg/</w:t>
            </w:r>
            <w:r>
              <w:rPr>
                <w:rFonts w:hint="eastAsia" w:ascii="Times New Roman" w:hAnsi="Times New Roman"/>
                <w:color w:val="0000FF"/>
                <w:sz w:val="21"/>
                <w:szCs w:val="21"/>
                <w:highlight w:val="none"/>
              </w:rPr>
              <w:t>m</w:t>
            </w:r>
            <w:r>
              <w:rPr>
                <w:rFonts w:hint="eastAsia" w:ascii="Times New Roman" w:hAnsi="Times New Roman"/>
                <w:color w:val="0000FF"/>
                <w:sz w:val="21"/>
                <w:szCs w:val="21"/>
                <w:highlight w:val="none"/>
                <w:vertAlign w:val="superscript"/>
              </w:rPr>
              <w:t>3</w:t>
            </w:r>
            <w:r>
              <w:rPr>
                <w:rFonts w:ascii="Times New Roman" w:hAnsi="Times New Roman"/>
                <w:color w:val="0000FF"/>
                <w:sz w:val="21"/>
                <w:szCs w:val="21"/>
                <w:highlight w:val="none"/>
              </w:rPr>
              <w:t>）</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2.33</w:t>
            </w:r>
          </w:p>
        </w:tc>
        <w:tc>
          <w:tcPr>
            <w:tcW w:w="697" w:type="pct"/>
            <w:vMerge w:val="restar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48.97</w:t>
            </w:r>
          </w:p>
        </w:tc>
        <w:tc>
          <w:tcPr>
            <w:tcW w:w="609" w:type="pct"/>
            <w:vMerge w:val="restar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r>
              <w:rPr>
                <w:rFonts w:ascii="Times New Roman" w:hAnsi="Times New Roman"/>
                <w:color w:val="0000FF"/>
                <w:sz w:val="21"/>
                <w:szCs w:val="21"/>
                <w:highlight w:val="none"/>
              </w:rPr>
              <w:t>中营养</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2.33</w:t>
            </w:r>
          </w:p>
        </w:tc>
        <w:tc>
          <w:tcPr>
            <w:tcW w:w="697" w:type="pct"/>
            <w:vMerge w:val="restar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47.52</w:t>
            </w:r>
          </w:p>
        </w:tc>
        <w:tc>
          <w:tcPr>
            <w:tcW w:w="610" w:type="pct"/>
            <w:vMerge w:val="restar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r>
              <w:rPr>
                <w:rFonts w:ascii="Times New Roman" w:hAnsi="Times New Roman"/>
                <w:color w:val="0000FF"/>
                <w:sz w:val="21"/>
                <w:szCs w:val="21"/>
                <w:highlight w:val="none"/>
              </w:rPr>
              <w:t>中营养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r>
              <w:rPr>
                <w:rFonts w:ascii="Times New Roman" w:hAnsi="Times New Roman" w:cs="Times New Roman"/>
                <w:color w:val="0000FF"/>
                <w:kern w:val="0"/>
                <w:sz w:val="21"/>
                <w:szCs w:val="21"/>
                <w:highlight w:val="none"/>
              </w:rPr>
              <w:t>COD</w:t>
            </w:r>
            <w:r>
              <w:rPr>
                <w:rFonts w:ascii="Times New Roman" w:hAnsi="Times New Roman"/>
                <w:color w:val="0000FF"/>
                <w:sz w:val="21"/>
                <w:szCs w:val="21"/>
                <w:highlight w:val="none"/>
              </w:rPr>
              <w:t>（mg/L）</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12,67</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09"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9.9</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10"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r>
              <w:rPr>
                <w:rFonts w:hint="eastAsia" w:ascii="Times New Roman" w:hAnsi="Times New Roman" w:cs="Times New Roman"/>
                <w:color w:val="0000FF"/>
                <w:kern w:val="0"/>
                <w:sz w:val="21"/>
                <w:szCs w:val="21"/>
                <w:highlight w:val="none"/>
              </w:rPr>
              <w:t>TN</w:t>
            </w:r>
            <w:r>
              <w:rPr>
                <w:rFonts w:ascii="Times New Roman" w:hAnsi="Times New Roman"/>
                <w:color w:val="0000FF"/>
                <w:sz w:val="21"/>
                <w:szCs w:val="21"/>
                <w:highlight w:val="none"/>
              </w:rPr>
              <w:t>（mg/L）</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0.81</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09"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0.81</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10"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r>
              <w:rPr>
                <w:rFonts w:hint="eastAsia" w:ascii="Times New Roman" w:hAnsi="Times New Roman" w:cs="Times New Roman"/>
                <w:color w:val="0000FF"/>
                <w:kern w:val="0"/>
                <w:sz w:val="21"/>
                <w:szCs w:val="21"/>
                <w:highlight w:val="none"/>
              </w:rPr>
              <w:t>透明度（m）</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66.33</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09"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66.33</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10"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r>
              <w:rPr>
                <w:rFonts w:ascii="Times New Roman" w:hAnsi="Times New Roman" w:cs="Times New Roman"/>
                <w:color w:val="0000FF"/>
                <w:kern w:val="0"/>
                <w:sz w:val="21"/>
                <w:szCs w:val="21"/>
                <w:highlight w:val="none"/>
              </w:rPr>
              <w:t>TP</w:t>
            </w:r>
            <w:r>
              <w:rPr>
                <w:rFonts w:ascii="Times New Roman" w:hAnsi="Times New Roman"/>
                <w:color w:val="0000FF"/>
                <w:sz w:val="21"/>
                <w:szCs w:val="21"/>
                <w:highlight w:val="none"/>
              </w:rPr>
              <w:t>（mg/L）</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0.02</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09"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0.02</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10"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olor w:val="0000FF"/>
                <w:sz w:val="21"/>
                <w:szCs w:val="21"/>
                <w:highlight w:val="none"/>
                <w:lang w:val="en-US" w:eastAsia="zh-CN"/>
              </w:rPr>
            </w:pPr>
            <w:r>
              <w:rPr>
                <w:rFonts w:hint="eastAsia" w:ascii="Times New Roman" w:hAnsi="Times New Roman"/>
                <w:color w:val="0000FF"/>
                <w:sz w:val="21"/>
                <w:szCs w:val="21"/>
                <w:highlight w:val="none"/>
                <w:lang w:val="en-US" w:eastAsia="zh-CN"/>
              </w:rPr>
              <w:t>李官坟水库</w:t>
            </w: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0000FF"/>
                <w:sz w:val="21"/>
                <w:szCs w:val="21"/>
                <w:highlight w:val="none"/>
              </w:rPr>
            </w:pPr>
            <w:r>
              <w:rPr>
                <w:rFonts w:ascii="Times New Roman" w:hAnsi="Times New Roman" w:cs="Times New Roman"/>
                <w:color w:val="0000FF"/>
                <w:sz w:val="21"/>
                <w:szCs w:val="21"/>
                <w:highlight w:val="none"/>
              </w:rPr>
              <w:t>叶绿素</w:t>
            </w:r>
            <w:r>
              <w:rPr>
                <w:rFonts w:ascii="Times New Roman" w:hAnsi="Times New Roman"/>
                <w:color w:val="0000FF"/>
                <w:sz w:val="21"/>
                <w:szCs w:val="21"/>
                <w:highlight w:val="none"/>
              </w:rPr>
              <w:t>（mg/</w:t>
            </w:r>
            <w:r>
              <w:rPr>
                <w:rFonts w:hint="eastAsia" w:ascii="Times New Roman" w:hAnsi="Times New Roman"/>
                <w:color w:val="0000FF"/>
                <w:sz w:val="21"/>
                <w:szCs w:val="21"/>
                <w:highlight w:val="none"/>
              </w:rPr>
              <w:t>m</w:t>
            </w:r>
            <w:r>
              <w:rPr>
                <w:rFonts w:hint="eastAsia" w:ascii="Times New Roman" w:hAnsi="Times New Roman"/>
                <w:color w:val="0000FF"/>
                <w:sz w:val="21"/>
                <w:szCs w:val="21"/>
                <w:highlight w:val="none"/>
                <w:vertAlign w:val="superscript"/>
              </w:rPr>
              <w:t>3</w:t>
            </w:r>
            <w:r>
              <w:rPr>
                <w:rFonts w:ascii="Times New Roman" w:hAnsi="Times New Roman"/>
                <w:color w:val="0000FF"/>
                <w:sz w:val="21"/>
                <w:szCs w:val="21"/>
                <w:highlight w:val="none"/>
              </w:rPr>
              <w:t>）</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2.3</w:t>
            </w:r>
          </w:p>
        </w:tc>
        <w:tc>
          <w:tcPr>
            <w:tcW w:w="697" w:type="pct"/>
            <w:vMerge w:val="restar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53.53</w:t>
            </w:r>
          </w:p>
        </w:tc>
        <w:tc>
          <w:tcPr>
            <w:tcW w:w="609" w:type="pct"/>
            <w:vMerge w:val="restar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r>
              <w:rPr>
                <w:rFonts w:ascii="Times New Roman" w:hAnsi="Times New Roman"/>
                <w:color w:val="0000FF"/>
                <w:sz w:val="21"/>
                <w:szCs w:val="21"/>
                <w:highlight w:val="none"/>
              </w:rPr>
              <w:t>（轻度）富营养</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2.3</w:t>
            </w:r>
          </w:p>
        </w:tc>
        <w:tc>
          <w:tcPr>
            <w:tcW w:w="697" w:type="pct"/>
            <w:vMerge w:val="restar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50.17</w:t>
            </w:r>
          </w:p>
        </w:tc>
        <w:tc>
          <w:tcPr>
            <w:tcW w:w="610" w:type="pct"/>
            <w:vMerge w:val="restar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r>
              <w:rPr>
                <w:rFonts w:ascii="Times New Roman" w:hAnsi="Times New Roman"/>
                <w:color w:val="0000FF"/>
                <w:sz w:val="21"/>
                <w:szCs w:val="21"/>
                <w:highlight w:val="none"/>
              </w:rPr>
              <w:t>（轻度）富营养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r>
              <w:rPr>
                <w:rFonts w:ascii="Times New Roman" w:hAnsi="Times New Roman" w:cs="Times New Roman"/>
                <w:color w:val="0000FF"/>
                <w:kern w:val="0"/>
                <w:sz w:val="21"/>
                <w:szCs w:val="21"/>
                <w:highlight w:val="none"/>
              </w:rPr>
              <w:t>COD</w:t>
            </w:r>
            <w:r>
              <w:rPr>
                <w:rFonts w:ascii="Times New Roman" w:hAnsi="Times New Roman"/>
                <w:color w:val="0000FF"/>
                <w:sz w:val="21"/>
                <w:szCs w:val="21"/>
                <w:highlight w:val="none"/>
              </w:rPr>
              <w:t>（mg/L）</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20</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09"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14.48</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10"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r>
              <w:rPr>
                <w:rFonts w:hint="eastAsia" w:ascii="Times New Roman" w:hAnsi="Times New Roman" w:cs="Times New Roman"/>
                <w:color w:val="0000FF"/>
                <w:kern w:val="0"/>
                <w:sz w:val="21"/>
                <w:szCs w:val="21"/>
                <w:highlight w:val="none"/>
              </w:rPr>
              <w:t>TN</w:t>
            </w:r>
            <w:r>
              <w:rPr>
                <w:rFonts w:ascii="Times New Roman" w:hAnsi="Times New Roman"/>
                <w:color w:val="0000FF"/>
                <w:sz w:val="21"/>
                <w:szCs w:val="21"/>
                <w:highlight w:val="none"/>
              </w:rPr>
              <w:t>（mg/L）</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0.94</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09"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0.9</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10"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r>
              <w:rPr>
                <w:rFonts w:hint="eastAsia" w:ascii="Times New Roman" w:hAnsi="Times New Roman" w:cs="Times New Roman"/>
                <w:color w:val="0000FF"/>
                <w:kern w:val="0"/>
                <w:sz w:val="21"/>
                <w:szCs w:val="21"/>
                <w:highlight w:val="none"/>
              </w:rPr>
              <w:t>透明度（m）</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23.3</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09"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23.3</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10"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85" w:hRule="atLeast"/>
        </w:trPr>
        <w:tc>
          <w:tcPr>
            <w:tcW w:w="367" w:type="pct"/>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p>
        </w:tc>
        <w:tc>
          <w:tcPr>
            <w:tcW w:w="772" w:type="pc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ascii="Times New Roman" w:hAnsi="Times New Roman"/>
                <w:color w:val="0000FF"/>
                <w:sz w:val="21"/>
                <w:szCs w:val="21"/>
                <w:highlight w:val="none"/>
              </w:rPr>
            </w:pPr>
            <w:r>
              <w:rPr>
                <w:rFonts w:ascii="Times New Roman" w:hAnsi="Times New Roman" w:cs="Times New Roman"/>
                <w:color w:val="0000FF"/>
                <w:kern w:val="0"/>
                <w:sz w:val="21"/>
                <w:szCs w:val="21"/>
                <w:highlight w:val="none"/>
              </w:rPr>
              <w:t>TP</w:t>
            </w:r>
            <w:r>
              <w:rPr>
                <w:rFonts w:ascii="Times New Roman" w:hAnsi="Times New Roman"/>
                <w:color w:val="0000FF"/>
                <w:sz w:val="21"/>
                <w:szCs w:val="21"/>
                <w:highlight w:val="none"/>
              </w:rPr>
              <w:t>（mg/L）</w:t>
            </w: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0.1</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09"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22" w:type="pct"/>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default" w:ascii="Times New Roman" w:hAnsi="Times New Roman" w:cs="Times New Roman"/>
                <w:color w:val="0000FF"/>
                <w:sz w:val="21"/>
                <w:szCs w:val="21"/>
                <w:highlight w:val="none"/>
                <w:lang w:val="en-US" w:eastAsia="zh-CN"/>
              </w:rPr>
            </w:pPr>
            <w:r>
              <w:rPr>
                <w:rFonts w:hint="eastAsia" w:ascii="Times New Roman" w:hAnsi="Times New Roman" w:cs="Times New Roman"/>
                <w:color w:val="0000FF"/>
                <w:sz w:val="21"/>
                <w:szCs w:val="21"/>
                <w:highlight w:val="none"/>
                <w:lang w:val="en-US" w:eastAsia="zh-CN"/>
              </w:rPr>
              <w:t>0.07</w:t>
            </w:r>
          </w:p>
        </w:tc>
        <w:tc>
          <w:tcPr>
            <w:tcW w:w="697"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c>
          <w:tcPr>
            <w:tcW w:w="610" w:type="pct"/>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center"/>
              <w:rPr>
                <w:rFonts w:hint="eastAsia" w:ascii="Times New Roman" w:hAnsi="Times New Roman" w:cs="Times New Roman"/>
                <w:color w:val="0000FF"/>
                <w:sz w:val="21"/>
                <w:szCs w:val="21"/>
                <w:highlight w:val="none"/>
                <w:lang w:val="en-US" w:eastAsia="zh-CN"/>
              </w:rPr>
            </w:pPr>
          </w:p>
        </w:tc>
      </w:tr>
    </w:tbl>
    <w:p>
      <w:pPr>
        <w:bidi w:val="0"/>
        <w:rPr>
          <w:rFonts w:hint="eastAsia" w:eastAsia="宋体"/>
          <w:color w:val="0000FF"/>
          <w:sz w:val="24"/>
          <w:szCs w:val="24"/>
          <w:highlight w:val="none"/>
          <w:lang w:val="en-US" w:eastAsia="zh-CN"/>
        </w:rPr>
      </w:pPr>
      <w:r>
        <w:rPr>
          <w:rFonts w:hint="eastAsia"/>
          <w:color w:val="0000FF"/>
          <w:sz w:val="24"/>
          <w:szCs w:val="24"/>
          <w:highlight w:val="none"/>
          <w:lang w:val="en-US" w:eastAsia="zh-CN"/>
        </w:rPr>
        <w:t>根据上表，本项目补水前，受水区界牌箐水库处于</w:t>
      </w:r>
      <w:r>
        <w:rPr>
          <w:rFonts w:ascii="Times New Roman" w:hAnsi="Times New Roman"/>
          <w:color w:val="0000FF"/>
          <w:sz w:val="24"/>
          <w:szCs w:val="24"/>
          <w:highlight w:val="none"/>
        </w:rPr>
        <w:t>（重度）富营养</w:t>
      </w:r>
      <w:r>
        <w:rPr>
          <w:rFonts w:hint="eastAsia"/>
          <w:color w:val="0000FF"/>
          <w:sz w:val="24"/>
          <w:szCs w:val="24"/>
          <w:highlight w:val="none"/>
          <w:lang w:val="en-US" w:eastAsia="zh-CN"/>
        </w:rPr>
        <w:t>、水平石水库处于</w:t>
      </w:r>
      <w:r>
        <w:rPr>
          <w:rFonts w:ascii="Times New Roman" w:hAnsi="Times New Roman"/>
          <w:color w:val="0000FF"/>
          <w:sz w:val="24"/>
          <w:szCs w:val="24"/>
          <w:highlight w:val="none"/>
        </w:rPr>
        <w:t>（轻度）富营养</w:t>
      </w:r>
      <w:r>
        <w:rPr>
          <w:rFonts w:hint="eastAsia"/>
          <w:color w:val="0000FF"/>
          <w:sz w:val="24"/>
          <w:szCs w:val="24"/>
          <w:highlight w:val="none"/>
          <w:lang w:val="en-US" w:eastAsia="zh-CN"/>
        </w:rPr>
        <w:t>、姜中水库处于</w:t>
      </w:r>
      <w:r>
        <w:rPr>
          <w:rFonts w:ascii="Times New Roman" w:hAnsi="Times New Roman"/>
          <w:color w:val="0000FF"/>
          <w:sz w:val="24"/>
          <w:szCs w:val="24"/>
          <w:highlight w:val="none"/>
        </w:rPr>
        <w:t>中营养</w:t>
      </w:r>
      <w:r>
        <w:rPr>
          <w:rFonts w:hint="eastAsia"/>
          <w:color w:val="0000FF"/>
          <w:sz w:val="24"/>
          <w:szCs w:val="24"/>
          <w:highlight w:val="none"/>
          <w:lang w:val="en-US" w:eastAsia="zh-CN"/>
        </w:rPr>
        <w:t>、李官坟水库处于</w:t>
      </w:r>
      <w:r>
        <w:rPr>
          <w:rFonts w:ascii="Times New Roman" w:hAnsi="Times New Roman"/>
          <w:color w:val="0000FF"/>
          <w:sz w:val="24"/>
          <w:szCs w:val="24"/>
          <w:highlight w:val="none"/>
        </w:rPr>
        <w:t>（轻度）富营养</w:t>
      </w:r>
      <w:r>
        <w:rPr>
          <w:rFonts w:hint="eastAsia" w:ascii="Times New Roman" w:hAnsi="Times New Roman"/>
          <w:color w:val="0000FF"/>
          <w:sz w:val="24"/>
          <w:szCs w:val="24"/>
          <w:highlight w:val="none"/>
          <w:lang w:eastAsia="zh-CN"/>
        </w:rPr>
        <w:t>；</w:t>
      </w:r>
      <w:r>
        <w:rPr>
          <w:rFonts w:hint="eastAsia" w:ascii="Times New Roman" w:hAnsi="Times New Roman"/>
          <w:color w:val="0000FF"/>
          <w:sz w:val="24"/>
          <w:szCs w:val="24"/>
          <w:highlight w:val="none"/>
          <w:lang w:val="en-US" w:eastAsia="zh-CN"/>
        </w:rPr>
        <w:t>接受本项目补水后，</w:t>
      </w:r>
      <w:r>
        <w:rPr>
          <w:rFonts w:hint="eastAsia"/>
          <w:color w:val="0000FF"/>
          <w:sz w:val="24"/>
          <w:szCs w:val="24"/>
          <w:highlight w:val="none"/>
          <w:lang w:val="en-US" w:eastAsia="zh-CN"/>
        </w:rPr>
        <w:t>受水区界牌箐水库处于</w:t>
      </w:r>
      <w:r>
        <w:rPr>
          <w:rFonts w:ascii="Times New Roman" w:hAnsi="Times New Roman"/>
          <w:color w:val="0000FF"/>
          <w:sz w:val="24"/>
          <w:szCs w:val="24"/>
          <w:highlight w:val="none"/>
        </w:rPr>
        <w:t>（重度）富营养</w:t>
      </w:r>
      <w:r>
        <w:rPr>
          <w:rFonts w:hint="eastAsia"/>
          <w:color w:val="0000FF"/>
          <w:sz w:val="24"/>
          <w:szCs w:val="24"/>
          <w:highlight w:val="none"/>
          <w:lang w:val="en-US" w:eastAsia="zh-CN"/>
        </w:rPr>
        <w:t>、水平石水库处于</w:t>
      </w:r>
      <w:r>
        <w:rPr>
          <w:rFonts w:hint="eastAsia" w:ascii="Times New Roman" w:hAnsi="Times New Roman"/>
          <w:color w:val="0000FF"/>
          <w:sz w:val="24"/>
          <w:szCs w:val="24"/>
          <w:highlight w:val="none"/>
        </w:rPr>
        <w:t>中营养</w:t>
      </w:r>
      <w:r>
        <w:rPr>
          <w:rFonts w:hint="eastAsia"/>
          <w:color w:val="0000FF"/>
          <w:sz w:val="24"/>
          <w:szCs w:val="24"/>
          <w:highlight w:val="none"/>
          <w:lang w:val="en-US" w:eastAsia="zh-CN"/>
        </w:rPr>
        <w:t>、姜中水库处于</w:t>
      </w:r>
      <w:r>
        <w:rPr>
          <w:rFonts w:ascii="Times New Roman" w:hAnsi="Times New Roman"/>
          <w:color w:val="0000FF"/>
          <w:sz w:val="24"/>
          <w:szCs w:val="24"/>
          <w:highlight w:val="none"/>
        </w:rPr>
        <w:t>中营养</w:t>
      </w:r>
      <w:r>
        <w:rPr>
          <w:rFonts w:hint="eastAsia"/>
          <w:color w:val="0000FF"/>
          <w:sz w:val="24"/>
          <w:szCs w:val="24"/>
          <w:highlight w:val="none"/>
          <w:lang w:val="en-US" w:eastAsia="zh-CN"/>
        </w:rPr>
        <w:t>、李官坟水库处于</w:t>
      </w:r>
      <w:r>
        <w:rPr>
          <w:rFonts w:ascii="Times New Roman" w:hAnsi="Times New Roman"/>
          <w:color w:val="0000FF"/>
          <w:sz w:val="24"/>
          <w:szCs w:val="24"/>
          <w:highlight w:val="none"/>
        </w:rPr>
        <w:t>（轻度）富营养</w:t>
      </w:r>
      <w:r>
        <w:rPr>
          <w:rFonts w:hint="eastAsia" w:ascii="Times New Roman" w:hAnsi="Times New Roman"/>
          <w:color w:val="0000FF"/>
          <w:sz w:val="24"/>
          <w:szCs w:val="24"/>
          <w:highlight w:val="none"/>
          <w:lang w:eastAsia="zh-CN"/>
        </w:rPr>
        <w:t>。</w:t>
      </w:r>
    </w:p>
    <w:p>
      <w:pPr>
        <w:bidi w:val="0"/>
        <w:rPr>
          <w:rFonts w:hint="default" w:eastAsia="宋体"/>
          <w:color w:val="0000FF"/>
          <w:highlight w:val="none"/>
          <w:lang w:val="en-US" w:eastAsia="zh-CN"/>
        </w:rPr>
      </w:pPr>
      <w:r>
        <w:rPr>
          <w:rFonts w:hint="eastAsia"/>
          <w:color w:val="0000FF"/>
          <w:highlight w:val="none"/>
          <w:lang w:val="en-US" w:eastAsia="zh-CN"/>
        </w:rPr>
        <w:t>本项目运营后，受水区水库富营养化指数有所降低，不会造成富营养化程度加重。</w:t>
      </w:r>
    </w:p>
    <w:p>
      <w:pPr>
        <w:bidi w:val="0"/>
        <w:rPr>
          <w:rFonts w:hint="eastAsia"/>
          <w:color w:val="0000FF"/>
          <w:lang w:eastAsia="zh-CN"/>
        </w:rPr>
      </w:pPr>
      <w:r>
        <w:rPr>
          <w:rFonts w:hint="eastAsia"/>
          <w:color w:val="0000FF"/>
          <w:lang w:eastAsia="zh-CN"/>
        </w:rPr>
        <w:t>运行期，</w:t>
      </w:r>
      <w:r>
        <w:rPr>
          <w:rFonts w:hint="eastAsia"/>
          <w:color w:val="0000FF"/>
          <w:lang w:val="en-US" w:eastAsia="zh-CN"/>
        </w:rPr>
        <w:t>应</w:t>
      </w:r>
      <w:r>
        <w:rPr>
          <w:rFonts w:hint="eastAsia"/>
          <w:color w:val="0000FF"/>
          <w:lang w:eastAsia="zh-CN"/>
        </w:rPr>
        <w:t>定期做好</w:t>
      </w:r>
      <w:r>
        <w:rPr>
          <w:rFonts w:hint="eastAsia"/>
          <w:color w:val="0000FF"/>
          <w:lang w:val="en-US" w:eastAsia="zh-CN"/>
        </w:rPr>
        <w:t>水库</w:t>
      </w:r>
      <w:r>
        <w:rPr>
          <w:rFonts w:hint="eastAsia"/>
          <w:color w:val="0000FF"/>
          <w:lang w:eastAsia="zh-CN"/>
        </w:rPr>
        <w:t>清沙、清淤及水面漂浮物的清理工作，重视库区清洁卫生，并对水质进行定期监测，控制有机物和氮磷、营养盐等污染源进入库区水体，以确保水质稳定达到III类水质标准要求。</w:t>
      </w:r>
    </w:p>
    <w:p>
      <w:pPr>
        <w:keepNext w:val="0"/>
        <w:keepLines w:val="0"/>
        <w:widowControl/>
        <w:suppressLineNumbers w:val="0"/>
        <w:jc w:val="left"/>
        <w:rPr>
          <w:b/>
          <w:bCs/>
          <w:color w:val="auto"/>
        </w:rPr>
      </w:pPr>
      <w:r>
        <w:rPr>
          <w:rFonts w:hint="eastAsia" w:ascii="宋体" w:hAnsi="宋体" w:cs="宋体"/>
          <w:b/>
          <w:bCs/>
          <w:color w:val="auto"/>
          <w:kern w:val="0"/>
          <w:sz w:val="24"/>
          <w:szCs w:val="24"/>
          <w:lang w:val="en-US" w:eastAsia="zh-CN" w:bidi="ar"/>
        </w:rPr>
        <w:t>3、</w:t>
      </w:r>
      <w:r>
        <w:rPr>
          <w:rFonts w:hint="eastAsia" w:ascii="宋体" w:hAnsi="宋体" w:eastAsia="宋体" w:cs="宋体"/>
          <w:b/>
          <w:bCs/>
          <w:color w:val="auto"/>
          <w:kern w:val="0"/>
          <w:sz w:val="24"/>
          <w:szCs w:val="24"/>
          <w:lang w:val="en-US" w:eastAsia="zh-CN" w:bidi="ar"/>
        </w:rPr>
        <w:t>灌区退水</w:t>
      </w:r>
      <w:r>
        <w:rPr>
          <w:rFonts w:hint="eastAsia" w:ascii="宋体" w:hAnsi="宋体" w:cs="宋体"/>
          <w:b/>
          <w:bCs/>
          <w:color w:val="auto"/>
          <w:kern w:val="0"/>
          <w:sz w:val="24"/>
          <w:szCs w:val="24"/>
          <w:lang w:val="en-US" w:eastAsia="zh-CN" w:bidi="ar"/>
        </w:rPr>
        <w:t>影响</w:t>
      </w:r>
    </w:p>
    <w:p>
      <w:pPr>
        <w:keepNext w:val="0"/>
        <w:keepLines w:val="0"/>
        <w:widowControl/>
        <w:suppressLineNumbers w:val="0"/>
        <w:jc w:val="left"/>
        <w:rPr>
          <w:rFonts w:hint="default" w:ascii="宋体" w:hAnsi="宋体" w:eastAsia="宋体" w:cs="宋体"/>
          <w:b/>
          <w:bCs/>
          <w:color w:val="auto"/>
          <w:kern w:val="0"/>
          <w:sz w:val="24"/>
          <w:szCs w:val="24"/>
          <w:lang w:val="en-US" w:eastAsia="zh-CN" w:bidi="ar"/>
        </w:rPr>
      </w:pPr>
      <w:r>
        <w:rPr>
          <w:rFonts w:hint="eastAsia" w:ascii="宋体" w:hAnsi="宋体" w:cs="宋体"/>
          <w:b/>
          <w:bCs/>
          <w:color w:val="auto"/>
          <w:kern w:val="0"/>
          <w:sz w:val="24"/>
          <w:szCs w:val="24"/>
          <w:lang w:val="en-US" w:eastAsia="zh-CN" w:bidi="ar"/>
        </w:rPr>
        <w:t>（1）灌溉退水去向</w:t>
      </w:r>
    </w:p>
    <w:p>
      <w:pPr>
        <w:keepNext w:val="0"/>
        <w:keepLines w:val="0"/>
        <w:widowControl/>
        <w:suppressLineNumbers w:val="0"/>
        <w:jc w:val="left"/>
        <w:rPr>
          <w:color w:val="0000FF"/>
        </w:rPr>
      </w:pPr>
      <w:r>
        <w:rPr>
          <w:rFonts w:hint="eastAsia" w:ascii="瀹嬩綋" w:hAnsi="瀹嬩綋" w:eastAsia="瀹嬩綋" w:cs="瀹嬩綋"/>
          <w:color w:val="0000FF"/>
          <w:kern w:val="0"/>
          <w:sz w:val="24"/>
          <w:szCs w:val="24"/>
          <w:lang w:val="en-US" w:eastAsia="zh-CN" w:bidi="ar"/>
        </w:rPr>
        <w:t>本项目</w:t>
      </w:r>
      <w:r>
        <w:rPr>
          <w:rFonts w:ascii="瀹嬩綋" w:hAnsi="瀹嬩綋" w:eastAsia="瀹嬩綋" w:cs="瀹嬩綋"/>
          <w:color w:val="0000FF"/>
          <w:kern w:val="0"/>
          <w:sz w:val="24"/>
          <w:szCs w:val="24"/>
          <w:lang w:val="en-US" w:eastAsia="zh-CN" w:bidi="ar"/>
        </w:rPr>
        <w:t>灌溉面积</w:t>
      </w:r>
      <w:r>
        <w:rPr>
          <w:rFonts w:hint="default" w:ascii="Times New Roman" w:hAnsi="Times New Roman" w:eastAsia="宋体" w:cs="Times New Roman"/>
          <w:color w:val="0000FF"/>
          <w:kern w:val="0"/>
          <w:sz w:val="24"/>
          <w:szCs w:val="24"/>
          <w:lang w:val="en-US" w:eastAsia="zh-CN" w:bidi="ar"/>
        </w:rPr>
        <w:t>3.49万亩</w:t>
      </w:r>
      <w:r>
        <w:rPr>
          <w:rFonts w:hint="default" w:ascii="瀹嬩綋" w:hAnsi="瀹嬩綋" w:eastAsia="瀹嬩綋" w:cs="瀹嬩綋"/>
          <w:color w:val="0000FF"/>
          <w:kern w:val="0"/>
          <w:sz w:val="24"/>
          <w:szCs w:val="24"/>
          <w:lang w:val="en-US" w:eastAsia="zh-CN" w:bidi="ar"/>
        </w:rPr>
        <w:t>，每年将向灌区提供灌溉用水为</w:t>
      </w:r>
      <w:r>
        <w:rPr>
          <w:rFonts w:hint="default" w:ascii="Times New Roman" w:hAnsi="Times New Roman" w:eastAsia="宋体" w:cs="Times New Roman"/>
          <w:color w:val="0000FF"/>
          <w:kern w:val="0"/>
          <w:sz w:val="24"/>
          <w:szCs w:val="24"/>
          <w:lang w:val="en-US" w:eastAsia="zh-CN" w:bidi="ar"/>
        </w:rPr>
        <w:t>760.7万m</w:t>
      </w:r>
      <w:r>
        <w:rPr>
          <w:rFonts w:hint="default" w:ascii="Times New Roman" w:hAnsi="Times New Roman" w:eastAsia="宋体" w:cs="Times New Roman"/>
          <w:color w:val="0000FF"/>
          <w:kern w:val="0"/>
          <w:sz w:val="24"/>
          <w:szCs w:val="24"/>
          <w:vertAlign w:val="superscript"/>
          <w:lang w:val="en-US" w:eastAsia="zh-CN" w:bidi="ar"/>
        </w:rPr>
        <w:t>3</w:t>
      </w:r>
      <w:r>
        <w:rPr>
          <w:rFonts w:hint="default" w:ascii="瀹嬩綋" w:hAnsi="瀹嬩綋" w:eastAsia="瀹嬩綋" w:cs="瀹嬩綋"/>
          <w:color w:val="0000FF"/>
          <w:kern w:val="0"/>
          <w:sz w:val="24"/>
          <w:szCs w:val="24"/>
          <w:lang w:val="en-US" w:eastAsia="zh-CN" w:bidi="ar"/>
        </w:rPr>
        <w:t>，经过渗漏、作物吸收、田间损失后预计约</w:t>
      </w:r>
      <w:r>
        <w:rPr>
          <w:rFonts w:hint="default" w:ascii="Times New Roman" w:hAnsi="Times New Roman" w:eastAsia="瀹嬩綋" w:cs="Times New Roman"/>
          <w:color w:val="0000FF"/>
          <w:kern w:val="0"/>
          <w:sz w:val="24"/>
          <w:szCs w:val="24"/>
          <w:lang w:val="en-US" w:eastAsia="zh-CN" w:bidi="ar"/>
        </w:rPr>
        <w:t>有131662.87m</w:t>
      </w:r>
      <w:r>
        <w:rPr>
          <w:rFonts w:hint="default" w:ascii="Times New Roman" w:hAnsi="Times New Roman" w:eastAsia="瀹嬩綋" w:cs="Times New Roman"/>
          <w:color w:val="0000FF"/>
          <w:kern w:val="0"/>
          <w:sz w:val="24"/>
          <w:szCs w:val="24"/>
          <w:vertAlign w:val="superscript"/>
          <w:lang w:val="en-US" w:eastAsia="zh-CN" w:bidi="ar"/>
        </w:rPr>
        <w:t>3</w:t>
      </w:r>
      <w:r>
        <w:rPr>
          <w:rFonts w:hint="default" w:ascii="Times New Roman" w:hAnsi="Times New Roman" w:eastAsia="瀹嬩綋" w:cs="Times New Roman"/>
          <w:color w:val="0000FF"/>
          <w:kern w:val="0"/>
          <w:sz w:val="24"/>
          <w:szCs w:val="24"/>
          <w:lang w:val="en-US" w:eastAsia="zh-CN" w:bidi="ar"/>
        </w:rPr>
        <w:t>/a</w:t>
      </w:r>
      <w:r>
        <w:rPr>
          <w:rFonts w:hint="default" w:ascii="瀹嬩綋" w:hAnsi="瀹嬩綋" w:eastAsia="瀹嬩綋" w:cs="瀹嬩綋"/>
          <w:color w:val="0000FF"/>
          <w:kern w:val="0"/>
          <w:sz w:val="24"/>
          <w:szCs w:val="24"/>
          <w:lang w:val="en-US" w:eastAsia="zh-CN" w:bidi="ar"/>
        </w:rPr>
        <w:t>水量通过农田退水回归到</w:t>
      </w:r>
      <w:r>
        <w:rPr>
          <w:rFonts w:hint="eastAsia" w:ascii="瀹嬩綋" w:hAnsi="瀹嬩綋" w:eastAsia="瀹嬩綋" w:cs="瀹嬩綋"/>
          <w:color w:val="0000FF"/>
          <w:kern w:val="0"/>
          <w:sz w:val="24"/>
          <w:szCs w:val="24"/>
          <w:lang w:val="en-US" w:eastAsia="zh-CN" w:bidi="ar"/>
        </w:rPr>
        <w:t>退水区姜驿河、沙沟箐</w:t>
      </w:r>
      <w:r>
        <w:rPr>
          <w:rFonts w:hint="default" w:ascii="瀹嬩綋" w:hAnsi="瀹嬩綋" w:eastAsia="瀹嬩綋" w:cs="瀹嬩綋"/>
          <w:color w:val="0000FF"/>
          <w:kern w:val="0"/>
          <w:sz w:val="24"/>
          <w:szCs w:val="24"/>
          <w:lang w:val="en-US" w:eastAsia="zh-CN" w:bidi="ar"/>
        </w:rPr>
        <w:t>等天然河段，退水过程为本月用水下月回归退水量的四成，再下月回归退水量的六成，退水高峰期发生于每年灌溉用水需求集中</w:t>
      </w:r>
      <w:r>
        <w:rPr>
          <w:rFonts w:hint="eastAsia" w:ascii="瀹嬩綋" w:hAnsi="瀹嬩綋" w:eastAsia="瀹嬩綋" w:cs="瀹嬩綋"/>
          <w:color w:val="0000FF"/>
          <w:kern w:val="0"/>
          <w:sz w:val="24"/>
          <w:szCs w:val="24"/>
          <w:lang w:val="en-US" w:eastAsia="zh-CN" w:bidi="ar"/>
        </w:rPr>
        <w:t>枯水期</w:t>
      </w:r>
      <w:r>
        <w:rPr>
          <w:rFonts w:hint="default" w:ascii="瀹嬩綋" w:hAnsi="瀹嬩綋" w:eastAsia="瀹嬩綋" w:cs="瀹嬩綋"/>
          <w:color w:val="0000FF"/>
          <w:kern w:val="0"/>
          <w:sz w:val="24"/>
          <w:szCs w:val="24"/>
          <w:lang w:val="en-US" w:eastAsia="zh-CN" w:bidi="ar"/>
        </w:rPr>
        <w:t>。</w:t>
      </w:r>
    </w:p>
    <w:p>
      <w:pPr>
        <w:keepNext w:val="0"/>
        <w:keepLines w:val="0"/>
        <w:widowControl/>
        <w:suppressLineNumbers w:val="0"/>
        <w:shd w:val="clear"/>
        <w:jc w:val="left"/>
        <w:rPr>
          <w:rFonts w:hint="default" w:ascii="Times New Roman" w:hAnsi="Times New Roman" w:eastAsia="瀹嬩綋" w:cs="Times New Roman"/>
          <w:color w:val="0000FF"/>
          <w:kern w:val="0"/>
          <w:sz w:val="24"/>
          <w:szCs w:val="24"/>
          <w:highlight w:val="none"/>
          <w:lang w:val="en-US" w:eastAsia="zh-CN" w:bidi="ar"/>
        </w:rPr>
      </w:pPr>
      <w:r>
        <w:rPr>
          <w:rFonts w:hint="default" w:ascii="Times New Roman" w:hAnsi="Times New Roman" w:eastAsia="瀹嬩綋" w:cs="Times New Roman"/>
          <w:color w:val="0000FF"/>
          <w:kern w:val="0"/>
          <w:sz w:val="24"/>
          <w:szCs w:val="24"/>
          <w:lang w:val="en-US" w:eastAsia="zh-CN" w:bidi="ar"/>
        </w:rPr>
        <w:t>灌溉回归水中的主要污染成分是氮、磷等有机物，汇入河道后，可能使河水富营养化。根据工程总平面布置及灌区规划，退水主要进入姜驿河、沙沟箐，最终进入金沙江</w:t>
      </w:r>
      <w:r>
        <w:rPr>
          <w:rFonts w:hint="default" w:ascii="Times New Roman" w:hAnsi="Times New Roman" w:eastAsia="瀹嬩綋" w:cs="Times New Roman"/>
          <w:color w:val="0000FF"/>
          <w:kern w:val="0"/>
          <w:sz w:val="24"/>
          <w:szCs w:val="24"/>
          <w:highlight w:val="none"/>
          <w:lang w:val="en-US" w:eastAsia="zh-CN" w:bidi="ar"/>
        </w:rPr>
        <w:t>。</w:t>
      </w:r>
      <w:r>
        <w:rPr>
          <w:rFonts w:hint="eastAsia" w:ascii="Times New Roman" w:hAnsi="Times New Roman" w:eastAsia="瀹嬩綋" w:cs="Times New Roman"/>
          <w:color w:val="0000FF"/>
          <w:kern w:val="0"/>
          <w:sz w:val="24"/>
          <w:szCs w:val="24"/>
          <w:highlight w:val="none"/>
          <w:lang w:val="en-US" w:eastAsia="zh-CN" w:bidi="ar"/>
        </w:rPr>
        <w:t>由于灌溉退水主要集中在旱季，项目所在区域较干旱，采用高效灌溉后在田间就已蒸发渗漏，不会形成径流，因此对沙沟箐、姜驿河影响较小，且</w:t>
      </w:r>
      <w:r>
        <w:rPr>
          <w:rFonts w:hint="default" w:ascii="Times New Roman" w:hAnsi="Times New Roman" w:eastAsia="瀹嬩綋" w:cs="Times New Roman"/>
          <w:color w:val="0000FF"/>
          <w:kern w:val="0"/>
          <w:sz w:val="24"/>
          <w:szCs w:val="24"/>
          <w:highlight w:val="none"/>
          <w:lang w:val="en-US" w:eastAsia="zh-CN" w:bidi="ar"/>
        </w:rPr>
        <w:t>姜驿河、沙沟箐属于高山溪沟性河流，全河段旱季基本无水，</w:t>
      </w:r>
      <w:r>
        <w:rPr>
          <w:rFonts w:hint="eastAsia" w:ascii="Times New Roman" w:hAnsi="Times New Roman" w:eastAsia="瀹嬩綋" w:cs="Times New Roman"/>
          <w:color w:val="0000FF"/>
          <w:kern w:val="0"/>
          <w:sz w:val="24"/>
          <w:szCs w:val="24"/>
          <w:highlight w:val="none"/>
          <w:lang w:val="en-US" w:eastAsia="zh-CN" w:bidi="ar"/>
        </w:rPr>
        <w:t>雨季有少量雨水汇流。</w:t>
      </w:r>
      <w:r>
        <w:rPr>
          <w:rFonts w:hint="default" w:ascii="Times New Roman" w:hAnsi="Times New Roman" w:eastAsia="瀹嬩綋" w:cs="Times New Roman"/>
          <w:color w:val="0000FF"/>
          <w:kern w:val="0"/>
          <w:sz w:val="24"/>
          <w:szCs w:val="24"/>
          <w:highlight w:val="none"/>
          <w:lang w:val="en-US" w:eastAsia="zh-CN" w:bidi="ar"/>
        </w:rPr>
        <w:t>故以2条季节性河流废水退入干流金沙江作为影响预测对象。</w:t>
      </w:r>
    </w:p>
    <w:p>
      <w:pPr>
        <w:keepNext w:val="0"/>
        <w:keepLines w:val="0"/>
        <w:widowControl/>
        <w:numPr>
          <w:ilvl w:val="0"/>
          <w:numId w:val="25"/>
        </w:numPr>
        <w:suppressLineNumbers w:val="0"/>
        <w:shd w:val="clear"/>
        <w:jc w:val="left"/>
        <w:rPr>
          <w:rFonts w:hint="eastAsia" w:ascii="宋体" w:hAnsi="宋体" w:eastAsia="宋体" w:cs="宋体"/>
          <w:b/>
          <w:bCs/>
          <w:color w:val="0000FF"/>
          <w:kern w:val="0"/>
          <w:sz w:val="24"/>
          <w:szCs w:val="24"/>
          <w:lang w:val="en-US" w:eastAsia="zh-CN" w:bidi="ar"/>
        </w:rPr>
      </w:pPr>
      <w:r>
        <w:rPr>
          <w:rFonts w:hint="eastAsia" w:ascii="宋体" w:hAnsi="宋体" w:eastAsia="宋体" w:cs="宋体"/>
          <w:b/>
          <w:bCs/>
          <w:color w:val="0000FF"/>
          <w:kern w:val="0"/>
          <w:sz w:val="24"/>
          <w:szCs w:val="24"/>
          <w:lang w:val="en-US" w:eastAsia="zh-CN" w:bidi="ar"/>
        </w:rPr>
        <w:t>灌区退水对</w:t>
      </w:r>
      <w:r>
        <w:rPr>
          <w:rFonts w:hint="eastAsia" w:ascii="宋体" w:hAnsi="宋体" w:cs="宋体"/>
          <w:b/>
          <w:bCs/>
          <w:color w:val="0000FF"/>
          <w:kern w:val="0"/>
          <w:sz w:val="24"/>
          <w:szCs w:val="24"/>
          <w:lang w:val="en-US" w:eastAsia="zh-CN" w:bidi="ar"/>
        </w:rPr>
        <w:t>金沙江的影响</w:t>
      </w:r>
    </w:p>
    <w:p>
      <w:pPr>
        <w:keepNext w:val="0"/>
        <w:keepLines w:val="0"/>
        <w:pageBreakBefore w:val="0"/>
        <w:widowControl/>
        <w:numPr>
          <w:ilvl w:val="0"/>
          <w:numId w:val="0"/>
        </w:numPr>
        <w:suppressLineNumbers w:val="0"/>
        <w:kinsoku/>
        <w:wordWrap/>
        <w:overflowPunct/>
        <w:topLinePunct w:val="0"/>
        <w:autoSpaceDE/>
        <w:autoSpaceDN/>
        <w:bidi w:val="0"/>
        <w:adjustRightInd/>
        <w:snapToGrid w:val="0"/>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预测模式如下：</w:t>
      </w:r>
    </w:p>
    <w:p>
      <w:pPr>
        <w:pStyle w:val="114"/>
        <w:ind w:left="0" w:leftChars="0" w:firstLine="0" w:firstLineChars="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position w:val="-14"/>
          <w:sz w:val="24"/>
          <w:szCs w:val="24"/>
          <w:highlight w:val="none"/>
        </w:rPr>
        <w:object>
          <v:shape id="_x0000_i1032" o:spt="75" type="#_x0000_t75" style="height:24.3pt;width:196.5pt;" o:ole="t" filled="f" o:preferrelative="t" stroked="f" coordsize="21600,21600">
            <v:path/>
            <v:fill on="f" focussize="0,0"/>
            <v:stroke on="f"/>
            <v:imagedata r:id="rId92" o:title=""/>
            <o:lock v:ext="edit" aspectratio="t"/>
            <w10:wrap type="none"/>
            <w10:anchorlock/>
          </v:shape>
          <o:OLEObject Type="Embed" ProgID="Equation.KSEE3" ShapeID="_x0000_i1032" DrawAspect="Content" ObjectID="_1468075732" r:id="rId91">
            <o:LockedField>false</o:LockedField>
          </o:OLEObject>
        </w:object>
      </w:r>
    </w:p>
    <w:p>
      <w:pPr>
        <w:ind w:firstLine="472"/>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式中：C</w:t>
      </w:r>
      <w:r>
        <w:rPr>
          <w:rFonts w:hint="default" w:ascii="Times New Roman" w:hAnsi="Times New Roman" w:cs="Times New Roman"/>
          <w:color w:val="auto"/>
          <w:sz w:val="24"/>
          <w:szCs w:val="24"/>
          <w:highlight w:val="none"/>
          <w:vertAlign w:val="subscript"/>
        </w:rPr>
        <w:t>h</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初始断面的污染物浓度</w:t>
      </w:r>
      <w:r>
        <w:rPr>
          <w:rFonts w:hint="default" w:ascii="Times New Roman" w:hAnsi="Times New Roman" w:cs="Times New Roman"/>
          <w:color w:val="auto"/>
          <w:sz w:val="24"/>
          <w:szCs w:val="24"/>
          <w:highlight w:val="none"/>
        </w:rPr>
        <w:t>（mg/L）；</w:t>
      </w:r>
    </w:p>
    <w:p>
      <w:pPr>
        <w:ind w:firstLine="472"/>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      C</w:t>
      </w:r>
      <w:r>
        <w:rPr>
          <w:rFonts w:hint="default" w:ascii="Times New Roman" w:hAnsi="Times New Roman" w:cs="Times New Roman"/>
          <w:color w:val="auto"/>
          <w:sz w:val="24"/>
          <w:szCs w:val="24"/>
          <w:highlight w:val="none"/>
          <w:vertAlign w:val="subscript"/>
        </w:rPr>
        <w:t>p</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排放的废污水污染物</w:t>
      </w:r>
      <w:r>
        <w:rPr>
          <w:rFonts w:hint="default" w:ascii="Times New Roman" w:hAnsi="Times New Roman" w:cs="Times New Roman"/>
          <w:color w:val="auto"/>
          <w:sz w:val="24"/>
          <w:szCs w:val="24"/>
          <w:highlight w:val="none"/>
        </w:rPr>
        <w:t>浓度（mg/L）；</w:t>
      </w:r>
    </w:p>
    <w:p>
      <w:pPr>
        <w:ind w:firstLine="472"/>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      Q</w:t>
      </w:r>
      <w:r>
        <w:rPr>
          <w:rFonts w:hint="default" w:ascii="Times New Roman" w:hAnsi="Times New Roman" w:cs="Times New Roman"/>
          <w:color w:val="auto"/>
          <w:sz w:val="24"/>
          <w:szCs w:val="24"/>
          <w:highlight w:val="none"/>
          <w:vertAlign w:val="subscript"/>
        </w:rPr>
        <w:t>h</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初始断面的</w:t>
      </w:r>
      <w:r>
        <w:rPr>
          <w:rFonts w:hint="default" w:ascii="Times New Roman" w:hAnsi="Times New Roman" w:cs="Times New Roman"/>
          <w:color w:val="auto"/>
          <w:sz w:val="24"/>
          <w:szCs w:val="24"/>
          <w:highlight w:val="none"/>
        </w:rPr>
        <w:t>河流流量（m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/s）；</w:t>
      </w:r>
    </w:p>
    <w:p>
      <w:pPr>
        <w:pStyle w:val="28"/>
        <w:rPr>
          <w:rFonts w:hint="default"/>
          <w:color w:val="auto"/>
          <w:lang w:val="en-US"/>
        </w:rPr>
      </w:pPr>
      <w:r>
        <w:rPr>
          <w:rFonts w:hint="default" w:ascii="Times New Roman" w:hAnsi="Times New Roman" w:cs="Times New Roman"/>
          <w:color w:val="auto"/>
          <w:sz w:val="24"/>
          <w:szCs w:val="24"/>
          <w:highlight w:val="none"/>
        </w:rPr>
        <w:t xml:space="preserve">      Q</w:t>
      </w:r>
      <w:r>
        <w:rPr>
          <w:rFonts w:hint="default" w:ascii="Times New Roman" w:hAnsi="Times New Roman" w:cs="Times New Roman"/>
          <w:color w:val="auto"/>
          <w:sz w:val="24"/>
          <w:szCs w:val="24"/>
          <w:highlight w:val="none"/>
          <w:vertAlign w:val="subscript"/>
        </w:rPr>
        <w:t>p</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废污水</w:t>
      </w:r>
      <w:r>
        <w:rPr>
          <w:rFonts w:hint="default" w:ascii="Times New Roman" w:hAnsi="Times New Roman" w:cs="Times New Roman"/>
          <w:color w:val="auto"/>
          <w:sz w:val="24"/>
          <w:szCs w:val="24"/>
          <w:highlight w:val="none"/>
        </w:rPr>
        <w:t>排放量（m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/s）</w:t>
      </w:r>
    </w:p>
    <w:p>
      <w:pPr>
        <w:keepNext w:val="0"/>
        <w:keepLines w:val="0"/>
        <w:widowControl/>
        <w:suppressLineNumbers w:val="0"/>
        <w:spacing w:line="360" w:lineRule="auto"/>
        <w:jc w:val="left"/>
        <w:rPr>
          <w:rFonts w:hint="default" w:ascii="Times New Roman" w:hAnsi="Times New Roman" w:eastAsia="宋体" w:cs="Times New Roman"/>
          <w:color w:val="auto"/>
          <w:kern w:val="0"/>
          <w:sz w:val="24"/>
          <w:szCs w:val="24"/>
          <w:lang w:val="en-US" w:eastAsia="zh-CN" w:bidi="ar"/>
        </w:rPr>
      </w:pPr>
      <w:r>
        <w:rPr>
          <w:rFonts w:hint="eastAsia" w:ascii="宋体" w:hAnsi="宋体" w:eastAsia="宋体" w:cs="宋体"/>
          <w:color w:val="auto"/>
          <w:kern w:val="0"/>
          <w:sz w:val="24"/>
          <w:szCs w:val="24"/>
          <w:lang w:val="en-US" w:eastAsia="zh-CN" w:bidi="ar"/>
        </w:rPr>
        <w:t>预测枯期最不利情况，即典型枯水年水文条件下的变化过程。预测因子选取</w:t>
      </w:r>
      <w:r>
        <w:rPr>
          <w:rFonts w:hint="default" w:ascii="Times New Roman" w:hAnsi="Times New Roman" w:eastAsia="宋体" w:cs="Times New Roman"/>
          <w:color w:val="auto"/>
          <w:kern w:val="0"/>
          <w:sz w:val="24"/>
          <w:szCs w:val="24"/>
          <w:lang w:val="en-US" w:eastAsia="zh-CN" w:bidi="ar"/>
        </w:rPr>
        <w:t>氨氮、总磷。</w:t>
      </w:r>
    </w:p>
    <w:p>
      <w:pPr>
        <w:bidi w:val="0"/>
        <w:rPr>
          <w:rFonts w:hint="default"/>
          <w:color w:val="auto"/>
          <w:lang w:val="en-US" w:eastAsia="zh-CN"/>
        </w:rPr>
      </w:pPr>
      <w:r>
        <w:rPr>
          <w:rFonts w:hint="eastAsia"/>
          <w:color w:val="auto"/>
          <w:lang w:val="en-US" w:eastAsia="zh-CN"/>
        </w:rPr>
        <w:t>根据工程分析，本项目灌片按照比例计算得退水量131662.87</w:t>
      </w:r>
      <w:r>
        <w:rPr>
          <w:rFonts w:hint="default"/>
          <w:color w:val="auto"/>
          <w:lang w:val="en-US" w:eastAsia="zh-CN"/>
        </w:rPr>
        <w:t>m</w:t>
      </w:r>
      <w:r>
        <w:rPr>
          <w:rFonts w:hint="default"/>
          <w:color w:val="auto"/>
          <w:vertAlign w:val="superscript"/>
          <w:lang w:val="en-US" w:eastAsia="zh-CN"/>
        </w:rPr>
        <w:t>3</w:t>
      </w:r>
      <w:r>
        <w:rPr>
          <w:rFonts w:hint="default"/>
          <w:color w:val="auto"/>
          <w:lang w:val="en-US" w:eastAsia="zh-CN"/>
        </w:rPr>
        <w:t>/a</w:t>
      </w:r>
      <w:r>
        <w:rPr>
          <w:rFonts w:hint="eastAsia"/>
          <w:color w:val="auto"/>
          <w:lang w:val="en-US" w:eastAsia="zh-CN"/>
        </w:rPr>
        <w:t>，平均流量</w:t>
      </w:r>
      <w:r>
        <w:rPr>
          <w:rFonts w:hint="default"/>
          <w:color w:val="auto"/>
          <w:lang w:val="en-US" w:eastAsia="zh-CN"/>
        </w:rPr>
        <w:t>0.025</w:t>
      </w:r>
      <w:r>
        <w:rPr>
          <w:rFonts w:hint="eastAsia"/>
          <w:color w:val="auto"/>
          <w:lang w:val="en-US" w:eastAsia="zh-CN"/>
        </w:rPr>
        <w:t>4</w:t>
      </w:r>
      <w:r>
        <w:rPr>
          <w:rFonts w:hint="default"/>
          <w:color w:val="auto"/>
          <w:lang w:val="en-US" w:eastAsia="zh-CN"/>
        </w:rPr>
        <w:t>m</w:t>
      </w:r>
      <w:r>
        <w:rPr>
          <w:rFonts w:hint="default"/>
          <w:color w:val="auto"/>
          <w:vertAlign w:val="superscript"/>
          <w:lang w:val="en-US" w:eastAsia="zh-CN"/>
        </w:rPr>
        <w:t>3</w:t>
      </w:r>
      <w:r>
        <w:rPr>
          <w:rFonts w:hint="default"/>
          <w:color w:val="auto"/>
          <w:lang w:val="en-US" w:eastAsia="zh-CN"/>
        </w:rPr>
        <w:t>/s</w:t>
      </w:r>
      <w:r>
        <w:rPr>
          <w:rFonts w:hint="eastAsia"/>
          <w:color w:val="auto"/>
          <w:lang w:val="en-US" w:eastAsia="zh-CN"/>
        </w:rPr>
        <w:t>。灌溉退水污染负荷为：化学需氧量：6.062t/a；氨氮：0.796t/a；总磷：0.628t/a；</w:t>
      </w:r>
    </w:p>
    <w:p>
      <w:pPr>
        <w:keepNext w:val="0"/>
        <w:keepLines w:val="0"/>
        <w:pageBreakBefore w:val="0"/>
        <w:widowControl/>
        <w:suppressLineNumbers w:val="0"/>
        <w:kinsoku/>
        <w:wordWrap/>
        <w:overflowPunct/>
        <w:topLinePunct w:val="0"/>
        <w:autoSpaceDE/>
        <w:autoSpaceDN/>
        <w:bidi w:val="0"/>
        <w:adjustRightInd/>
        <w:snapToGrid w:val="0"/>
        <w:ind w:left="0" w:leftChars="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本次预测污染源采用灌区</w:t>
      </w:r>
      <w:r>
        <w:rPr>
          <w:rFonts w:hint="default" w:ascii="Times New Roman" w:hAnsi="Times New Roman" w:eastAsia="宋体" w:cs="Times New Roman"/>
          <w:color w:val="auto"/>
          <w:kern w:val="0"/>
          <w:sz w:val="24"/>
          <w:szCs w:val="24"/>
          <w:lang w:val="en-US" w:eastAsia="zh-CN" w:bidi="ar"/>
        </w:rPr>
        <w:t>2035</w:t>
      </w:r>
      <w:r>
        <w:rPr>
          <w:rFonts w:hint="eastAsia" w:ascii="宋体" w:hAnsi="宋体" w:eastAsia="宋体" w:cs="宋体"/>
          <w:color w:val="auto"/>
          <w:kern w:val="0"/>
          <w:sz w:val="24"/>
          <w:szCs w:val="24"/>
          <w:lang w:val="en-US" w:eastAsia="zh-CN" w:bidi="ar"/>
        </w:rPr>
        <w:t>污染物排放量，见下表。</w:t>
      </w:r>
    </w:p>
    <w:p>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jc w:val="center"/>
        <w:textAlignment w:val="auto"/>
        <w:rPr>
          <w:rFonts w:hint="default" w:ascii="Times New Roman" w:hAnsi="Times New Roman" w:cs="Times New Roman"/>
          <w:b/>
          <w:bCs/>
          <w:color w:val="auto"/>
          <w:sz w:val="21"/>
          <w:szCs w:val="21"/>
          <w:lang w:val="en-US"/>
        </w:rPr>
      </w:pPr>
      <w:r>
        <w:rPr>
          <w:rFonts w:hint="default" w:ascii="Times New Roman" w:hAnsi="Times New Roman" w:cs="Times New Roman"/>
          <w:b/>
          <w:bCs/>
          <w:color w:val="auto"/>
          <w:kern w:val="0"/>
          <w:sz w:val="21"/>
          <w:szCs w:val="21"/>
          <w:lang w:val="en-US" w:eastAsia="zh-CN" w:bidi="ar"/>
        </w:rPr>
        <w:t>表 5.2</w:t>
      </w:r>
      <w:r>
        <w:rPr>
          <w:rFonts w:hint="eastAsia" w:ascii="Times New Roman" w:hAnsi="Times New Roman" w:cs="Times New Roman"/>
          <w:b/>
          <w:bCs/>
          <w:color w:val="auto"/>
          <w:kern w:val="0"/>
          <w:sz w:val="21"/>
          <w:szCs w:val="21"/>
          <w:lang w:val="en-US" w:eastAsia="zh-CN" w:bidi="ar"/>
        </w:rPr>
        <w:t>.2</w:t>
      </w:r>
      <w:r>
        <w:rPr>
          <w:rFonts w:hint="default" w:ascii="Times New Roman" w:hAnsi="Times New Roman" w:cs="Times New Roman"/>
          <w:b/>
          <w:bCs/>
          <w:color w:val="auto"/>
          <w:kern w:val="0"/>
          <w:sz w:val="21"/>
          <w:szCs w:val="21"/>
          <w:lang w:val="en-US" w:eastAsia="zh-CN" w:bidi="ar"/>
        </w:rPr>
        <w:t>-</w:t>
      </w:r>
      <w:r>
        <w:rPr>
          <w:rFonts w:hint="eastAsia" w:ascii="Times New Roman" w:hAnsi="Times New Roman" w:cs="Times New Roman"/>
          <w:b/>
          <w:bCs/>
          <w:color w:val="auto"/>
          <w:kern w:val="0"/>
          <w:sz w:val="21"/>
          <w:szCs w:val="21"/>
          <w:lang w:val="en-US" w:eastAsia="zh-CN" w:bidi="ar"/>
        </w:rPr>
        <w:t>4</w:t>
      </w:r>
      <w:r>
        <w:rPr>
          <w:rFonts w:hint="default" w:ascii="Times New Roman" w:hAnsi="Times New Roman" w:cs="Times New Roman"/>
          <w:b/>
          <w:bCs/>
          <w:color w:val="auto"/>
          <w:kern w:val="0"/>
          <w:sz w:val="21"/>
          <w:szCs w:val="21"/>
          <w:lang w:val="en-US" w:eastAsia="zh-CN" w:bidi="ar"/>
        </w:rPr>
        <w:t xml:space="preserve"> </w:t>
      </w:r>
      <w:r>
        <w:rPr>
          <w:rFonts w:hint="eastAsia" w:cs="Times New Roman"/>
          <w:b/>
          <w:bCs/>
          <w:color w:val="auto"/>
          <w:kern w:val="0"/>
          <w:sz w:val="21"/>
          <w:szCs w:val="21"/>
          <w:lang w:val="en-US" w:eastAsia="zh-CN" w:bidi="ar"/>
        </w:rPr>
        <w:t xml:space="preserve"> </w:t>
      </w:r>
      <w:r>
        <w:rPr>
          <w:rFonts w:hint="default" w:ascii="Times New Roman" w:hAnsi="Times New Roman" w:cs="Times New Roman"/>
          <w:b/>
          <w:bCs/>
          <w:color w:val="auto"/>
          <w:kern w:val="0"/>
          <w:sz w:val="21"/>
          <w:szCs w:val="21"/>
          <w:lang w:val="en-US" w:eastAsia="zh-CN" w:bidi="ar"/>
        </w:rPr>
        <w:t>灌区农业面源污染物负荷估算表 单位：t/a</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3"/>
        <w:gridCol w:w="1016"/>
        <w:gridCol w:w="1064"/>
        <w:gridCol w:w="1549"/>
        <w:gridCol w:w="1425"/>
        <w:gridCol w:w="22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700" w:type="pct"/>
            <w:vMerge w:val="restart"/>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退水量（</w:t>
            </w:r>
            <w:r>
              <w:rPr>
                <w:rFonts w:hint="default"/>
                <w:b/>
                <w:bCs/>
                <w:color w:val="auto"/>
                <w:sz w:val="21"/>
                <w:szCs w:val="21"/>
                <w:lang w:val="en-US" w:eastAsia="zh-CN"/>
              </w:rPr>
              <w:t>m</w:t>
            </w:r>
            <w:r>
              <w:rPr>
                <w:rFonts w:hint="default"/>
                <w:b/>
                <w:bCs/>
                <w:color w:val="auto"/>
                <w:sz w:val="21"/>
                <w:szCs w:val="21"/>
                <w:vertAlign w:val="superscript"/>
                <w:lang w:val="en-US" w:eastAsia="zh-CN"/>
              </w:rPr>
              <w:t>3</w:t>
            </w:r>
            <w:r>
              <w:rPr>
                <w:rFonts w:hint="default"/>
                <w:b/>
                <w:bCs/>
                <w:color w:val="auto"/>
                <w:sz w:val="21"/>
                <w:szCs w:val="21"/>
                <w:lang w:val="en-US" w:eastAsia="zh-CN"/>
              </w:rPr>
              <w:t>/a</w:t>
            </w:r>
            <w:r>
              <w:rPr>
                <w:rFonts w:hint="default" w:ascii="Times New Roman" w:hAnsi="Times New Roman" w:cs="Times New Roman"/>
                <w:b/>
                <w:bCs/>
                <w:color w:val="auto"/>
                <w:sz w:val="21"/>
                <w:szCs w:val="21"/>
                <w:vertAlign w:val="baseline"/>
                <w:lang w:val="en-US" w:eastAsia="zh-CN"/>
              </w:rPr>
              <w:t>）</w:t>
            </w:r>
          </w:p>
        </w:tc>
        <w:tc>
          <w:tcPr>
            <w:tcW w:w="596" w:type="pct"/>
            <w:vMerge w:val="restart"/>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流量</w:t>
            </w:r>
          </w:p>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（m³/s）</w:t>
            </w:r>
          </w:p>
        </w:tc>
        <w:tc>
          <w:tcPr>
            <w:tcW w:w="624" w:type="pct"/>
            <w:vMerge w:val="restart"/>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受纳水体</w:t>
            </w:r>
          </w:p>
        </w:tc>
        <w:tc>
          <w:tcPr>
            <w:tcW w:w="3078" w:type="pct"/>
            <w:gridSpan w:val="3"/>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规划水平年2035年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700" w:type="pct"/>
            <w:vMerge w:val="continue"/>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bCs/>
                <w:color w:val="auto"/>
                <w:sz w:val="21"/>
                <w:szCs w:val="21"/>
                <w:vertAlign w:val="baseline"/>
                <w:lang w:val="en-US" w:eastAsia="zh-CN"/>
              </w:rPr>
            </w:pPr>
          </w:p>
        </w:tc>
        <w:tc>
          <w:tcPr>
            <w:tcW w:w="596" w:type="pct"/>
            <w:vMerge w:val="continue"/>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bCs/>
                <w:color w:val="auto"/>
                <w:sz w:val="21"/>
                <w:szCs w:val="21"/>
                <w:vertAlign w:val="baseline"/>
                <w:lang w:val="en-US" w:eastAsia="zh-CN"/>
              </w:rPr>
            </w:pPr>
          </w:p>
        </w:tc>
        <w:tc>
          <w:tcPr>
            <w:tcW w:w="624" w:type="pct"/>
            <w:vMerge w:val="continue"/>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bCs/>
                <w:color w:val="auto"/>
                <w:sz w:val="21"/>
                <w:szCs w:val="21"/>
                <w:vertAlign w:val="baseline"/>
                <w:lang w:val="en-US" w:eastAsia="zh-CN"/>
              </w:rPr>
            </w:pPr>
          </w:p>
        </w:tc>
        <w:tc>
          <w:tcPr>
            <w:tcW w:w="909" w:type="pct"/>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氨氮（</w:t>
            </w:r>
            <w:r>
              <w:rPr>
                <w:rFonts w:hint="eastAsia" w:eastAsia="宋体" w:cs="Times New Roman"/>
                <w:b/>
                <w:bCs/>
                <w:color w:val="auto"/>
                <w:kern w:val="0"/>
                <w:sz w:val="21"/>
                <w:szCs w:val="21"/>
                <w:lang w:val="en-US" w:eastAsia="zh-CN" w:bidi="ar"/>
              </w:rPr>
              <w:t>t/a</w:t>
            </w:r>
            <w:r>
              <w:rPr>
                <w:rFonts w:hint="eastAsia" w:ascii="Times New Roman" w:hAnsi="Times New Roman" w:cs="Times New Roman"/>
                <w:b/>
                <w:bCs/>
                <w:color w:val="auto"/>
                <w:sz w:val="21"/>
                <w:szCs w:val="21"/>
                <w:vertAlign w:val="baseline"/>
                <w:lang w:val="en-US" w:eastAsia="zh-CN"/>
              </w:rPr>
              <w:t>）</w:t>
            </w:r>
          </w:p>
        </w:tc>
        <w:tc>
          <w:tcPr>
            <w:tcW w:w="836" w:type="pct"/>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总磷</w:t>
            </w:r>
            <w:r>
              <w:rPr>
                <w:rFonts w:hint="eastAsia" w:ascii="Times New Roman" w:hAnsi="Times New Roman" w:cs="Times New Roman"/>
                <w:b/>
                <w:bCs/>
                <w:color w:val="auto"/>
                <w:sz w:val="21"/>
                <w:szCs w:val="21"/>
                <w:vertAlign w:val="baseline"/>
                <w:lang w:val="en-US" w:eastAsia="zh-CN"/>
              </w:rPr>
              <w:t>（</w:t>
            </w:r>
            <w:r>
              <w:rPr>
                <w:rFonts w:hint="eastAsia" w:eastAsia="宋体" w:cs="Times New Roman"/>
                <w:b/>
                <w:bCs/>
                <w:color w:val="auto"/>
                <w:kern w:val="0"/>
                <w:sz w:val="21"/>
                <w:szCs w:val="21"/>
                <w:lang w:val="en-US" w:eastAsia="zh-CN" w:bidi="ar"/>
              </w:rPr>
              <w:t>t/a</w:t>
            </w:r>
            <w:r>
              <w:rPr>
                <w:rFonts w:hint="eastAsia" w:ascii="Times New Roman" w:hAnsi="Times New Roman" w:cs="Times New Roman"/>
                <w:b/>
                <w:bCs/>
                <w:color w:val="auto"/>
                <w:sz w:val="21"/>
                <w:szCs w:val="21"/>
                <w:vertAlign w:val="baseline"/>
                <w:lang w:val="en-US" w:eastAsia="zh-CN"/>
              </w:rPr>
              <w:t>）</w:t>
            </w:r>
          </w:p>
        </w:tc>
        <w:tc>
          <w:tcPr>
            <w:tcW w:w="1332" w:type="pct"/>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化学需氧量</w:t>
            </w:r>
            <w:r>
              <w:rPr>
                <w:rFonts w:hint="eastAsia" w:ascii="Times New Roman" w:hAnsi="Times New Roman" w:cs="Times New Roman"/>
                <w:b/>
                <w:bCs/>
                <w:color w:val="auto"/>
                <w:sz w:val="21"/>
                <w:szCs w:val="21"/>
                <w:vertAlign w:val="baseline"/>
                <w:lang w:val="en-US" w:eastAsia="zh-CN"/>
              </w:rPr>
              <w:t>（</w:t>
            </w:r>
            <w:r>
              <w:rPr>
                <w:rFonts w:hint="eastAsia" w:eastAsia="宋体" w:cs="Times New Roman"/>
                <w:b/>
                <w:bCs/>
                <w:color w:val="auto"/>
                <w:kern w:val="0"/>
                <w:sz w:val="21"/>
                <w:szCs w:val="21"/>
                <w:lang w:val="en-US" w:eastAsia="zh-CN" w:bidi="ar"/>
              </w:rPr>
              <w:t>t/a</w:t>
            </w:r>
            <w:r>
              <w:rPr>
                <w:rFonts w:hint="eastAsia" w:ascii="Times New Roman" w:hAnsi="Times New Roman" w:cs="Times New Roman"/>
                <w:b/>
                <w:bCs/>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700" w:type="pct"/>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131662.87</w:t>
            </w:r>
          </w:p>
        </w:tc>
        <w:tc>
          <w:tcPr>
            <w:tcW w:w="596" w:type="pct"/>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val="0"/>
                <w:bCs w:val="0"/>
                <w:color w:val="auto"/>
                <w:sz w:val="21"/>
                <w:szCs w:val="21"/>
                <w:vertAlign w:val="baseline"/>
                <w:lang w:val="en-US" w:eastAsia="zh-CN"/>
              </w:rPr>
            </w:pPr>
            <w:r>
              <w:rPr>
                <w:rFonts w:hint="default"/>
                <w:b w:val="0"/>
                <w:bCs w:val="0"/>
                <w:color w:val="auto"/>
                <w:sz w:val="21"/>
                <w:szCs w:val="21"/>
                <w:lang w:val="en-US" w:eastAsia="zh-CN"/>
              </w:rPr>
              <w:t>0.025</w:t>
            </w:r>
            <w:r>
              <w:rPr>
                <w:rFonts w:hint="eastAsia"/>
                <w:b w:val="0"/>
                <w:bCs w:val="0"/>
                <w:color w:val="auto"/>
                <w:sz w:val="21"/>
                <w:szCs w:val="21"/>
                <w:lang w:val="en-US" w:eastAsia="zh-CN"/>
              </w:rPr>
              <w:t>4</w:t>
            </w:r>
          </w:p>
        </w:tc>
        <w:tc>
          <w:tcPr>
            <w:tcW w:w="624" w:type="pct"/>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姜驿河、沙沟箐</w:t>
            </w:r>
          </w:p>
        </w:tc>
        <w:tc>
          <w:tcPr>
            <w:tcW w:w="909" w:type="pct"/>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b w:val="0"/>
                <w:bCs w:val="0"/>
                <w:color w:val="auto"/>
                <w:sz w:val="21"/>
                <w:szCs w:val="21"/>
                <w:lang w:val="en-US" w:eastAsia="zh-CN"/>
              </w:rPr>
              <w:t>0.796</w:t>
            </w:r>
          </w:p>
        </w:tc>
        <w:tc>
          <w:tcPr>
            <w:tcW w:w="836" w:type="pct"/>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b w:val="0"/>
                <w:bCs w:val="0"/>
                <w:color w:val="auto"/>
                <w:sz w:val="21"/>
                <w:szCs w:val="21"/>
                <w:lang w:val="en-US" w:eastAsia="zh-CN"/>
              </w:rPr>
              <w:t>0.628</w:t>
            </w:r>
          </w:p>
        </w:tc>
        <w:tc>
          <w:tcPr>
            <w:tcW w:w="1332" w:type="pct"/>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b w:val="0"/>
                <w:bCs w:val="0"/>
                <w:color w:val="auto"/>
                <w:sz w:val="21"/>
                <w:szCs w:val="21"/>
                <w:lang w:val="en-US" w:eastAsia="zh-CN"/>
              </w:rPr>
              <w:t>6.062</w:t>
            </w:r>
          </w:p>
        </w:tc>
      </w:tr>
    </w:tbl>
    <w:p>
      <w:pPr>
        <w:keepNext w:val="0"/>
        <w:keepLines w:val="0"/>
        <w:widowControl/>
        <w:suppressLineNumbers w:val="0"/>
        <w:jc w:val="left"/>
        <w:rPr>
          <w:rFonts w:hint="eastAsia" w:ascii="宋体" w:hAnsi="宋体" w:eastAsia="宋体" w:cs="宋体"/>
          <w:color w:val="0000FF"/>
          <w:kern w:val="0"/>
          <w:sz w:val="24"/>
          <w:szCs w:val="24"/>
          <w:lang w:val="en-US" w:eastAsia="zh-CN" w:bidi="ar"/>
        </w:rPr>
      </w:pPr>
      <w:r>
        <w:rPr>
          <w:rFonts w:hint="eastAsia" w:ascii="宋体" w:hAnsi="宋体" w:eastAsia="宋体" w:cs="宋体"/>
          <w:color w:val="0000FF"/>
          <w:kern w:val="0"/>
          <w:sz w:val="24"/>
          <w:szCs w:val="24"/>
          <w:lang w:val="en-US" w:eastAsia="zh-CN" w:bidi="ar"/>
        </w:rPr>
        <w:t>金沙江大湾子省控断面位于工程区上游约3km处，</w:t>
      </w:r>
      <w:r>
        <w:rPr>
          <w:rFonts w:hint="eastAsia" w:ascii="宋体" w:hAnsi="宋体" w:cs="宋体"/>
          <w:color w:val="0000FF"/>
          <w:kern w:val="0"/>
          <w:sz w:val="24"/>
          <w:szCs w:val="24"/>
          <w:lang w:val="en-US" w:eastAsia="zh-CN" w:bidi="ar"/>
        </w:rPr>
        <w:t>阿咪拉取水点位于工程区下游。</w:t>
      </w:r>
      <w:r>
        <w:rPr>
          <w:rFonts w:hint="eastAsia" w:ascii="宋体" w:hAnsi="宋体" w:eastAsia="宋体" w:cs="宋体"/>
          <w:color w:val="0000FF"/>
          <w:kern w:val="0"/>
          <w:sz w:val="24"/>
          <w:szCs w:val="24"/>
          <w:lang w:val="en-US" w:eastAsia="zh-CN" w:bidi="ar"/>
        </w:rPr>
        <w:t>本次评价采用完全混合模型用于预测完全混合的污染物浓度分析对金沙江大湾子省控断面</w:t>
      </w:r>
      <w:r>
        <w:rPr>
          <w:rFonts w:hint="eastAsia" w:ascii="宋体" w:hAnsi="宋体" w:cs="宋体"/>
          <w:color w:val="0000FF"/>
          <w:kern w:val="0"/>
          <w:sz w:val="24"/>
          <w:szCs w:val="24"/>
          <w:lang w:val="en-US" w:eastAsia="zh-CN" w:bidi="ar"/>
        </w:rPr>
        <w:t>及下游阿咪拉取水点</w:t>
      </w:r>
      <w:r>
        <w:rPr>
          <w:rFonts w:hint="eastAsia" w:ascii="宋体" w:hAnsi="宋体" w:eastAsia="宋体" w:cs="宋体"/>
          <w:color w:val="0000FF"/>
          <w:kern w:val="0"/>
          <w:sz w:val="24"/>
          <w:szCs w:val="24"/>
          <w:lang w:val="en-US" w:eastAsia="zh-CN" w:bidi="ar"/>
        </w:rPr>
        <w:t>的影响。</w:t>
      </w:r>
    </w:p>
    <w:p>
      <w:pPr>
        <w:keepNext w:val="0"/>
        <w:keepLines w:val="0"/>
        <w:widowControl/>
        <w:suppressLineNumbers w:val="0"/>
        <w:jc w:val="left"/>
        <w:rPr>
          <w:rFonts w:hint="eastAsia" w:ascii="宋体" w:hAnsi="宋体" w:eastAsia="宋体" w:cs="宋体"/>
          <w:color w:val="0000FF"/>
          <w:kern w:val="0"/>
          <w:sz w:val="24"/>
          <w:szCs w:val="24"/>
          <w:lang w:val="en-US" w:eastAsia="zh-CN" w:bidi="ar"/>
        </w:rPr>
      </w:pPr>
      <w:r>
        <w:rPr>
          <w:rFonts w:hint="eastAsia" w:ascii="宋体" w:hAnsi="宋体" w:cs="宋体"/>
          <w:color w:val="0000FF"/>
          <w:kern w:val="0"/>
          <w:sz w:val="24"/>
          <w:szCs w:val="24"/>
          <w:lang w:val="en-US" w:eastAsia="zh-CN" w:bidi="ar"/>
        </w:rPr>
        <w:t>游</w:t>
      </w:r>
      <w:r>
        <w:rPr>
          <w:rFonts w:hint="eastAsia" w:ascii="宋体" w:hAnsi="宋体" w:eastAsia="宋体" w:cs="宋体"/>
          <w:color w:val="0000FF"/>
          <w:kern w:val="0"/>
          <w:sz w:val="24"/>
          <w:szCs w:val="24"/>
          <w:lang w:val="en-US" w:eastAsia="zh-CN" w:bidi="ar"/>
        </w:rPr>
        <w:t>预测浓度</w:t>
      </w:r>
      <w:r>
        <w:rPr>
          <w:rFonts w:hint="eastAsia" w:ascii="宋体" w:hAnsi="宋体" w:cs="宋体"/>
          <w:color w:val="0000FF"/>
          <w:kern w:val="0"/>
          <w:sz w:val="24"/>
          <w:szCs w:val="24"/>
          <w:lang w:val="en-US" w:eastAsia="zh-CN" w:bidi="ar"/>
        </w:rPr>
        <w:t>如下：</w:t>
      </w:r>
    </w:p>
    <w:p>
      <w:pPr>
        <w:keepNext w:val="0"/>
        <w:keepLines w:val="0"/>
        <w:pageBreakBefore w:val="0"/>
        <w:widowControl/>
        <w:suppressLineNumbers w:val="0"/>
        <w:kinsoku/>
        <w:wordWrap/>
        <w:overflowPunct/>
        <w:topLinePunct w:val="0"/>
        <w:autoSpaceDE/>
        <w:autoSpaceDN/>
        <w:bidi w:val="0"/>
        <w:adjustRightInd/>
        <w:snapToGrid w:val="0"/>
        <w:spacing w:line="240" w:lineRule="auto"/>
        <w:ind w:left="0" w:leftChars="0" w:firstLine="643"/>
        <w:jc w:val="center"/>
        <w:textAlignment w:val="auto"/>
        <w:rPr>
          <w:rFonts w:hint="default" w:ascii="Times New Roman" w:hAnsi="Times New Roman" w:eastAsia="宋体" w:cs="Times New Roman"/>
          <w:b/>
          <w:bCs/>
          <w:color w:val="0000FF"/>
          <w:kern w:val="0"/>
          <w:sz w:val="21"/>
          <w:szCs w:val="21"/>
          <w:lang w:val="en-US" w:eastAsia="zh-CN" w:bidi="ar"/>
        </w:rPr>
      </w:pPr>
      <w:r>
        <w:rPr>
          <w:rFonts w:hint="eastAsia" w:ascii="Times New Roman" w:hAnsi="Times New Roman" w:eastAsia="宋体" w:cs="Times New Roman"/>
          <w:b/>
          <w:bCs/>
          <w:color w:val="0000FF"/>
          <w:kern w:val="0"/>
          <w:sz w:val="21"/>
          <w:szCs w:val="21"/>
          <w:lang w:val="en-US" w:eastAsia="zh-CN" w:bidi="ar"/>
        </w:rPr>
        <w:t>表5.2.2-5  灌溉退水混合浓度计算表</w:t>
      </w:r>
      <w:r>
        <w:rPr>
          <w:rFonts w:hint="eastAsia" w:cs="Times New Roman"/>
          <w:b/>
          <w:bCs/>
          <w:color w:val="0000FF"/>
          <w:kern w:val="0"/>
          <w:sz w:val="21"/>
          <w:szCs w:val="21"/>
          <w:lang w:val="en-US" w:eastAsia="zh-CN" w:bidi="ar"/>
        </w:rPr>
        <w:t xml:space="preserve"> 单位：</w:t>
      </w:r>
      <w:r>
        <w:rPr>
          <w:rFonts w:hint="default" w:ascii="Times New Roman" w:hAnsi="Times New Roman" w:eastAsia="宋体" w:cs="Times New Roman"/>
          <w:b/>
          <w:bCs/>
          <w:color w:val="0000FF"/>
          <w:sz w:val="21"/>
          <w:szCs w:val="21"/>
          <w:highlight w:val="none"/>
          <w:vertAlign w:val="baseline"/>
        </w:rPr>
        <w:t>mg/L</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3"/>
        <w:gridCol w:w="1703"/>
        <w:gridCol w:w="1703"/>
        <w:gridCol w:w="1551"/>
        <w:gridCol w:w="18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color w:val="0000FF"/>
                <w:kern w:val="0"/>
                <w:sz w:val="21"/>
                <w:szCs w:val="21"/>
                <w:vertAlign w:val="baseline"/>
                <w:lang w:val="en-US" w:eastAsia="zh-CN" w:bidi="ar"/>
              </w:rPr>
            </w:pPr>
            <w:r>
              <w:rPr>
                <w:rFonts w:hint="default" w:ascii="Times New Roman" w:hAnsi="Times New Roman" w:cs="Times New Roman"/>
                <w:b/>
                <w:bCs/>
                <w:color w:val="0000FF"/>
                <w:kern w:val="0"/>
                <w:sz w:val="21"/>
                <w:szCs w:val="21"/>
                <w:vertAlign w:val="baseline"/>
                <w:lang w:val="en-US" w:eastAsia="zh-CN" w:bidi="ar"/>
              </w:rPr>
              <w:t>项目</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b/>
                <w:bCs/>
                <w:color w:val="0000FF"/>
                <w:sz w:val="21"/>
                <w:szCs w:val="21"/>
                <w:lang w:val="en-US" w:eastAsia="zh-CN"/>
              </w:rPr>
            </w:pPr>
            <w:r>
              <w:rPr>
                <w:rFonts w:hint="default" w:ascii="Times New Roman" w:hAnsi="Times New Roman" w:cs="Times New Roman"/>
                <w:b/>
                <w:bCs/>
                <w:color w:val="0000FF"/>
                <w:kern w:val="0"/>
                <w:sz w:val="21"/>
                <w:szCs w:val="21"/>
                <w:vertAlign w:val="baseline"/>
                <w:lang w:val="en-US" w:eastAsia="zh-CN" w:bidi="ar"/>
              </w:rPr>
              <w:t>流量m³/s</w:t>
            </w:r>
          </w:p>
        </w:tc>
        <w:tc>
          <w:tcPr>
            <w:tcW w:w="999" w:type="pct"/>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eastAsia="宋体" w:cs="Times New Roman"/>
                <w:b/>
                <w:bCs/>
                <w:color w:val="0000FF"/>
                <w:kern w:val="0"/>
                <w:sz w:val="21"/>
                <w:szCs w:val="21"/>
                <w:vertAlign w:val="baseline"/>
                <w:lang w:val="en-US" w:eastAsia="zh-CN" w:bidi="ar"/>
              </w:rPr>
            </w:pPr>
            <w:r>
              <w:rPr>
                <w:rFonts w:hint="default" w:ascii="Times New Roman" w:hAnsi="Times New Roman" w:cs="Times New Roman"/>
                <w:b/>
                <w:bCs/>
                <w:color w:val="0000FF"/>
                <w:sz w:val="21"/>
                <w:szCs w:val="21"/>
                <w:vertAlign w:val="baseline"/>
                <w:lang w:val="en-US" w:eastAsia="zh-CN"/>
              </w:rPr>
              <w:t>氨氮</w:t>
            </w:r>
          </w:p>
        </w:tc>
        <w:tc>
          <w:tcPr>
            <w:tcW w:w="910" w:type="pct"/>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eastAsia="宋体" w:cs="Times New Roman"/>
                <w:color w:val="0000FF"/>
                <w:kern w:val="0"/>
                <w:sz w:val="21"/>
                <w:szCs w:val="21"/>
                <w:vertAlign w:val="baseline"/>
                <w:lang w:val="en-US" w:eastAsia="zh-CN" w:bidi="ar"/>
              </w:rPr>
            </w:pPr>
            <w:r>
              <w:rPr>
                <w:rFonts w:hint="default" w:ascii="Times New Roman" w:hAnsi="Times New Roman" w:cs="Times New Roman"/>
                <w:color w:val="0000FF"/>
                <w:sz w:val="21"/>
                <w:szCs w:val="21"/>
                <w:vertAlign w:val="baseline"/>
                <w:lang w:val="en-US" w:eastAsia="zh-CN"/>
              </w:rPr>
              <w:t>总磷</w:t>
            </w:r>
          </w:p>
        </w:tc>
        <w:tc>
          <w:tcPr>
            <w:tcW w:w="1090" w:type="pct"/>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0000FF"/>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化学需氧量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灌溉退水</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default" w:ascii="Times New Roman" w:hAnsi="Times New Roman" w:eastAsia="宋体" w:cs="Times New Roman"/>
                <w:color w:val="0000FF"/>
                <w:kern w:val="0"/>
                <w:sz w:val="21"/>
                <w:szCs w:val="21"/>
                <w:vertAlign w:val="baseline"/>
                <w:lang w:val="en-US" w:eastAsia="zh-CN" w:bidi="ar"/>
              </w:rPr>
              <w:t>0.0254</w:t>
            </w:r>
          </w:p>
        </w:tc>
        <w:tc>
          <w:tcPr>
            <w:tcW w:w="999" w:type="pct"/>
            <w:vAlign w:val="center"/>
          </w:tcPr>
          <w:p>
            <w:pPr>
              <w:pStyle w:val="35"/>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0000FF"/>
                <w:kern w:val="0"/>
                <w:sz w:val="21"/>
                <w:szCs w:val="21"/>
                <w:vertAlign w:val="baseline"/>
                <w:lang w:val="en-US" w:eastAsia="zh-CN" w:bidi="ar"/>
              </w:rPr>
            </w:pPr>
            <w:r>
              <w:rPr>
                <w:rFonts w:hint="default" w:ascii="Times New Roman" w:hAnsi="Times New Roman" w:cs="Times New Roman"/>
                <w:b w:val="0"/>
                <w:bCs w:val="0"/>
                <w:color w:val="0000FF"/>
                <w:kern w:val="0"/>
                <w:sz w:val="21"/>
                <w:szCs w:val="21"/>
                <w:vertAlign w:val="baseline"/>
                <w:lang w:val="en-US" w:eastAsia="zh-CN" w:bidi="ar"/>
              </w:rPr>
              <w:t>6.05</w:t>
            </w:r>
          </w:p>
        </w:tc>
        <w:tc>
          <w:tcPr>
            <w:tcW w:w="910" w:type="pct"/>
            <w:vAlign w:val="center"/>
          </w:tcPr>
          <w:p>
            <w:pPr>
              <w:pStyle w:val="35"/>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0000FF"/>
                <w:kern w:val="0"/>
                <w:sz w:val="21"/>
                <w:szCs w:val="21"/>
                <w:vertAlign w:val="baseline"/>
                <w:lang w:val="en-US" w:eastAsia="zh-CN" w:bidi="ar"/>
              </w:rPr>
            </w:pPr>
            <w:r>
              <w:rPr>
                <w:rFonts w:hint="default" w:ascii="Times New Roman" w:hAnsi="Times New Roman" w:cs="Times New Roman"/>
                <w:b w:val="0"/>
                <w:bCs w:val="0"/>
                <w:color w:val="0000FF"/>
                <w:kern w:val="0"/>
                <w:sz w:val="21"/>
                <w:szCs w:val="21"/>
                <w:vertAlign w:val="baseline"/>
                <w:lang w:val="en-US" w:eastAsia="zh-CN" w:bidi="ar"/>
              </w:rPr>
              <w:t>4.77</w:t>
            </w:r>
          </w:p>
        </w:tc>
        <w:tc>
          <w:tcPr>
            <w:tcW w:w="1090" w:type="pct"/>
            <w:vAlign w:val="center"/>
          </w:tcPr>
          <w:p>
            <w:pPr>
              <w:pStyle w:val="35"/>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0000FF"/>
                <w:kern w:val="0"/>
                <w:sz w:val="21"/>
                <w:szCs w:val="21"/>
                <w:vertAlign w:val="baseline"/>
                <w:lang w:val="en-US" w:eastAsia="zh-CN" w:bidi="ar"/>
              </w:rPr>
            </w:pPr>
            <w:r>
              <w:rPr>
                <w:rFonts w:hint="default" w:ascii="Times New Roman" w:hAnsi="Times New Roman" w:cs="Times New Roman"/>
                <w:b w:val="0"/>
                <w:bCs w:val="0"/>
                <w:color w:val="0000FF"/>
                <w:kern w:val="0"/>
                <w:sz w:val="21"/>
                <w:szCs w:val="21"/>
                <w:vertAlign w:val="baseline"/>
                <w:lang w:val="en-US" w:eastAsia="zh-CN" w:bidi="ar"/>
              </w:rPr>
              <w:t>46.04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金沙江大湾子省控断面初始浓度</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622</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0.04</w:t>
            </w:r>
          </w:p>
        </w:tc>
        <w:tc>
          <w:tcPr>
            <w:tcW w:w="91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0.03</w:t>
            </w:r>
          </w:p>
        </w:tc>
        <w:tc>
          <w:tcPr>
            <w:tcW w:w="109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灌溉退水-金沙江大湾子省控断面混合</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0.04</w:t>
            </w:r>
          </w:p>
        </w:tc>
        <w:tc>
          <w:tcPr>
            <w:tcW w:w="91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0.03</w:t>
            </w:r>
          </w:p>
        </w:tc>
        <w:tc>
          <w:tcPr>
            <w:tcW w:w="109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阿咪拉取水点断面初始浓度</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622</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0.56</w:t>
            </w:r>
          </w:p>
        </w:tc>
        <w:tc>
          <w:tcPr>
            <w:tcW w:w="91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0.01</w:t>
            </w:r>
          </w:p>
        </w:tc>
        <w:tc>
          <w:tcPr>
            <w:tcW w:w="1090"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灌溉退水-阿咪拉取水点断面混合</w:t>
            </w:r>
          </w:p>
        </w:tc>
        <w:tc>
          <w:tcPr>
            <w:tcW w:w="99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0000FF"/>
                <w:kern w:val="0"/>
                <w:sz w:val="21"/>
                <w:szCs w:val="21"/>
                <w:vertAlign w:val="baseline"/>
                <w:lang w:val="en-US" w:eastAsia="zh-CN" w:bidi="ar"/>
              </w:rPr>
            </w:pPr>
            <w:r>
              <w:rPr>
                <w:rFonts w:hint="default" w:ascii="Times New Roman" w:hAnsi="Times New Roman" w:cs="Times New Roman"/>
                <w:color w:val="0000FF"/>
                <w:kern w:val="0"/>
                <w:sz w:val="21"/>
                <w:szCs w:val="21"/>
                <w:vertAlign w:val="baseline"/>
                <w:lang w:val="en-US" w:eastAsia="zh-CN" w:bidi="ar"/>
              </w:rPr>
              <w:t>/</w:t>
            </w:r>
          </w:p>
        </w:tc>
        <w:tc>
          <w:tcPr>
            <w:tcW w:w="170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kern w:val="0"/>
                <w:sz w:val="21"/>
                <w:szCs w:val="21"/>
                <w:vertAlign w:val="baseli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 xml:space="preserve">0.56 </w:t>
            </w:r>
          </w:p>
        </w:tc>
        <w:tc>
          <w:tcPr>
            <w:tcW w:w="1551"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kern w:val="0"/>
                <w:sz w:val="21"/>
                <w:szCs w:val="21"/>
                <w:vertAlign w:val="baseli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 xml:space="preserve">0.01 </w:t>
            </w:r>
          </w:p>
        </w:tc>
        <w:tc>
          <w:tcPr>
            <w:tcW w:w="1859"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cs="Times New Roman"/>
                <w:color w:val="0000FF"/>
                <w:kern w:val="0"/>
                <w:sz w:val="21"/>
                <w:szCs w:val="21"/>
                <w:vertAlign w:val="baseli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1.80</w:t>
            </w:r>
          </w:p>
        </w:tc>
      </w:tr>
    </w:tbl>
    <w:p>
      <w:pPr>
        <w:keepNext w:val="0"/>
        <w:keepLines w:val="0"/>
        <w:widowControl/>
        <w:suppressLineNumbers w:val="0"/>
        <w:jc w:val="left"/>
        <w:rPr>
          <w:rFonts w:hint="default"/>
          <w:color w:val="0000FF"/>
          <w:lang w:val="en-US"/>
        </w:rPr>
      </w:pPr>
      <w:r>
        <w:rPr>
          <w:rFonts w:hint="eastAsia" w:ascii="宋体" w:hAnsi="宋体" w:eastAsia="宋体" w:cs="宋体"/>
          <w:color w:val="0000FF"/>
          <w:kern w:val="0"/>
          <w:sz w:val="19"/>
          <w:szCs w:val="19"/>
          <w:lang w:val="en-US" w:eastAsia="zh-CN" w:bidi="ar"/>
        </w:rPr>
        <w:t>注：采用例行监测的金沙江（省控大湾子断面）</w:t>
      </w:r>
      <w:r>
        <w:rPr>
          <w:rFonts w:hint="default" w:ascii="Times New Roman" w:hAnsi="Times New Roman" w:eastAsia="宋体" w:cs="Times New Roman"/>
          <w:color w:val="0000FF"/>
          <w:kern w:val="0"/>
          <w:sz w:val="19"/>
          <w:szCs w:val="19"/>
          <w:lang w:val="en-US" w:eastAsia="zh-CN" w:bidi="ar"/>
        </w:rPr>
        <w:t xml:space="preserve">2022 </w:t>
      </w:r>
      <w:r>
        <w:rPr>
          <w:rFonts w:hint="eastAsia" w:ascii="宋体" w:hAnsi="宋体" w:eastAsia="宋体" w:cs="宋体"/>
          <w:color w:val="0000FF"/>
          <w:kern w:val="0"/>
          <w:sz w:val="19"/>
          <w:szCs w:val="19"/>
          <w:lang w:val="en-US" w:eastAsia="zh-CN" w:bidi="ar"/>
        </w:rPr>
        <w:t xml:space="preserve">年 </w:t>
      </w:r>
      <w:r>
        <w:rPr>
          <w:rFonts w:hint="default" w:ascii="Times New Roman" w:hAnsi="Times New Roman" w:eastAsia="宋体" w:cs="Times New Roman"/>
          <w:color w:val="0000FF"/>
          <w:kern w:val="0"/>
          <w:sz w:val="19"/>
          <w:szCs w:val="19"/>
          <w:lang w:val="en-US" w:eastAsia="zh-CN" w:bidi="ar"/>
        </w:rPr>
        <w:t xml:space="preserve">1 </w:t>
      </w:r>
      <w:r>
        <w:rPr>
          <w:rFonts w:hint="eastAsia" w:ascii="宋体" w:hAnsi="宋体" w:eastAsia="宋体" w:cs="宋体"/>
          <w:color w:val="0000FF"/>
          <w:kern w:val="0"/>
          <w:sz w:val="19"/>
          <w:szCs w:val="19"/>
          <w:lang w:val="en-US" w:eastAsia="zh-CN" w:bidi="ar"/>
        </w:rPr>
        <w:t xml:space="preserve">至 </w:t>
      </w:r>
      <w:r>
        <w:rPr>
          <w:rFonts w:hint="default" w:ascii="Times New Roman" w:hAnsi="Times New Roman" w:eastAsia="宋体" w:cs="Times New Roman"/>
          <w:color w:val="0000FF"/>
          <w:kern w:val="0"/>
          <w:sz w:val="19"/>
          <w:szCs w:val="19"/>
          <w:lang w:val="en-US" w:eastAsia="zh-CN" w:bidi="ar"/>
        </w:rPr>
        <w:t xml:space="preserve">12 </w:t>
      </w:r>
      <w:r>
        <w:rPr>
          <w:rFonts w:hint="eastAsia" w:ascii="宋体" w:hAnsi="宋体" w:eastAsia="宋体" w:cs="宋体"/>
          <w:color w:val="0000FF"/>
          <w:kern w:val="0"/>
          <w:sz w:val="19"/>
          <w:szCs w:val="19"/>
          <w:lang w:val="en-US" w:eastAsia="zh-CN" w:bidi="ar"/>
        </w:rPr>
        <w:t>月监测数据平均值</w:t>
      </w:r>
      <w:r>
        <w:rPr>
          <w:rFonts w:hint="eastAsia" w:ascii="宋体" w:hAnsi="宋体" w:cs="宋体"/>
          <w:color w:val="0000FF"/>
          <w:kern w:val="0"/>
          <w:sz w:val="19"/>
          <w:szCs w:val="19"/>
          <w:lang w:val="en-US" w:eastAsia="zh-CN" w:bidi="ar"/>
        </w:rPr>
        <w:t>及2022年4月阿咪拉取水点监测数据。</w:t>
      </w:r>
    </w:p>
    <w:p>
      <w:pPr>
        <w:keepNext w:val="0"/>
        <w:keepLines w:val="0"/>
        <w:widowControl/>
        <w:suppressLineNumbers w:val="0"/>
        <w:jc w:val="left"/>
        <w:rPr>
          <w:rFonts w:hint="default" w:ascii="Times New Roman" w:hAnsi="Times New Roman" w:cs="Times New Roman"/>
          <w:color w:val="0000FF"/>
          <w:kern w:val="0"/>
          <w:sz w:val="24"/>
          <w:szCs w:val="24"/>
          <w:highlight w:val="none"/>
          <w:lang w:val="en-US" w:eastAsia="zh-CN" w:bidi="ar"/>
        </w:rPr>
      </w:pPr>
      <w:r>
        <w:rPr>
          <w:rFonts w:hint="default" w:ascii="Times New Roman" w:hAnsi="Times New Roman" w:eastAsia="宋体" w:cs="Times New Roman"/>
          <w:color w:val="0000FF"/>
          <w:kern w:val="0"/>
          <w:sz w:val="24"/>
          <w:szCs w:val="24"/>
          <w:highlight w:val="none"/>
          <w:lang w:val="en-US" w:eastAsia="zh-CN" w:bidi="ar"/>
        </w:rPr>
        <w:t>根据上表，本项目</w:t>
      </w:r>
      <w:r>
        <w:rPr>
          <w:rFonts w:hint="default" w:ascii="Times New Roman" w:hAnsi="Times New Roman" w:cs="Times New Roman"/>
          <w:color w:val="0000FF"/>
          <w:kern w:val="0"/>
          <w:sz w:val="24"/>
          <w:szCs w:val="24"/>
          <w:highlight w:val="none"/>
          <w:lang w:val="en-US" w:eastAsia="zh-CN" w:bidi="ar"/>
        </w:rPr>
        <w:t>灌溉退水退入金沙江乌东德库区污染物的浓度为：氨氮6.05mg/L、总磷4.77mg/L、化学需氧量46.04mg/L</w:t>
      </w:r>
      <w:r>
        <w:rPr>
          <w:rFonts w:hint="eastAsia" w:ascii="Times New Roman" w:hAnsi="Times New Roman" w:cs="Times New Roman"/>
          <w:color w:val="0000FF"/>
          <w:kern w:val="0"/>
          <w:sz w:val="24"/>
          <w:szCs w:val="24"/>
          <w:highlight w:val="none"/>
          <w:lang w:val="en-US" w:eastAsia="zh-CN" w:bidi="ar"/>
        </w:rPr>
        <w:t>。经混合后，上游大湾子断面及阿咪拉取水点水质均为受到明显影响。</w:t>
      </w:r>
    </w:p>
    <w:p>
      <w:pPr>
        <w:keepNext w:val="0"/>
        <w:keepLines w:val="0"/>
        <w:widowControl/>
        <w:suppressLineNumbers w:val="0"/>
        <w:jc w:val="left"/>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根据《楚雄州水资源保护规划》（报批稿）（楚雄州水务局），规划灌区设计年退水污染物总量与楚雄境内金沙江限制排污总量符合性见下表。</w:t>
      </w:r>
    </w:p>
    <w:p>
      <w:pPr>
        <w:keepNext w:val="0"/>
        <w:keepLines w:val="0"/>
        <w:widowControl/>
        <w:suppressLineNumbers w:val="0"/>
        <w:spacing w:line="240" w:lineRule="auto"/>
        <w:jc w:val="center"/>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 xml:space="preserve">表 </w:t>
      </w:r>
      <w:r>
        <w:rPr>
          <w:rFonts w:hint="default" w:ascii="Times New Roman" w:hAnsi="Times New Roman" w:cs="Times New Roman"/>
          <w:b/>
          <w:bCs/>
          <w:color w:val="auto"/>
          <w:kern w:val="0"/>
          <w:sz w:val="24"/>
          <w:szCs w:val="24"/>
          <w:lang w:val="en-US" w:eastAsia="zh-CN" w:bidi="ar"/>
        </w:rPr>
        <w:t>5</w:t>
      </w:r>
      <w:r>
        <w:rPr>
          <w:rFonts w:hint="default" w:ascii="Times New Roman" w:hAnsi="Times New Roman" w:eastAsia="宋体" w:cs="Times New Roman"/>
          <w:b/>
          <w:bCs/>
          <w:color w:val="auto"/>
          <w:kern w:val="0"/>
          <w:sz w:val="24"/>
          <w:szCs w:val="24"/>
          <w:lang w:val="en-US" w:eastAsia="zh-CN" w:bidi="ar"/>
        </w:rPr>
        <w:t>.2</w:t>
      </w:r>
      <w:r>
        <w:rPr>
          <w:rFonts w:hint="eastAsia" w:ascii="Times New Roman" w:hAnsi="Times New Roman" w:eastAsia="宋体" w:cs="Times New Roman"/>
          <w:b/>
          <w:bCs/>
          <w:color w:val="auto"/>
          <w:kern w:val="0"/>
          <w:sz w:val="24"/>
          <w:szCs w:val="24"/>
          <w:lang w:val="en-US" w:eastAsia="zh-CN" w:bidi="ar"/>
        </w:rPr>
        <w:t>.2</w:t>
      </w:r>
      <w:r>
        <w:rPr>
          <w:rFonts w:hint="default" w:ascii="Times New Roman" w:hAnsi="Times New Roman" w:eastAsia="宋体" w:cs="Times New Roman"/>
          <w:b/>
          <w:bCs/>
          <w:color w:val="auto"/>
          <w:kern w:val="0"/>
          <w:sz w:val="24"/>
          <w:szCs w:val="24"/>
          <w:lang w:val="en-US" w:eastAsia="zh-CN" w:bidi="ar"/>
        </w:rPr>
        <w:t>-</w:t>
      </w:r>
      <w:r>
        <w:rPr>
          <w:rFonts w:hint="eastAsia" w:ascii="Times New Roman" w:hAnsi="Times New Roman" w:cs="Times New Roman"/>
          <w:b/>
          <w:bCs/>
          <w:color w:val="auto"/>
          <w:kern w:val="0"/>
          <w:sz w:val="24"/>
          <w:szCs w:val="24"/>
          <w:lang w:val="en-US" w:eastAsia="zh-CN" w:bidi="ar"/>
        </w:rPr>
        <w:t>6</w:t>
      </w:r>
      <w:r>
        <w:rPr>
          <w:rFonts w:hint="default" w:ascii="Times New Roman" w:hAnsi="Times New Roman" w:eastAsia="宋体" w:cs="Times New Roman"/>
          <w:b/>
          <w:bCs/>
          <w:color w:val="auto"/>
          <w:kern w:val="0"/>
          <w:sz w:val="24"/>
          <w:szCs w:val="24"/>
          <w:lang w:val="en-US" w:eastAsia="zh-CN" w:bidi="ar"/>
        </w:rPr>
        <w:t xml:space="preserve"> 设计 2035 年退水污染物总量与限制排污量对比表</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0"/>
        <w:gridCol w:w="3355"/>
        <w:gridCol w:w="1633"/>
        <w:gridCol w:w="1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cs="Times New Roman"/>
                <w:b/>
                <w:bCs/>
                <w:color w:val="auto"/>
                <w:kern w:val="0"/>
                <w:sz w:val="21"/>
                <w:szCs w:val="21"/>
                <w:vertAlign w:val="baseline"/>
                <w:lang w:val="en-US" w:eastAsia="zh-CN" w:bidi="ar"/>
              </w:rPr>
              <w:t>项目</w:t>
            </w:r>
          </w:p>
        </w:tc>
        <w:tc>
          <w:tcPr>
            <w:tcW w:w="6710" w:type="dxa"/>
            <w:gridSpan w:val="3"/>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b/>
                <w:bCs/>
                <w:color w:val="auto"/>
                <w:kern w:val="0"/>
                <w:sz w:val="21"/>
                <w:szCs w:val="21"/>
                <w:vertAlign w:val="baseline"/>
                <w:lang w:val="en-US" w:eastAsia="zh-CN" w:bidi="ar"/>
              </w:rPr>
              <w:t>设计水平年2035年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b/>
                <w:bCs/>
                <w:color w:val="auto"/>
                <w:kern w:val="0"/>
                <w:sz w:val="21"/>
                <w:szCs w:val="21"/>
                <w:vertAlign w:val="baseline"/>
                <w:lang w:val="en-US" w:eastAsia="zh-CN" w:bidi="ar"/>
              </w:rPr>
            </w:pPr>
          </w:p>
        </w:tc>
        <w:tc>
          <w:tcPr>
            <w:tcW w:w="3355" w:type="dxa"/>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化学需氧量</w:t>
            </w:r>
            <w:r>
              <w:rPr>
                <w:rFonts w:hint="default" w:ascii="Times New Roman" w:hAnsi="Times New Roman" w:eastAsia="宋体" w:cs="Times New Roman"/>
                <w:b/>
                <w:bCs/>
                <w:color w:val="auto"/>
                <w:sz w:val="21"/>
                <w:szCs w:val="21"/>
                <w:highlight w:val="none"/>
                <w:vertAlign w:val="baseline"/>
              </w:rPr>
              <w:t>（</w:t>
            </w:r>
            <w:r>
              <w:rPr>
                <w:rFonts w:hint="default" w:ascii="Times New Roman" w:hAnsi="Times New Roman" w:eastAsia="宋体" w:cs="Times New Roman"/>
                <w:b/>
                <w:bCs/>
                <w:color w:val="auto"/>
                <w:sz w:val="21"/>
                <w:szCs w:val="21"/>
                <w:highlight w:val="none"/>
                <w:vertAlign w:val="baseline"/>
                <w:lang w:val="en-US" w:eastAsia="zh-CN"/>
              </w:rPr>
              <w:t>t/a</w:t>
            </w:r>
            <w:r>
              <w:rPr>
                <w:rFonts w:hint="default" w:ascii="Times New Roman" w:hAnsi="Times New Roman" w:eastAsia="宋体" w:cs="Times New Roman"/>
                <w:b/>
                <w:bCs/>
                <w:color w:val="auto"/>
                <w:sz w:val="21"/>
                <w:szCs w:val="21"/>
                <w:highlight w:val="none"/>
                <w:vertAlign w:val="baseline"/>
              </w:rPr>
              <w:t>）</w:t>
            </w:r>
          </w:p>
        </w:tc>
        <w:tc>
          <w:tcPr>
            <w:tcW w:w="1633" w:type="dxa"/>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cs="Times New Roman"/>
                <w:b/>
                <w:bCs/>
                <w:color w:val="auto"/>
                <w:sz w:val="21"/>
                <w:szCs w:val="21"/>
                <w:vertAlign w:val="baseline"/>
                <w:lang w:val="en-US" w:eastAsia="zh-CN"/>
              </w:rPr>
              <w:t>氨氮</w:t>
            </w:r>
            <w:r>
              <w:rPr>
                <w:rFonts w:hint="default" w:ascii="Times New Roman" w:hAnsi="Times New Roman" w:eastAsia="宋体" w:cs="Times New Roman"/>
                <w:b/>
                <w:bCs/>
                <w:color w:val="auto"/>
                <w:sz w:val="21"/>
                <w:szCs w:val="21"/>
                <w:highlight w:val="none"/>
                <w:vertAlign w:val="baseline"/>
              </w:rPr>
              <w:t>（</w:t>
            </w:r>
            <w:r>
              <w:rPr>
                <w:rFonts w:hint="default" w:ascii="Times New Roman" w:hAnsi="Times New Roman" w:eastAsia="宋体" w:cs="Times New Roman"/>
                <w:b/>
                <w:bCs/>
                <w:color w:val="auto"/>
                <w:sz w:val="21"/>
                <w:szCs w:val="21"/>
                <w:highlight w:val="none"/>
                <w:vertAlign w:val="baseline"/>
                <w:lang w:val="en-US" w:eastAsia="zh-CN"/>
              </w:rPr>
              <w:t>t/a</w:t>
            </w:r>
            <w:r>
              <w:rPr>
                <w:rFonts w:hint="default" w:ascii="Times New Roman" w:hAnsi="Times New Roman" w:eastAsia="宋体" w:cs="Times New Roman"/>
                <w:b/>
                <w:bCs/>
                <w:color w:val="auto"/>
                <w:sz w:val="21"/>
                <w:szCs w:val="21"/>
                <w:highlight w:val="none"/>
                <w:vertAlign w:val="baseline"/>
              </w:rPr>
              <w:t>）</w:t>
            </w:r>
          </w:p>
        </w:tc>
        <w:tc>
          <w:tcPr>
            <w:tcW w:w="1722" w:type="dxa"/>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cs="Times New Roman"/>
                <w:color w:val="auto"/>
                <w:sz w:val="21"/>
                <w:szCs w:val="21"/>
                <w:vertAlign w:val="baseline"/>
                <w:lang w:val="en-US" w:eastAsia="zh-CN"/>
              </w:rPr>
              <w:t>总磷</w:t>
            </w:r>
            <w:r>
              <w:rPr>
                <w:rFonts w:hint="default" w:ascii="Times New Roman" w:hAnsi="Times New Roman" w:eastAsia="宋体" w:cs="Times New Roman"/>
                <w:b/>
                <w:bCs/>
                <w:color w:val="auto"/>
                <w:sz w:val="21"/>
                <w:szCs w:val="21"/>
                <w:highlight w:val="none"/>
                <w:vertAlign w:val="baseline"/>
              </w:rPr>
              <w:t>（</w:t>
            </w:r>
            <w:r>
              <w:rPr>
                <w:rFonts w:hint="default" w:ascii="Times New Roman" w:hAnsi="Times New Roman" w:eastAsia="宋体" w:cs="Times New Roman"/>
                <w:b/>
                <w:bCs/>
                <w:color w:val="auto"/>
                <w:sz w:val="21"/>
                <w:szCs w:val="21"/>
                <w:highlight w:val="none"/>
                <w:vertAlign w:val="baseline"/>
                <w:lang w:val="en-US" w:eastAsia="zh-CN"/>
              </w:rPr>
              <w:t>t/a</w:t>
            </w:r>
            <w:r>
              <w:rPr>
                <w:rFonts w:hint="default" w:ascii="Times New Roman" w:hAnsi="Times New Roman" w:eastAsia="宋体" w:cs="Times New Roman"/>
                <w:b/>
                <w:bCs/>
                <w:color w:val="auto"/>
                <w:sz w:val="21"/>
                <w:szCs w:val="21"/>
                <w:highlight w:val="none"/>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cs="Times New Roman"/>
                <w:color w:val="auto"/>
                <w:kern w:val="0"/>
                <w:sz w:val="21"/>
                <w:szCs w:val="21"/>
                <w:vertAlign w:val="baseline"/>
                <w:lang w:val="en-US" w:eastAsia="zh-CN" w:bidi="ar"/>
              </w:rPr>
              <w:t>整个灌区</w:t>
            </w:r>
          </w:p>
        </w:tc>
        <w:tc>
          <w:tcPr>
            <w:tcW w:w="3355" w:type="dxa"/>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6.062</w:t>
            </w:r>
          </w:p>
        </w:tc>
        <w:tc>
          <w:tcPr>
            <w:tcW w:w="1633" w:type="dxa"/>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eastAsia" w:cs="Times New Roman"/>
                <w:b w:val="0"/>
                <w:bCs w:val="0"/>
                <w:color w:val="auto"/>
                <w:sz w:val="21"/>
                <w:szCs w:val="21"/>
                <w:vertAlign w:val="baseline"/>
                <w:lang w:val="en-US" w:eastAsia="zh-CN"/>
              </w:rPr>
              <w:t>0.796</w:t>
            </w:r>
          </w:p>
        </w:tc>
        <w:tc>
          <w:tcPr>
            <w:tcW w:w="1722" w:type="dxa"/>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eastAsia" w:cs="Times New Roman"/>
                <w:b w:val="0"/>
                <w:bCs w:val="0"/>
                <w:color w:val="auto"/>
                <w:sz w:val="21"/>
                <w:szCs w:val="21"/>
                <w:vertAlign w:val="baseline"/>
                <w:lang w:val="en-US" w:eastAsia="zh-CN"/>
              </w:rPr>
              <w:t>0.628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楚雄境内金沙江限制排污总量</w:t>
            </w:r>
          </w:p>
        </w:tc>
        <w:tc>
          <w:tcPr>
            <w:tcW w:w="335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12048.9</w:t>
            </w:r>
          </w:p>
        </w:tc>
        <w:tc>
          <w:tcPr>
            <w:tcW w:w="163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1013.5</w:t>
            </w:r>
          </w:p>
        </w:tc>
        <w:tc>
          <w:tcPr>
            <w:tcW w:w="172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lang w:val="en-US" w:eastAsia="zh-CN" w:bidi="ar"/>
              </w:rPr>
              <w:t>24.6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0"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灌区退水污染物占比</w:t>
            </w:r>
            <w:r>
              <w:rPr>
                <w:rFonts w:hint="eastAsia" w:cs="Times New Roman"/>
                <w:color w:val="auto"/>
                <w:kern w:val="0"/>
                <w:sz w:val="21"/>
                <w:szCs w:val="21"/>
                <w:vertAlign w:val="baseline"/>
                <w:lang w:val="en-US" w:eastAsia="zh-CN" w:bidi="ar"/>
              </w:rPr>
              <w:t>（％）</w:t>
            </w:r>
          </w:p>
        </w:tc>
        <w:tc>
          <w:tcPr>
            <w:tcW w:w="3355"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w:t>
            </w:r>
          </w:p>
        </w:tc>
        <w:tc>
          <w:tcPr>
            <w:tcW w:w="163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0.08</w:t>
            </w:r>
          </w:p>
        </w:tc>
        <w:tc>
          <w:tcPr>
            <w:tcW w:w="1722"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textAlignment w:val="center"/>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2.55</w:t>
            </w:r>
          </w:p>
        </w:tc>
      </w:tr>
    </w:tbl>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根据上表可知，本项目建成后设计年2035年规划灌区退水污染物排放总量未超过《楚雄州水资源保护规划》（报批稿）（楚雄州水务局）中楚雄境内金沙江限制排污</w:t>
      </w:r>
      <w:r>
        <w:rPr>
          <w:rFonts w:hint="eastAsia" w:cs="Times New Roman"/>
          <w:color w:val="auto"/>
          <w:kern w:val="0"/>
          <w:sz w:val="24"/>
          <w:szCs w:val="24"/>
          <w:lang w:val="en-US" w:eastAsia="zh-CN" w:bidi="ar"/>
        </w:rPr>
        <w:t>总量</w:t>
      </w:r>
      <w:r>
        <w:rPr>
          <w:rFonts w:hint="default" w:ascii="Times New Roman" w:hAnsi="Times New Roman" w:eastAsia="宋体" w:cs="Times New Roman"/>
          <w:color w:val="auto"/>
          <w:kern w:val="0"/>
          <w:sz w:val="24"/>
          <w:szCs w:val="24"/>
          <w:lang w:val="en-US" w:eastAsia="zh-CN" w:bidi="ar"/>
        </w:rPr>
        <w:t>控制，其中退水污染物总量</w:t>
      </w:r>
      <w:r>
        <w:rPr>
          <w:rFonts w:hint="eastAsia" w:cs="Times New Roman"/>
          <w:color w:val="auto"/>
          <w:kern w:val="0"/>
          <w:sz w:val="24"/>
          <w:szCs w:val="24"/>
          <w:lang w:val="en-US" w:eastAsia="zh-CN" w:bidi="ar"/>
        </w:rPr>
        <w:t>中化学需氧量、</w:t>
      </w:r>
      <w:r>
        <w:rPr>
          <w:rFonts w:hint="default" w:ascii="Times New Roman" w:hAnsi="Times New Roman" w:eastAsia="宋体" w:cs="Times New Roman"/>
          <w:color w:val="auto"/>
          <w:kern w:val="0"/>
          <w:sz w:val="24"/>
          <w:szCs w:val="24"/>
          <w:lang w:val="en-US" w:eastAsia="zh-CN" w:bidi="ar"/>
        </w:rPr>
        <w:t>氨氮及总磷分别占流域限制排污量的</w:t>
      </w:r>
      <w:r>
        <w:rPr>
          <w:rFonts w:hint="eastAsia" w:cs="Times New Roman"/>
          <w:color w:val="auto"/>
          <w:kern w:val="0"/>
          <w:sz w:val="24"/>
          <w:szCs w:val="24"/>
          <w:lang w:val="en-US" w:eastAsia="zh-CN" w:bidi="ar"/>
        </w:rPr>
        <w:t>0.05％、</w:t>
      </w:r>
      <w:r>
        <w:rPr>
          <w:rFonts w:hint="default" w:ascii="Times New Roman" w:hAnsi="Times New Roman" w:cs="Times New Roman"/>
          <w:color w:val="auto"/>
          <w:kern w:val="0"/>
          <w:sz w:val="24"/>
          <w:szCs w:val="24"/>
          <w:lang w:val="en-US" w:eastAsia="zh-CN" w:bidi="ar"/>
        </w:rPr>
        <w:t>0.0</w:t>
      </w:r>
      <w:r>
        <w:rPr>
          <w:rFonts w:hint="eastAsia" w:cs="Times New Roman"/>
          <w:color w:val="auto"/>
          <w:kern w:val="0"/>
          <w:sz w:val="24"/>
          <w:szCs w:val="24"/>
          <w:lang w:val="en-US" w:eastAsia="zh-CN" w:bidi="ar"/>
        </w:rPr>
        <w:t>8</w:t>
      </w:r>
      <w:r>
        <w:rPr>
          <w:rFonts w:hint="default" w:ascii="Times New Roman" w:hAnsi="Times New Roman" w:eastAsia="宋体" w:cs="Times New Roman"/>
          <w:color w:val="auto"/>
          <w:kern w:val="0"/>
          <w:sz w:val="24"/>
          <w:szCs w:val="24"/>
          <w:lang w:val="en-US" w:eastAsia="zh-CN" w:bidi="ar"/>
        </w:rPr>
        <w:t>%、</w:t>
      </w:r>
      <w:r>
        <w:rPr>
          <w:rFonts w:hint="eastAsia" w:cs="Times New Roman"/>
          <w:color w:val="auto"/>
          <w:kern w:val="0"/>
          <w:sz w:val="24"/>
          <w:szCs w:val="24"/>
          <w:lang w:val="en-US" w:eastAsia="zh-CN" w:bidi="ar"/>
        </w:rPr>
        <w:t>2.55</w:t>
      </w:r>
      <w:r>
        <w:rPr>
          <w:rFonts w:hint="default" w:ascii="Times New Roman" w:hAnsi="Times New Roman" w:eastAsia="宋体" w:cs="Times New Roman"/>
          <w:color w:val="auto"/>
          <w:kern w:val="0"/>
          <w:sz w:val="24"/>
          <w:szCs w:val="24"/>
          <w:lang w:val="en-US" w:eastAsia="zh-CN" w:bidi="ar"/>
        </w:rPr>
        <w:t>%。</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综上，项目区退水对水环境现状的影响较小，项目的建设，有助于优化了水资源的利用，在很大程度上节约了水资源，使灌区农业用水趋于合理，推进农作物种植结构调整，降低耗水作物的种植比例，使得设计年2035年，在水源水库供水量不变的前提下，灌区农业退水量及污染物将降低。</w:t>
      </w:r>
    </w:p>
    <w:p>
      <w:pPr>
        <w:keepNext w:val="0"/>
        <w:keepLines w:val="0"/>
        <w:widowControl/>
        <w:suppressLineNumbers w:val="0"/>
        <w:jc w:val="left"/>
        <w:rPr>
          <w:color w:val="auto"/>
        </w:rPr>
      </w:pPr>
      <w:r>
        <w:rPr>
          <w:rFonts w:hint="eastAsia"/>
          <w:b/>
          <w:bCs/>
          <w:color w:val="auto"/>
          <w:lang w:val="en-US" w:eastAsia="zh-CN"/>
        </w:rPr>
        <w:t>4、</w:t>
      </w:r>
      <w:r>
        <w:rPr>
          <w:rFonts w:hint="eastAsia" w:ascii="宋体" w:hAnsi="宋体" w:eastAsia="宋体" w:cs="宋体"/>
          <w:b/>
          <w:bCs/>
          <w:color w:val="auto"/>
          <w:kern w:val="0"/>
          <w:sz w:val="24"/>
          <w:szCs w:val="24"/>
          <w:lang w:val="en-US" w:eastAsia="zh-CN" w:bidi="ar"/>
        </w:rPr>
        <w:t>区域水功能区限制纳污总量符合性分析</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根据《楚雄州水资源保护规划》（报批稿）（楚雄州水务局）中纳污能力意见如下所述：</w:t>
      </w:r>
    </w:p>
    <w:p>
      <w:pPr>
        <w:keepNext w:val="0"/>
        <w:keepLines w:val="0"/>
        <w:widowControl/>
        <w:suppressLineNumbers w:val="0"/>
        <w:jc w:val="left"/>
        <w:rPr>
          <w:rFonts w:hint="default" w:ascii="Times New Roman" w:hAnsi="Times New Roman" w:cs="Times New Roman"/>
          <w:color w:val="auto"/>
        </w:rPr>
      </w:pPr>
      <w:r>
        <w:rPr>
          <w:rFonts w:hint="eastAsia" w:ascii="宋体" w:hAnsi="宋体" w:eastAsia="宋体" w:cs="宋体"/>
          <w:color w:val="auto"/>
          <w:kern w:val="0"/>
          <w:sz w:val="24"/>
          <w:szCs w:val="24"/>
          <w:lang w:val="en-US" w:eastAsia="zh-CN" w:bidi="ar"/>
        </w:rPr>
        <w:t>元谋县</w:t>
      </w:r>
      <w:r>
        <w:rPr>
          <w:rFonts w:hint="default" w:ascii="Times New Roman" w:hAnsi="Times New Roman" w:eastAsia="宋体" w:cs="Times New Roman"/>
          <w:color w:val="auto"/>
          <w:kern w:val="0"/>
          <w:sz w:val="24"/>
          <w:szCs w:val="24"/>
          <w:lang w:val="en-US" w:eastAsia="zh-CN" w:bidi="ar"/>
        </w:rPr>
        <w:t>2015</w:t>
      </w:r>
      <w:r>
        <w:rPr>
          <w:rFonts w:hint="eastAsia" w:ascii="宋体" w:hAnsi="宋体" w:eastAsia="宋体" w:cs="宋体"/>
          <w:color w:val="auto"/>
          <w:kern w:val="0"/>
          <w:sz w:val="24"/>
          <w:szCs w:val="24"/>
          <w:lang w:val="en-US" w:eastAsia="zh-CN" w:bidi="ar"/>
        </w:rPr>
        <w:t>年化学需氧量限制排污总量为</w:t>
      </w:r>
      <w:r>
        <w:rPr>
          <w:rFonts w:hint="default" w:ascii="Times New Roman" w:hAnsi="Times New Roman" w:eastAsia="宋体" w:cs="Times New Roman"/>
          <w:color w:val="auto"/>
          <w:kern w:val="0"/>
          <w:sz w:val="24"/>
          <w:szCs w:val="24"/>
          <w:lang w:val="en-US" w:eastAsia="zh-CN" w:bidi="ar"/>
        </w:rPr>
        <w:t>3202.5t</w:t>
      </w:r>
      <w:r>
        <w:rPr>
          <w:rFonts w:hint="eastAsia" w:ascii="宋体" w:hAnsi="宋体" w:eastAsia="宋体" w:cs="宋体"/>
          <w:color w:val="auto"/>
          <w:kern w:val="0"/>
          <w:sz w:val="24"/>
          <w:szCs w:val="24"/>
          <w:lang w:val="en-US" w:eastAsia="zh-CN" w:bidi="ar"/>
        </w:rPr>
        <w:t>，氨氮限制排污总量</w:t>
      </w:r>
      <w:r>
        <w:rPr>
          <w:rFonts w:hint="default" w:ascii="Times New Roman" w:hAnsi="Times New Roman" w:eastAsia="宋体" w:cs="Times New Roman"/>
          <w:color w:val="auto"/>
          <w:kern w:val="0"/>
          <w:sz w:val="24"/>
          <w:szCs w:val="24"/>
          <w:lang w:val="en-US" w:eastAsia="zh-CN" w:bidi="ar"/>
        </w:rPr>
        <w:t>314.2t</w:t>
      </w:r>
      <w:r>
        <w:rPr>
          <w:rFonts w:hint="eastAsia" w:ascii="宋体" w:hAnsi="宋体" w:eastAsia="宋体" w:cs="宋体"/>
          <w:color w:val="auto"/>
          <w:kern w:val="0"/>
          <w:sz w:val="24"/>
          <w:szCs w:val="24"/>
          <w:lang w:val="en-US" w:eastAsia="zh-CN" w:bidi="ar"/>
        </w:rPr>
        <w:t>；水库水功能区总磷限制排污总量为</w:t>
      </w:r>
      <w:r>
        <w:rPr>
          <w:rFonts w:hint="default" w:ascii="Times New Roman" w:hAnsi="Times New Roman" w:eastAsia="宋体" w:cs="Times New Roman"/>
          <w:color w:val="auto"/>
          <w:kern w:val="0"/>
          <w:sz w:val="24"/>
          <w:szCs w:val="24"/>
          <w:lang w:val="en-US" w:eastAsia="zh-CN" w:bidi="ar"/>
        </w:rPr>
        <w:t>8.9t</w:t>
      </w:r>
      <w:r>
        <w:rPr>
          <w:rFonts w:hint="eastAsia" w:ascii="宋体" w:hAnsi="宋体" w:eastAsia="宋体" w:cs="宋体"/>
          <w:color w:val="auto"/>
          <w:kern w:val="0"/>
          <w:sz w:val="24"/>
          <w:szCs w:val="24"/>
          <w:lang w:val="en-US" w:eastAsia="zh-CN" w:bidi="ar"/>
        </w:rPr>
        <w:t>，总氮限制排污总量为</w:t>
      </w:r>
      <w:r>
        <w:rPr>
          <w:rFonts w:hint="default" w:ascii="Times New Roman" w:hAnsi="Times New Roman" w:eastAsia="宋体" w:cs="Times New Roman"/>
          <w:color w:val="auto"/>
          <w:kern w:val="0"/>
          <w:sz w:val="24"/>
          <w:szCs w:val="24"/>
          <w:lang w:val="en-US" w:eastAsia="zh-CN" w:bidi="ar"/>
        </w:rPr>
        <w:t>178.1t</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 xml:space="preserve">2020 </w:t>
      </w:r>
      <w:r>
        <w:rPr>
          <w:rFonts w:hint="eastAsia" w:ascii="宋体" w:hAnsi="宋体" w:eastAsia="宋体" w:cs="宋体"/>
          <w:color w:val="auto"/>
          <w:kern w:val="0"/>
          <w:sz w:val="24"/>
          <w:szCs w:val="24"/>
          <w:lang w:val="en-US" w:eastAsia="zh-CN" w:bidi="ar"/>
        </w:rPr>
        <w:t>年氨氮限制排污总量</w:t>
      </w:r>
      <w:r>
        <w:rPr>
          <w:rFonts w:hint="default" w:ascii="Times New Roman" w:hAnsi="Times New Roman" w:eastAsia="宋体" w:cs="Times New Roman"/>
          <w:color w:val="auto"/>
          <w:kern w:val="0"/>
          <w:sz w:val="24"/>
          <w:szCs w:val="24"/>
          <w:lang w:val="en-US" w:eastAsia="zh-CN" w:bidi="ar"/>
        </w:rPr>
        <w:t>286.7t，化学需氧量、总磷、总氮限制排污总量与现状相同，2030年氨氮限制排污总量255.2t，化学需氧量、总磷、总氮限制排污总量为与2020年相同。规划灌区设计年退水污染物总量与区域水功能区限制排污总量符合性见下表</w:t>
      </w:r>
      <w:r>
        <w:rPr>
          <w:rFonts w:hint="default" w:ascii="Times New Roman" w:hAnsi="Times New Roman" w:cs="Times New Roman"/>
          <w:color w:val="auto"/>
          <w:kern w:val="0"/>
          <w:sz w:val="24"/>
          <w:szCs w:val="24"/>
          <w:lang w:val="en-US" w:eastAsia="zh-CN" w:bidi="ar"/>
        </w:rPr>
        <w:t>。</w:t>
      </w:r>
    </w:p>
    <w:p>
      <w:pPr>
        <w:keepNext w:val="0"/>
        <w:keepLines w:val="0"/>
        <w:widowControl/>
        <w:suppressLineNumbers w:val="0"/>
        <w:spacing w:line="240" w:lineRule="auto"/>
        <w:jc w:val="center"/>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表</w:t>
      </w:r>
      <w:r>
        <w:rPr>
          <w:rFonts w:hint="default" w:ascii="Times New Roman" w:hAnsi="Times New Roman" w:cs="Times New Roman"/>
          <w:b/>
          <w:bCs/>
          <w:color w:val="auto"/>
          <w:kern w:val="0"/>
          <w:sz w:val="24"/>
          <w:szCs w:val="24"/>
          <w:lang w:val="en-US" w:eastAsia="zh-CN" w:bidi="ar"/>
        </w:rPr>
        <w:t>5</w:t>
      </w:r>
      <w:r>
        <w:rPr>
          <w:rFonts w:hint="default" w:ascii="Times New Roman" w:hAnsi="Times New Roman" w:eastAsia="宋体" w:cs="Times New Roman"/>
          <w:b/>
          <w:bCs/>
          <w:color w:val="auto"/>
          <w:kern w:val="0"/>
          <w:sz w:val="24"/>
          <w:szCs w:val="24"/>
          <w:lang w:val="en-US" w:eastAsia="zh-CN" w:bidi="ar"/>
        </w:rPr>
        <w:t>.2</w:t>
      </w:r>
      <w:r>
        <w:rPr>
          <w:rFonts w:hint="eastAsia" w:ascii="Times New Roman" w:hAnsi="Times New Roman" w:eastAsia="宋体" w:cs="Times New Roman"/>
          <w:b/>
          <w:bCs/>
          <w:color w:val="auto"/>
          <w:kern w:val="0"/>
          <w:sz w:val="24"/>
          <w:szCs w:val="24"/>
          <w:lang w:val="en-US" w:eastAsia="zh-CN" w:bidi="ar"/>
        </w:rPr>
        <w:t>.2</w:t>
      </w:r>
      <w:r>
        <w:rPr>
          <w:rFonts w:hint="default" w:ascii="Times New Roman" w:hAnsi="Times New Roman" w:eastAsia="宋体" w:cs="Times New Roman"/>
          <w:b/>
          <w:bCs/>
          <w:color w:val="auto"/>
          <w:kern w:val="0"/>
          <w:sz w:val="24"/>
          <w:szCs w:val="24"/>
          <w:lang w:val="en-US" w:eastAsia="zh-CN" w:bidi="ar"/>
        </w:rPr>
        <w:t>-</w:t>
      </w:r>
      <w:r>
        <w:rPr>
          <w:rFonts w:hint="eastAsia" w:ascii="Times New Roman" w:hAnsi="Times New Roman" w:cs="Times New Roman"/>
          <w:b/>
          <w:bCs/>
          <w:color w:val="auto"/>
          <w:kern w:val="0"/>
          <w:sz w:val="24"/>
          <w:szCs w:val="24"/>
          <w:lang w:val="en-US" w:eastAsia="zh-CN" w:bidi="ar"/>
        </w:rPr>
        <w:t>7</w:t>
      </w:r>
      <w:r>
        <w:rPr>
          <w:rFonts w:hint="default" w:ascii="Times New Roman" w:hAnsi="Times New Roman" w:eastAsia="宋体" w:cs="Times New Roman"/>
          <w:b/>
          <w:bCs/>
          <w:color w:val="auto"/>
          <w:kern w:val="0"/>
          <w:sz w:val="24"/>
          <w:szCs w:val="24"/>
          <w:lang w:val="en-US" w:eastAsia="zh-CN" w:bidi="ar"/>
        </w:rPr>
        <w:t xml:space="preserve"> 设计 2035 年退水污染物总量与限制排污量对比表</w:t>
      </w:r>
    </w:p>
    <w:tbl>
      <w:tblPr>
        <w:tblStyle w:val="3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0"/>
        <w:gridCol w:w="3354"/>
        <w:gridCol w:w="1633"/>
        <w:gridCol w:w="17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2" w:type="pct"/>
            <w:vMerge w:val="restar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cs="Times New Roman"/>
                <w:b/>
                <w:bCs/>
                <w:color w:val="auto"/>
                <w:kern w:val="0"/>
                <w:sz w:val="21"/>
                <w:szCs w:val="21"/>
                <w:vertAlign w:val="baseline"/>
                <w:lang w:val="en-US" w:eastAsia="zh-CN" w:bidi="ar"/>
              </w:rPr>
              <w:t>项目</w:t>
            </w:r>
          </w:p>
        </w:tc>
        <w:tc>
          <w:tcPr>
            <w:tcW w:w="3937" w:type="pct"/>
            <w:gridSpan w:val="3"/>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eastAsia="宋体" w:cs="Times New Roman"/>
                <w:b/>
                <w:bCs/>
                <w:color w:val="auto"/>
                <w:kern w:val="0"/>
                <w:sz w:val="21"/>
                <w:szCs w:val="21"/>
                <w:vertAlign w:val="baseline"/>
                <w:lang w:val="en-US" w:eastAsia="zh-CN" w:bidi="ar"/>
              </w:rPr>
              <w:t>设计水平年2035年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2" w:type="pct"/>
            <w:vMerge w:val="continue"/>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cs="Times New Roman"/>
                <w:b/>
                <w:bCs/>
                <w:color w:val="auto"/>
                <w:kern w:val="0"/>
                <w:sz w:val="21"/>
                <w:szCs w:val="21"/>
                <w:vertAlign w:val="baseline"/>
                <w:lang w:val="en-US" w:eastAsia="zh-CN" w:bidi="ar"/>
              </w:rPr>
            </w:pPr>
          </w:p>
        </w:tc>
        <w:tc>
          <w:tcPr>
            <w:tcW w:w="3354" w:type="dxa"/>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化学需氧量</w:t>
            </w:r>
            <w:r>
              <w:rPr>
                <w:rFonts w:hint="default" w:ascii="Times New Roman" w:hAnsi="Times New Roman" w:eastAsia="宋体" w:cs="Times New Roman"/>
                <w:b/>
                <w:bCs/>
                <w:color w:val="auto"/>
                <w:sz w:val="21"/>
                <w:szCs w:val="21"/>
                <w:highlight w:val="none"/>
                <w:vertAlign w:val="baseline"/>
              </w:rPr>
              <w:t>（</w:t>
            </w:r>
            <w:r>
              <w:rPr>
                <w:rFonts w:hint="default" w:ascii="Times New Roman" w:hAnsi="Times New Roman" w:eastAsia="宋体" w:cs="Times New Roman"/>
                <w:b/>
                <w:bCs/>
                <w:color w:val="auto"/>
                <w:sz w:val="21"/>
                <w:szCs w:val="21"/>
                <w:highlight w:val="none"/>
                <w:vertAlign w:val="baseline"/>
                <w:lang w:val="en-US" w:eastAsia="zh-CN"/>
              </w:rPr>
              <w:t>t/a</w:t>
            </w:r>
            <w:r>
              <w:rPr>
                <w:rFonts w:hint="default" w:ascii="Times New Roman" w:hAnsi="Times New Roman" w:eastAsia="宋体" w:cs="Times New Roman"/>
                <w:b/>
                <w:bCs/>
                <w:color w:val="auto"/>
                <w:sz w:val="21"/>
                <w:szCs w:val="21"/>
                <w:highlight w:val="none"/>
                <w:vertAlign w:val="baseline"/>
              </w:rPr>
              <w:t>）</w:t>
            </w:r>
          </w:p>
        </w:tc>
        <w:tc>
          <w:tcPr>
            <w:tcW w:w="1633" w:type="dxa"/>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eastAsia="宋体" w:cs="Times New Roman"/>
                <w:b/>
                <w:bCs/>
                <w:color w:val="auto"/>
                <w:kern w:val="0"/>
                <w:sz w:val="21"/>
                <w:szCs w:val="21"/>
                <w:vertAlign w:val="baseline"/>
                <w:lang w:val="en-US" w:eastAsia="zh-CN" w:bidi="ar"/>
              </w:rPr>
            </w:pPr>
            <w:r>
              <w:rPr>
                <w:rFonts w:hint="default" w:ascii="Times New Roman" w:hAnsi="Times New Roman" w:cs="Times New Roman"/>
                <w:b/>
                <w:bCs/>
                <w:color w:val="auto"/>
                <w:sz w:val="21"/>
                <w:szCs w:val="21"/>
                <w:vertAlign w:val="baseline"/>
                <w:lang w:val="en-US" w:eastAsia="zh-CN"/>
              </w:rPr>
              <w:t>氨氮</w:t>
            </w:r>
            <w:r>
              <w:rPr>
                <w:rFonts w:hint="default" w:ascii="Times New Roman" w:hAnsi="Times New Roman" w:eastAsia="宋体" w:cs="Times New Roman"/>
                <w:b/>
                <w:bCs/>
                <w:color w:val="auto"/>
                <w:sz w:val="21"/>
                <w:szCs w:val="21"/>
                <w:highlight w:val="none"/>
                <w:vertAlign w:val="baseline"/>
              </w:rPr>
              <w:t>（</w:t>
            </w:r>
            <w:r>
              <w:rPr>
                <w:rFonts w:hint="default" w:ascii="Times New Roman" w:hAnsi="Times New Roman" w:eastAsia="宋体" w:cs="Times New Roman"/>
                <w:b/>
                <w:bCs/>
                <w:color w:val="auto"/>
                <w:sz w:val="21"/>
                <w:szCs w:val="21"/>
                <w:highlight w:val="none"/>
                <w:vertAlign w:val="baseline"/>
                <w:lang w:val="en-US" w:eastAsia="zh-CN"/>
              </w:rPr>
              <w:t>t/a</w:t>
            </w:r>
            <w:r>
              <w:rPr>
                <w:rFonts w:hint="default" w:ascii="Times New Roman" w:hAnsi="Times New Roman" w:eastAsia="宋体" w:cs="Times New Roman"/>
                <w:b/>
                <w:bCs/>
                <w:color w:val="auto"/>
                <w:sz w:val="21"/>
                <w:szCs w:val="21"/>
                <w:highlight w:val="none"/>
                <w:vertAlign w:val="baseline"/>
              </w:rPr>
              <w:t>）</w:t>
            </w:r>
          </w:p>
        </w:tc>
        <w:tc>
          <w:tcPr>
            <w:tcW w:w="1723" w:type="dxa"/>
            <w:vAlign w:val="center"/>
          </w:tcPr>
          <w:p>
            <w:pPr>
              <w:pStyle w:val="35"/>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cs="Times New Roman"/>
                <w:color w:val="auto"/>
                <w:sz w:val="21"/>
                <w:szCs w:val="21"/>
                <w:vertAlign w:val="baseline"/>
                <w:lang w:val="en-US" w:eastAsia="zh-CN"/>
              </w:rPr>
              <w:t>总磷</w:t>
            </w:r>
            <w:r>
              <w:rPr>
                <w:rFonts w:hint="default" w:ascii="Times New Roman" w:hAnsi="Times New Roman" w:eastAsia="宋体" w:cs="Times New Roman"/>
                <w:b/>
                <w:bCs/>
                <w:color w:val="auto"/>
                <w:sz w:val="21"/>
                <w:szCs w:val="21"/>
                <w:highlight w:val="none"/>
                <w:vertAlign w:val="baseline"/>
              </w:rPr>
              <w:t>（</w:t>
            </w:r>
            <w:r>
              <w:rPr>
                <w:rFonts w:hint="default" w:ascii="Times New Roman" w:hAnsi="Times New Roman" w:eastAsia="宋体" w:cs="Times New Roman"/>
                <w:b/>
                <w:bCs/>
                <w:color w:val="auto"/>
                <w:sz w:val="21"/>
                <w:szCs w:val="21"/>
                <w:highlight w:val="none"/>
                <w:vertAlign w:val="baseline"/>
                <w:lang w:val="en-US" w:eastAsia="zh-CN"/>
              </w:rPr>
              <w:t>t/a</w:t>
            </w:r>
            <w:r>
              <w:rPr>
                <w:rFonts w:hint="default" w:ascii="Times New Roman" w:hAnsi="Times New Roman" w:eastAsia="宋体" w:cs="Times New Roman"/>
                <w:b/>
                <w:bCs/>
                <w:color w:val="auto"/>
                <w:sz w:val="21"/>
                <w:szCs w:val="21"/>
                <w:highlight w:val="none"/>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2"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cs="Times New Roman"/>
                <w:color w:val="auto"/>
                <w:kern w:val="0"/>
                <w:sz w:val="21"/>
                <w:szCs w:val="21"/>
                <w:vertAlign w:val="baseline"/>
                <w:lang w:val="en-US" w:eastAsia="zh-CN" w:bidi="ar"/>
              </w:rPr>
              <w:t>整个灌区</w:t>
            </w:r>
          </w:p>
        </w:tc>
        <w:tc>
          <w:tcPr>
            <w:tcW w:w="335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cs="Times New Roman"/>
                <w:color w:val="auto"/>
                <w:kern w:val="0"/>
                <w:sz w:val="21"/>
                <w:szCs w:val="21"/>
                <w:lang w:val="en-US" w:eastAsia="zh-CN" w:bidi="ar"/>
              </w:rPr>
            </w:pPr>
            <w:r>
              <w:rPr>
                <w:rFonts w:hint="eastAsia" w:cs="Times New Roman"/>
                <w:color w:val="auto"/>
                <w:kern w:val="0"/>
                <w:sz w:val="21"/>
                <w:szCs w:val="21"/>
                <w:lang w:val="en-US" w:eastAsia="zh-CN" w:bidi="ar"/>
              </w:rPr>
              <w:t>6.062</w:t>
            </w:r>
          </w:p>
        </w:tc>
        <w:tc>
          <w:tcPr>
            <w:tcW w:w="163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cs="Times New Roman"/>
                <w:color w:val="auto"/>
                <w:kern w:val="0"/>
                <w:sz w:val="21"/>
                <w:szCs w:val="21"/>
                <w:lang w:val="en-US" w:eastAsia="zh-CN" w:bidi="ar"/>
              </w:rPr>
            </w:pPr>
            <w:r>
              <w:rPr>
                <w:rFonts w:hint="eastAsia" w:cs="Times New Roman"/>
                <w:color w:val="auto"/>
                <w:kern w:val="0"/>
                <w:sz w:val="21"/>
                <w:szCs w:val="21"/>
                <w:lang w:val="en-US" w:eastAsia="zh-CN" w:bidi="ar"/>
              </w:rPr>
              <w:t>0.796</w:t>
            </w:r>
          </w:p>
        </w:tc>
        <w:tc>
          <w:tcPr>
            <w:tcW w:w="172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cs="Times New Roman"/>
                <w:color w:val="auto"/>
                <w:kern w:val="0"/>
                <w:sz w:val="21"/>
                <w:szCs w:val="21"/>
                <w:lang w:val="en-US" w:eastAsia="zh-CN" w:bidi="ar"/>
              </w:rPr>
            </w:pPr>
            <w:r>
              <w:rPr>
                <w:rFonts w:hint="eastAsia" w:cs="Times New Roman"/>
                <w:color w:val="auto"/>
                <w:kern w:val="0"/>
                <w:sz w:val="21"/>
                <w:szCs w:val="21"/>
                <w:lang w:val="en-US" w:eastAsia="zh-CN" w:bidi="ar"/>
              </w:rPr>
              <w:t>0.628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2"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楚雄境内金沙江限制排污总量</w:t>
            </w:r>
          </w:p>
        </w:tc>
        <w:tc>
          <w:tcPr>
            <w:tcW w:w="196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cs="Times New Roman"/>
                <w:color w:val="auto"/>
                <w:kern w:val="0"/>
                <w:sz w:val="21"/>
                <w:szCs w:val="21"/>
                <w:lang w:val="en-US" w:eastAsia="zh-CN" w:bidi="ar"/>
              </w:rPr>
            </w:pPr>
            <w:r>
              <w:rPr>
                <w:rFonts w:hint="eastAsia" w:cs="Times New Roman"/>
                <w:color w:val="auto"/>
                <w:kern w:val="0"/>
                <w:sz w:val="21"/>
                <w:szCs w:val="21"/>
                <w:lang w:val="en-US" w:eastAsia="zh-CN" w:bidi="ar"/>
              </w:rPr>
              <w:t>3202.5</w:t>
            </w:r>
          </w:p>
        </w:tc>
        <w:tc>
          <w:tcPr>
            <w:tcW w:w="958"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cs="Times New Roman"/>
                <w:color w:val="auto"/>
                <w:kern w:val="0"/>
                <w:sz w:val="21"/>
                <w:szCs w:val="21"/>
                <w:lang w:val="en-US" w:eastAsia="zh-CN" w:bidi="ar"/>
              </w:rPr>
            </w:pPr>
            <w:r>
              <w:rPr>
                <w:rFonts w:hint="eastAsia" w:cs="Times New Roman"/>
                <w:color w:val="auto"/>
                <w:kern w:val="0"/>
                <w:sz w:val="21"/>
                <w:szCs w:val="21"/>
                <w:lang w:val="en-US" w:eastAsia="zh-CN" w:bidi="ar"/>
              </w:rPr>
              <w:t>255.2</w:t>
            </w:r>
          </w:p>
        </w:tc>
        <w:tc>
          <w:tcPr>
            <w:tcW w:w="1011"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cs="Times New Roman"/>
                <w:color w:val="auto"/>
                <w:kern w:val="0"/>
                <w:sz w:val="21"/>
                <w:szCs w:val="21"/>
                <w:lang w:val="en-US" w:eastAsia="zh-CN" w:bidi="ar"/>
              </w:rPr>
            </w:pPr>
            <w:r>
              <w:rPr>
                <w:rFonts w:hint="eastAsia" w:cs="Times New Roman"/>
                <w:color w:val="auto"/>
                <w:kern w:val="0"/>
                <w:sz w:val="21"/>
                <w:szCs w:val="21"/>
                <w:lang w:val="en-US" w:eastAsia="zh-CN" w:bidi="ar"/>
              </w:rP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2"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bidi="ar"/>
              </w:rPr>
            </w:pPr>
            <w:r>
              <w:rPr>
                <w:rFonts w:hint="default" w:ascii="Times New Roman" w:hAnsi="Times New Roman" w:eastAsia="宋体" w:cs="Times New Roman"/>
                <w:color w:val="auto"/>
                <w:kern w:val="0"/>
                <w:sz w:val="21"/>
                <w:szCs w:val="21"/>
                <w:vertAlign w:val="baseline"/>
                <w:lang w:val="en-US" w:eastAsia="zh-CN" w:bidi="ar"/>
              </w:rPr>
              <w:t>灌区退水污染物占比</w:t>
            </w:r>
            <w:r>
              <w:rPr>
                <w:rFonts w:hint="eastAsia" w:cs="Times New Roman"/>
                <w:color w:val="auto"/>
                <w:kern w:val="0"/>
                <w:sz w:val="21"/>
                <w:szCs w:val="21"/>
                <w:vertAlign w:val="baseline"/>
                <w:lang w:val="en-US" w:eastAsia="zh-CN" w:bidi="ar"/>
              </w:rPr>
              <w:t>（％）</w:t>
            </w:r>
          </w:p>
        </w:tc>
        <w:tc>
          <w:tcPr>
            <w:tcW w:w="3354"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eastAsia" w:cs="Times New Roman"/>
                <w:color w:val="auto"/>
                <w:kern w:val="0"/>
                <w:sz w:val="21"/>
                <w:szCs w:val="21"/>
                <w:lang w:val="en-US" w:eastAsia="zh-CN" w:bidi="ar"/>
              </w:rPr>
            </w:pPr>
            <w:r>
              <w:rPr>
                <w:rFonts w:hint="eastAsia" w:cs="Times New Roman"/>
                <w:color w:val="auto"/>
                <w:kern w:val="0"/>
                <w:sz w:val="21"/>
                <w:szCs w:val="21"/>
                <w:lang w:val="en-US" w:eastAsia="zh-CN" w:bidi="ar"/>
              </w:rPr>
              <w:t xml:space="preserve">0.19 </w:t>
            </w:r>
          </w:p>
        </w:tc>
        <w:tc>
          <w:tcPr>
            <w:tcW w:w="163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cs="Times New Roman"/>
                <w:color w:val="auto"/>
                <w:kern w:val="0"/>
                <w:sz w:val="21"/>
                <w:szCs w:val="21"/>
                <w:lang w:val="en-US" w:eastAsia="zh-CN" w:bidi="ar"/>
              </w:rPr>
            </w:pPr>
            <w:r>
              <w:rPr>
                <w:rFonts w:hint="eastAsia" w:cs="Times New Roman"/>
                <w:color w:val="auto"/>
                <w:kern w:val="0"/>
                <w:sz w:val="21"/>
                <w:szCs w:val="21"/>
                <w:lang w:val="en-US" w:eastAsia="zh-CN" w:bidi="ar"/>
              </w:rPr>
              <w:t xml:space="preserve">0.31 </w:t>
            </w:r>
          </w:p>
        </w:tc>
        <w:tc>
          <w:tcPr>
            <w:tcW w:w="1723" w:type="dxa"/>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center"/>
              <w:rPr>
                <w:rFonts w:hint="default" w:cs="Times New Roman"/>
                <w:color w:val="auto"/>
                <w:kern w:val="0"/>
                <w:sz w:val="21"/>
                <w:szCs w:val="21"/>
                <w:lang w:val="en-US" w:eastAsia="zh-CN" w:bidi="ar"/>
              </w:rPr>
            </w:pPr>
            <w:r>
              <w:rPr>
                <w:rFonts w:hint="eastAsia" w:cs="Times New Roman"/>
                <w:color w:val="auto"/>
                <w:kern w:val="0"/>
                <w:sz w:val="21"/>
                <w:szCs w:val="21"/>
                <w:lang w:val="en-US" w:eastAsia="zh-CN" w:bidi="ar"/>
              </w:rPr>
              <w:t xml:space="preserve">7.06 </w:t>
            </w:r>
          </w:p>
        </w:tc>
      </w:tr>
    </w:tbl>
    <w:p>
      <w:pPr>
        <w:keepNext w:val="0"/>
        <w:keepLines w:val="0"/>
        <w:widowControl/>
        <w:suppressLineNumbers w:val="0"/>
        <w:jc w:val="left"/>
        <w:rPr>
          <w:color w:val="auto"/>
        </w:rPr>
      </w:pPr>
      <w:r>
        <w:rPr>
          <w:rFonts w:hint="eastAsia"/>
          <w:color w:val="auto"/>
        </w:rPr>
        <w:t>根据上表可知，本项目建成后设计年 2035 年规划灌区退水污染物排放总量未超过《楚雄州水资源保护规划》（报批稿）（楚雄州水务局）中元谋县限制排污总量控制，其中退水污染物总量中</w:t>
      </w:r>
      <w:r>
        <w:rPr>
          <w:rFonts w:hint="eastAsia"/>
          <w:color w:val="auto"/>
          <w:lang w:val="en-US" w:eastAsia="zh-CN"/>
        </w:rPr>
        <w:t>化学需氧量、</w:t>
      </w:r>
      <w:r>
        <w:rPr>
          <w:rFonts w:hint="eastAsia"/>
          <w:color w:val="auto"/>
        </w:rPr>
        <w:t>氨氮及总磷分别占元谋县限制排污量的</w:t>
      </w:r>
      <w:r>
        <w:rPr>
          <w:rFonts w:hint="eastAsia"/>
          <w:color w:val="auto"/>
          <w:lang w:val="en-US" w:eastAsia="zh-CN"/>
        </w:rPr>
        <w:t>0.19％、0.31</w:t>
      </w:r>
      <w:r>
        <w:rPr>
          <w:rFonts w:hint="eastAsia"/>
          <w:color w:val="auto"/>
        </w:rPr>
        <w:t>%及</w:t>
      </w:r>
      <w:r>
        <w:rPr>
          <w:rFonts w:hint="eastAsia"/>
          <w:color w:val="auto"/>
          <w:lang w:val="en-US" w:eastAsia="zh-CN"/>
        </w:rPr>
        <w:t>7.06</w:t>
      </w:r>
      <w:r>
        <w:rPr>
          <w:rFonts w:hint="eastAsia"/>
          <w:color w:val="auto"/>
        </w:rPr>
        <w:t>%。</w:t>
      </w:r>
    </w:p>
    <w:p>
      <w:pPr>
        <w:keepNext w:val="0"/>
        <w:keepLines w:val="0"/>
        <w:widowControl/>
        <w:suppressLineNumbers w:val="0"/>
        <w:jc w:val="left"/>
        <w:rPr>
          <w:rFonts w:hint="default" w:ascii="Times New Roman" w:hAnsi="Times New Roman" w:eastAsia="宋体" w:cs="Times New Roman"/>
          <w:b/>
          <w:bCs/>
          <w:color w:val="0000FF"/>
          <w:kern w:val="0"/>
          <w:sz w:val="24"/>
          <w:szCs w:val="24"/>
          <w:lang w:val="en-US" w:eastAsia="zh-CN" w:bidi="ar"/>
        </w:rPr>
      </w:pPr>
      <w:r>
        <w:rPr>
          <w:rFonts w:hint="default" w:ascii="Times New Roman" w:hAnsi="Times New Roman" w:cs="Times New Roman"/>
          <w:b/>
          <w:bCs/>
          <w:color w:val="0000FF"/>
          <w:kern w:val="0"/>
          <w:sz w:val="24"/>
          <w:szCs w:val="24"/>
          <w:lang w:val="en-US" w:eastAsia="zh-CN" w:bidi="ar"/>
        </w:rPr>
        <w:t>5、</w:t>
      </w:r>
      <w:r>
        <w:rPr>
          <w:rFonts w:hint="default" w:ascii="Times New Roman" w:hAnsi="Times New Roman" w:eastAsia="宋体" w:cs="Times New Roman"/>
          <w:b/>
          <w:bCs/>
          <w:color w:val="0000FF"/>
          <w:kern w:val="0"/>
          <w:sz w:val="24"/>
          <w:szCs w:val="24"/>
          <w:lang w:val="en-US" w:eastAsia="zh-CN" w:bidi="ar"/>
        </w:rPr>
        <w:t>受水水库水温对农作物的影响</w:t>
      </w:r>
    </w:p>
    <w:p>
      <w:pPr>
        <w:keepNext w:val="0"/>
        <w:keepLines w:val="0"/>
        <w:widowControl/>
        <w:suppressLineNumbers w:val="0"/>
        <w:ind w:firstLine="643"/>
        <w:jc w:val="left"/>
        <w:rPr>
          <w:rFonts w:hint="default" w:ascii="Times New Roman" w:hAnsi="Times New Roman" w:eastAsia="宋体" w:cs="Times New Roman"/>
          <w:color w:val="0000FF"/>
          <w:kern w:val="0"/>
          <w:sz w:val="24"/>
          <w:szCs w:val="24"/>
          <w:lang w:val="en-US" w:eastAsia="zh-CN" w:bidi="ar"/>
        </w:rPr>
      </w:pPr>
      <w:r>
        <w:rPr>
          <w:rFonts w:hint="default" w:ascii="Times New Roman" w:hAnsi="Times New Roman" w:eastAsia="宋体" w:cs="Times New Roman"/>
          <w:color w:val="0000FF"/>
          <w:kern w:val="0"/>
          <w:sz w:val="24"/>
          <w:szCs w:val="24"/>
          <w:lang w:val="en-US" w:eastAsia="zh-CN" w:bidi="ar"/>
        </w:rPr>
        <w:t>元谋县主要粮食作物为小麦、玉米和水稻，小麦为耐寒耐旱作物，玉米为喜温作物，水稻为喜温喜湿作物。受水水库高温水下泄时段为年内 4~8 月期间，元谋县主要种植小麦和水稻，小麦耐寒性较强，低温水灌溉对其影响不明显，而水稻受低温水灌溉的不利影响较大。根据《刘仲桂.水库水温与水稻丰产灌溉[M]北京:水利电力出版社，1985》、《陈先根，陈小荣，黄国红，等.灌溉水温对二季晚稻产量影响的探讨[J].江西农业学报，2008，20(7)》等文献开展的大量灌溉水温与水稻生长关系的试验研究表明，低温水灌溉严重影响稻株的生长发育和产量，低温条件会造成稻株的光合作用、呼吸作用、矿物质营养吸收、体内有机物运转等生理活动过程变缓,稻株生理生长过程中各种不良影响不断累积的最终结果必然是稻谷产量降低，而且灌溉水温越低对稻株生长和稻谷产量的影响也越大。同时，灌溉水温过低还会影响到土壤温度，降低土壤肥力，增大稻田病虫害风险等。</w:t>
      </w:r>
    </w:p>
    <w:p>
      <w:pPr>
        <w:keepNext w:val="0"/>
        <w:keepLines w:val="0"/>
        <w:widowControl/>
        <w:suppressLineNumbers w:val="0"/>
        <w:ind w:firstLine="643"/>
        <w:jc w:val="left"/>
        <w:rPr>
          <w:rFonts w:hint="default" w:ascii="Times New Roman" w:hAnsi="Times New Roman" w:eastAsia="宋体" w:cs="Times New Roman"/>
          <w:color w:val="0000FF"/>
          <w:kern w:val="0"/>
          <w:sz w:val="24"/>
          <w:szCs w:val="24"/>
          <w:lang w:val="en-US" w:eastAsia="zh-CN" w:bidi="ar"/>
        </w:rPr>
      </w:pPr>
      <w:r>
        <w:rPr>
          <w:rFonts w:hint="default" w:ascii="Times New Roman" w:hAnsi="Times New Roman" w:eastAsia="宋体" w:cs="Times New Roman"/>
          <w:color w:val="0000FF"/>
          <w:kern w:val="0"/>
          <w:sz w:val="24"/>
          <w:szCs w:val="24"/>
          <w:lang w:val="en-US" w:eastAsia="zh-CN" w:bidi="ar"/>
        </w:rPr>
        <w:t>根据前文计算</w:t>
      </w:r>
      <w:r>
        <w:rPr>
          <w:rFonts w:hint="eastAsia" w:cs="Times New Roman"/>
          <w:color w:val="0000FF"/>
          <w:kern w:val="0"/>
          <w:sz w:val="24"/>
          <w:szCs w:val="24"/>
          <w:lang w:val="en-US" w:eastAsia="zh-CN" w:bidi="ar"/>
        </w:rPr>
        <w:t>出</w:t>
      </w:r>
      <w:r>
        <w:rPr>
          <w:rFonts w:hint="default" w:ascii="Times New Roman" w:hAnsi="Times New Roman" w:eastAsia="宋体" w:cs="Times New Roman"/>
          <w:color w:val="0000FF"/>
          <w:kern w:val="0"/>
          <w:sz w:val="24"/>
          <w:szCs w:val="24"/>
          <w:lang w:val="en-US" w:eastAsia="zh-CN" w:bidi="ar"/>
        </w:rPr>
        <w:t>受水水库为稳定分层型。本工程</w:t>
      </w:r>
      <w:r>
        <w:rPr>
          <w:rFonts w:hint="eastAsia" w:cs="Times New Roman"/>
          <w:color w:val="0000FF"/>
          <w:kern w:val="0"/>
          <w:sz w:val="24"/>
          <w:szCs w:val="24"/>
          <w:lang w:val="en-US" w:eastAsia="zh-CN" w:bidi="ar"/>
        </w:rPr>
        <w:t>由管道向水库补水，</w:t>
      </w:r>
      <w:r>
        <w:rPr>
          <w:rFonts w:hint="default" w:ascii="Times New Roman" w:hAnsi="Times New Roman" w:eastAsia="宋体" w:cs="Times New Roman"/>
          <w:color w:val="0000FF"/>
          <w:kern w:val="0"/>
          <w:sz w:val="24"/>
          <w:szCs w:val="24"/>
          <w:lang w:val="en-US" w:eastAsia="zh-CN" w:bidi="ar"/>
        </w:rPr>
        <w:t>不会直接改变</w:t>
      </w:r>
      <w:r>
        <w:rPr>
          <w:rFonts w:hint="eastAsia" w:cs="Times New Roman"/>
          <w:color w:val="0000FF"/>
          <w:kern w:val="0"/>
          <w:sz w:val="24"/>
          <w:szCs w:val="24"/>
          <w:lang w:val="en-US" w:eastAsia="zh-CN" w:bidi="ar"/>
        </w:rPr>
        <w:t>4</w:t>
      </w:r>
      <w:r>
        <w:rPr>
          <w:rFonts w:hint="default" w:ascii="Times New Roman" w:hAnsi="Times New Roman" w:eastAsia="宋体" w:cs="Times New Roman"/>
          <w:color w:val="0000FF"/>
          <w:kern w:val="0"/>
          <w:sz w:val="24"/>
          <w:szCs w:val="24"/>
          <w:lang w:val="en-US" w:eastAsia="zh-CN" w:bidi="ar"/>
        </w:rPr>
        <w:t>座水库的水温分层结构，因此对</w:t>
      </w:r>
      <w:r>
        <w:rPr>
          <w:rFonts w:hint="eastAsia" w:cs="Times New Roman"/>
          <w:color w:val="0000FF"/>
          <w:kern w:val="0"/>
          <w:sz w:val="24"/>
          <w:szCs w:val="24"/>
          <w:lang w:val="en-US" w:eastAsia="zh-CN" w:bidi="ar"/>
        </w:rPr>
        <w:t>4</w:t>
      </w:r>
      <w:r>
        <w:rPr>
          <w:rFonts w:hint="default" w:ascii="Times New Roman" w:hAnsi="Times New Roman" w:eastAsia="宋体" w:cs="Times New Roman"/>
          <w:color w:val="0000FF"/>
          <w:kern w:val="0"/>
          <w:sz w:val="24"/>
          <w:szCs w:val="24"/>
          <w:lang w:val="en-US" w:eastAsia="zh-CN" w:bidi="ar"/>
        </w:rPr>
        <w:t>座调蓄水库的水温可能存在的影响很小。因此，实际低温水影响较小。由于本项目受水水库已建成，无法实施分层取水措施，同时根据现有灌溉情况，未调查到明显的低温水影响，说明在长距离输水过程中，受水区水温与来水水温差别不大。</w:t>
      </w:r>
    </w:p>
    <w:p>
      <w:pPr>
        <w:keepNext w:val="0"/>
        <w:keepLines w:val="0"/>
        <w:widowControl/>
        <w:suppressLineNumbers w:val="0"/>
        <w:ind w:firstLine="643"/>
        <w:jc w:val="left"/>
        <w:rPr>
          <w:rFonts w:hint="default" w:ascii="Times New Roman" w:hAnsi="Times New Roman" w:eastAsia="宋体" w:cs="Times New Roman"/>
          <w:color w:val="0000FF"/>
          <w:kern w:val="0"/>
          <w:sz w:val="24"/>
          <w:szCs w:val="24"/>
          <w:lang w:val="en-US" w:eastAsia="zh-CN" w:bidi="ar"/>
        </w:rPr>
      </w:pPr>
      <w:r>
        <w:rPr>
          <w:rFonts w:hint="default" w:ascii="Times New Roman" w:hAnsi="Times New Roman" w:eastAsia="宋体" w:cs="Times New Roman"/>
          <w:color w:val="0000FF"/>
          <w:kern w:val="0"/>
          <w:sz w:val="24"/>
          <w:szCs w:val="24"/>
          <w:lang w:val="en-US" w:eastAsia="zh-CN" w:bidi="ar"/>
        </w:rPr>
        <w:t>元谋县受显著金沙江干热河谷气象影响而年平均气温显著偏高，灌溉水在输送沿程将增温，根据类似工程水温实测资料</w:t>
      </w:r>
      <w:r>
        <w:rPr>
          <w:rFonts w:hint="eastAsia" w:cs="Times New Roman"/>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灌区主要灌溉季节5月总干渠沿程24km 增温约0.2℃，斗渠3.5km增温约0.2℃，干支渠水温增幅不大，毛渠水温增幅相对干支渠较明显</w:t>
      </w:r>
      <w:r>
        <w:rPr>
          <w:rFonts w:hint="eastAsia" w:cs="Times New Roman"/>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预计水流最后到达田间水温能增温 2℃以上，水温基本能满足作物要求温度，不影响作物正常生长。</w:t>
      </w:r>
    </w:p>
    <w:p>
      <w:pPr>
        <w:keepNext w:val="0"/>
        <w:keepLines w:val="0"/>
        <w:widowControl/>
        <w:suppressLineNumbers w:val="0"/>
        <w:ind w:firstLine="643"/>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6、管理所生活污水的影响</w:t>
      </w:r>
    </w:p>
    <w:p>
      <w:pPr>
        <w:bidi w:val="0"/>
        <w:ind w:firstLine="480" w:firstLineChars="200"/>
        <w:rPr>
          <w:rFonts w:hint="eastAsia"/>
          <w:color w:val="auto"/>
          <w:highlight w:val="none"/>
          <w:lang w:val="en-US" w:eastAsia="zh-CN"/>
        </w:rPr>
      </w:pPr>
      <w:r>
        <w:rPr>
          <w:rFonts w:hint="eastAsia"/>
          <w:color w:val="0000FF"/>
          <w:highlight w:val="none"/>
          <w:lang w:val="en-US" w:eastAsia="zh-CN"/>
        </w:rPr>
        <w:t>灌区管理所工作人及平时到访人员以10人计</w:t>
      </w:r>
      <w:r>
        <w:rPr>
          <w:rFonts w:hint="default" w:ascii="Times New Roman" w:hAnsi="Times New Roman" w:cs="Times New Roman"/>
          <w:color w:val="auto"/>
          <w:highlight w:val="none"/>
          <w:lang w:val="en-US" w:eastAsia="zh-CN"/>
        </w:rPr>
        <w:t>，根据《云南省地方标准 用水定额》（DB53/T 168-2019），人均生活用水量以90L/人∙d计，用水量</w:t>
      </w:r>
      <w:r>
        <w:rPr>
          <w:rFonts w:hint="eastAsia" w:cs="Times New Roman"/>
          <w:color w:val="auto"/>
          <w:highlight w:val="none"/>
          <w:lang w:val="en-US" w:eastAsia="zh-CN"/>
        </w:rPr>
        <w:t>0.9</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/d，污水排放系数为0.8，则水库管理所生活污水产生量为</w:t>
      </w:r>
      <w:r>
        <w:rPr>
          <w:rFonts w:hint="eastAsia" w:cs="Times New Roman"/>
          <w:color w:val="auto"/>
          <w:highlight w:val="none"/>
          <w:lang w:val="en-US" w:eastAsia="zh-CN"/>
        </w:rPr>
        <w:t>0.72</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w:t>
      </w:r>
      <w:r>
        <w:rPr>
          <w:rFonts w:hint="eastAsia" w:cs="Times New Roman"/>
          <w:color w:val="auto"/>
          <w:highlight w:val="none"/>
          <w:lang w:val="en-US" w:eastAsia="zh-CN"/>
        </w:rPr>
        <w:t>262.8</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/a。环评提出设置容积</w:t>
      </w:r>
      <w:r>
        <w:rPr>
          <w:rFonts w:hint="default" w:ascii="Times New Roman" w:hAnsi="Times New Roman" w:cs="Times New Roman"/>
          <w:color w:val="auto"/>
          <w:highlight w:val="none"/>
          <w:shd w:val="clear"/>
          <w:lang w:val="en-US" w:eastAsia="zh-CN"/>
        </w:rPr>
        <w:t>为</w:t>
      </w:r>
      <w:r>
        <w:rPr>
          <w:rFonts w:hint="eastAsia" w:cs="Times New Roman"/>
          <w:color w:val="auto"/>
          <w:highlight w:val="none"/>
          <w:shd w:val="clear"/>
          <w:lang w:val="en-US" w:eastAsia="zh-CN"/>
        </w:rPr>
        <w:t>1</w:t>
      </w:r>
      <w:r>
        <w:rPr>
          <w:rFonts w:hint="default" w:ascii="Times New Roman" w:hAnsi="Times New Roman" w:cs="Times New Roman"/>
          <w:color w:val="auto"/>
          <w:highlight w:val="none"/>
          <w:shd w:val="clear"/>
          <w:lang w:val="en-US" w:eastAsia="zh-CN"/>
        </w:rPr>
        <w:t>m</w:t>
      </w:r>
      <w:r>
        <w:rPr>
          <w:rFonts w:hint="default" w:ascii="Times New Roman" w:hAnsi="Times New Roman" w:cs="Times New Roman"/>
          <w:color w:val="auto"/>
          <w:highlight w:val="none"/>
          <w:shd w:val="clear"/>
          <w:vertAlign w:val="superscript"/>
          <w:lang w:val="en-US" w:eastAsia="zh-CN"/>
        </w:rPr>
        <w:t>3</w:t>
      </w:r>
      <w:r>
        <w:rPr>
          <w:rFonts w:hint="default" w:ascii="Times New Roman" w:hAnsi="Times New Roman" w:cs="Times New Roman"/>
          <w:color w:val="auto"/>
          <w:highlight w:val="none"/>
          <w:shd w:val="clear"/>
          <w:lang w:val="en-US" w:eastAsia="zh-CN"/>
        </w:rPr>
        <w:t>的隔油池处理食堂废水，设置容积为</w:t>
      </w:r>
      <w:r>
        <w:rPr>
          <w:rFonts w:hint="eastAsia" w:cs="Times New Roman"/>
          <w:color w:val="auto"/>
          <w:highlight w:val="none"/>
          <w:shd w:val="clear"/>
          <w:lang w:val="en-US" w:eastAsia="zh-CN"/>
        </w:rPr>
        <w:t>1.5</w:t>
      </w:r>
      <w:r>
        <w:rPr>
          <w:rFonts w:hint="default" w:ascii="Times New Roman" w:hAnsi="Times New Roman" w:cs="Times New Roman"/>
          <w:color w:val="auto"/>
          <w:highlight w:val="none"/>
          <w:shd w:val="clear"/>
          <w:lang w:val="en-US" w:eastAsia="zh-CN"/>
        </w:rPr>
        <w:t>m</w:t>
      </w:r>
      <w:r>
        <w:rPr>
          <w:rFonts w:hint="eastAsia"/>
          <w:color w:val="auto"/>
          <w:highlight w:val="none"/>
          <w:shd w:val="clear"/>
          <w:vertAlign w:val="superscript"/>
          <w:lang w:val="en-US" w:eastAsia="zh-CN"/>
        </w:rPr>
        <w:t>3</w:t>
      </w:r>
      <w:r>
        <w:rPr>
          <w:rFonts w:hint="eastAsia"/>
          <w:color w:val="auto"/>
          <w:highlight w:val="none"/>
          <w:lang w:val="en-US" w:eastAsia="zh-CN"/>
        </w:rPr>
        <w:t>的化粪池收集生活污水（含经隔油池处理的餐饮废水）</w:t>
      </w:r>
      <w:r>
        <w:rPr>
          <w:rFonts w:hint="eastAsia" w:ascii="Times New Roman" w:hAnsi="Times New Roman" w:eastAsia="宋体" w:cs="Times New Roman"/>
          <w:color w:val="auto"/>
          <w:kern w:val="0"/>
          <w:sz w:val="24"/>
          <w:lang w:val="en-US" w:eastAsia="zh-CN" w:bidi="ar"/>
        </w:rPr>
        <w:t>后</w:t>
      </w:r>
      <w:r>
        <w:rPr>
          <w:rFonts w:hint="eastAsia" w:ascii="Times New Roman" w:hAnsi="Times New Roman" w:eastAsia="宋体" w:cs="Times New Roman"/>
          <w:color w:val="auto"/>
          <w:kern w:val="0"/>
          <w:sz w:val="24"/>
          <w:lang w:eastAsia="zh-CN" w:bidi="ar"/>
        </w:rPr>
        <w:t>委托当地村民定期清掏用于农田施肥，无粪便污水排放。</w:t>
      </w:r>
    </w:p>
    <w:p>
      <w:pPr>
        <w:pStyle w:val="5"/>
        <w:numPr>
          <w:ilvl w:val="3"/>
          <w:numId w:val="2"/>
        </w:numPr>
        <w:bidi w:val="0"/>
        <w:ind w:left="480" w:leftChars="0" w:firstLineChars="0"/>
        <w:rPr>
          <w:rFonts w:hint="default"/>
          <w:color w:val="auto"/>
          <w:lang w:val="en-US" w:eastAsia="zh-CN"/>
        </w:rPr>
      </w:pPr>
      <w:r>
        <w:rPr>
          <w:rFonts w:hint="eastAsia"/>
          <w:color w:val="auto"/>
          <w:lang w:val="en-US" w:eastAsia="zh-CN"/>
        </w:rPr>
        <w:t>地表水环境预测分析结论</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工程建设对水源水质无影响；运营期供水将使得</w:t>
      </w:r>
      <w:r>
        <w:rPr>
          <w:rFonts w:hint="eastAsia" w:ascii="宋体" w:hAnsi="宋体" w:cs="宋体"/>
          <w:color w:val="auto"/>
          <w:kern w:val="0"/>
          <w:sz w:val="24"/>
          <w:szCs w:val="24"/>
          <w:lang w:val="en-US" w:eastAsia="zh-CN" w:bidi="ar"/>
        </w:rPr>
        <w:t>受水区</w:t>
      </w:r>
      <w:r>
        <w:rPr>
          <w:rFonts w:hint="eastAsia" w:ascii="宋体" w:hAnsi="宋体" w:eastAsia="宋体" w:cs="宋体"/>
          <w:color w:val="auto"/>
          <w:kern w:val="0"/>
          <w:sz w:val="24"/>
          <w:szCs w:val="24"/>
          <w:lang w:val="en-US" w:eastAsia="zh-CN" w:bidi="ar"/>
        </w:rPr>
        <w:t>水库下游河道水文情势的持续改变，河段内无渔业用水取用水需求，本项目引调水不会导致渔业、农业和生活用水受影响；本项目水库受水后，对水质有一定影响，但仍可达到功能区要求，满足灌溉要求；运营期灌区退水后，金沙江水质维持现状，影响较小。项目的建设有助于优化了水资源的利用，在很大程度上节约了水资源，使灌区农业用水趋于合理，推进农作物种植结构调整，降低耗水作物的种植比例，使得设计年</w:t>
      </w:r>
      <w:r>
        <w:rPr>
          <w:rFonts w:hint="default" w:ascii="Times New Roman" w:hAnsi="Times New Roman" w:eastAsia="宋体" w:cs="Times New Roman"/>
          <w:color w:val="auto"/>
          <w:kern w:val="0"/>
          <w:sz w:val="24"/>
          <w:szCs w:val="24"/>
          <w:lang w:val="en-US" w:eastAsia="zh-CN" w:bidi="ar"/>
        </w:rPr>
        <w:t>2035</w:t>
      </w:r>
      <w:r>
        <w:rPr>
          <w:rFonts w:hint="eastAsia" w:ascii="宋体" w:hAnsi="宋体" w:eastAsia="宋体" w:cs="宋体"/>
          <w:color w:val="auto"/>
          <w:kern w:val="0"/>
          <w:sz w:val="24"/>
          <w:szCs w:val="24"/>
          <w:lang w:val="en-US" w:eastAsia="zh-CN" w:bidi="ar"/>
        </w:rPr>
        <w:t>年，在水源河流供水量不变的前提下，灌区农业退水量及污染物的降低。本项目建成后设计年</w:t>
      </w:r>
      <w:r>
        <w:rPr>
          <w:rFonts w:hint="default" w:ascii="Times New Roman" w:hAnsi="Times New Roman" w:eastAsia="宋体" w:cs="Times New Roman"/>
          <w:color w:val="auto"/>
          <w:kern w:val="0"/>
          <w:sz w:val="24"/>
          <w:szCs w:val="24"/>
          <w:lang w:val="en-US" w:eastAsia="zh-CN" w:bidi="ar"/>
        </w:rPr>
        <w:t>2035</w:t>
      </w:r>
      <w:r>
        <w:rPr>
          <w:rFonts w:hint="eastAsia" w:ascii="宋体" w:hAnsi="宋体" w:eastAsia="宋体" w:cs="宋体"/>
          <w:color w:val="auto"/>
          <w:kern w:val="0"/>
          <w:sz w:val="24"/>
          <w:szCs w:val="24"/>
          <w:lang w:val="en-US" w:eastAsia="zh-CN" w:bidi="ar"/>
        </w:rPr>
        <w:t>年规划灌区退水污染物排放总量未超过《楚雄州水资源保护规划》（报批稿）（楚雄州水务局）中元谋县境内金沙江限制排污总量控制。</w:t>
      </w:r>
    </w:p>
    <w:p>
      <w:pPr>
        <w:pStyle w:val="4"/>
        <w:numPr>
          <w:ilvl w:val="2"/>
          <w:numId w:val="2"/>
        </w:numPr>
        <w:tabs>
          <w:tab w:val="left" w:pos="420"/>
        </w:tabs>
        <w:bidi w:val="0"/>
        <w:rPr>
          <w:rFonts w:hint="eastAsia"/>
          <w:color w:val="auto"/>
          <w:lang w:val="en-US" w:eastAsia="zh-CN"/>
        </w:rPr>
      </w:pPr>
      <w:bookmarkStart w:id="607" w:name="_Toc17415"/>
      <w:bookmarkStart w:id="608" w:name="_Toc4021"/>
      <w:bookmarkStart w:id="609" w:name="_Toc25232"/>
      <w:r>
        <w:rPr>
          <w:rFonts w:hint="eastAsia"/>
          <w:color w:val="auto"/>
          <w:lang w:val="en-US" w:eastAsia="zh-CN"/>
        </w:rPr>
        <w:t>地下水环境影响分析</w:t>
      </w:r>
      <w:bookmarkEnd w:id="607"/>
      <w:bookmarkEnd w:id="608"/>
      <w:bookmarkEnd w:id="609"/>
    </w:p>
    <w:p>
      <w:pPr>
        <w:pStyle w:val="5"/>
        <w:numPr>
          <w:ilvl w:val="3"/>
          <w:numId w:val="26"/>
        </w:numPr>
        <w:bidi w:val="0"/>
        <w:ind w:left="480" w:leftChars="0" w:firstLineChars="0"/>
        <w:rPr>
          <w:rFonts w:hint="default"/>
          <w:color w:val="auto"/>
          <w:lang w:val="en-US" w:eastAsia="zh-CN"/>
        </w:rPr>
      </w:pPr>
      <w:r>
        <w:rPr>
          <w:rFonts w:hint="eastAsia"/>
          <w:color w:val="auto"/>
          <w:lang w:val="en-US" w:eastAsia="zh-CN"/>
        </w:rPr>
        <w:t>水文地质条件</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工程区区水文地质条件较简单，地下水分为第四系孔隙潜水和基岩裂隙水两大类，其特征分述如下：</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第四系孔隙潜水：主要赋存于河床沿线的冲洪积层中，富水性中等，主要受大气降水及河水补给，与河水之间存在密切的水力联系，远离河床，水量逐渐减小，涌水量</w:t>
      </w:r>
      <w:r>
        <w:rPr>
          <w:rFonts w:hint="default" w:ascii="Times New Roman" w:hAnsi="Times New Roman" w:eastAsia="宋体" w:cs="Times New Roman"/>
          <w:color w:val="auto"/>
          <w:kern w:val="0"/>
          <w:sz w:val="24"/>
          <w:szCs w:val="24"/>
          <w:lang w:val="en-US" w:eastAsia="zh-CN" w:bidi="ar"/>
        </w:rPr>
        <w:t>100</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500m³/d</w:t>
      </w:r>
      <w:r>
        <w:rPr>
          <w:rFonts w:hint="eastAsia" w:ascii="宋体" w:hAnsi="宋体" w:eastAsia="宋体" w:cs="宋体"/>
          <w:color w:val="auto"/>
          <w:kern w:val="0"/>
          <w:sz w:val="24"/>
          <w:szCs w:val="24"/>
          <w:lang w:val="en-US" w:eastAsia="zh-CN" w:bidi="ar"/>
        </w:rPr>
        <w:t xml:space="preserve">。此外，局部赋存于第四系残坡积层中，主要受大气降水补给，受季节控制，为季节性富水，涌水量小于 </w:t>
      </w:r>
      <w:r>
        <w:rPr>
          <w:rFonts w:hint="default" w:ascii="Times New Roman" w:hAnsi="Times New Roman" w:eastAsia="宋体" w:cs="Times New Roman"/>
          <w:color w:val="auto"/>
          <w:kern w:val="0"/>
          <w:sz w:val="24"/>
          <w:szCs w:val="24"/>
          <w:lang w:val="en-US" w:eastAsia="zh-CN" w:bidi="ar"/>
        </w:rPr>
        <w:t>100m³/d</w:t>
      </w:r>
      <w:r>
        <w:rPr>
          <w:rFonts w:hint="eastAsia" w:ascii="宋体" w:hAnsi="宋体" w:eastAsia="宋体" w:cs="宋体"/>
          <w:color w:val="auto"/>
          <w:kern w:val="0"/>
          <w:sz w:val="24"/>
          <w:szCs w:val="24"/>
          <w:lang w:val="en-US" w:eastAsia="zh-CN" w:bidi="ar"/>
        </w:rPr>
        <w:t>。</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 xml:space="preserve">基岩裂隙水：赋存于基岩裂隙中，主要受大气降水补给，富水性与裂隙发育程度密切相关，地下水类型以重碳酸钙型水为主，泉流量 </w:t>
      </w:r>
      <w:r>
        <w:rPr>
          <w:rFonts w:hint="default" w:ascii="Times New Roman" w:hAnsi="Times New Roman" w:eastAsia="宋体" w:cs="Times New Roman"/>
          <w:color w:val="auto"/>
          <w:kern w:val="0"/>
          <w:sz w:val="24"/>
          <w:szCs w:val="24"/>
          <w:lang w:val="en-US" w:eastAsia="zh-CN" w:bidi="ar"/>
        </w:rPr>
        <w:t>0.1</w:t>
      </w: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1.0L/s</w:t>
      </w:r>
      <w:r>
        <w:rPr>
          <w:rFonts w:hint="eastAsia" w:ascii="宋体" w:hAnsi="宋体" w:eastAsia="宋体" w:cs="宋体"/>
          <w:color w:val="auto"/>
          <w:kern w:val="0"/>
          <w:sz w:val="24"/>
          <w:szCs w:val="24"/>
          <w:lang w:val="en-US" w:eastAsia="zh-CN" w:bidi="ar"/>
        </w:rPr>
        <w:t xml:space="preserve">，局部可达 </w:t>
      </w:r>
      <w:r>
        <w:rPr>
          <w:rFonts w:hint="default" w:ascii="Times New Roman" w:hAnsi="Times New Roman" w:eastAsia="宋体" w:cs="Times New Roman"/>
          <w:color w:val="auto"/>
          <w:kern w:val="0"/>
          <w:sz w:val="24"/>
          <w:szCs w:val="24"/>
          <w:lang w:val="en-US" w:eastAsia="zh-CN" w:bidi="ar"/>
        </w:rPr>
        <w:t>20L/s</w:t>
      </w:r>
      <w:r>
        <w:rPr>
          <w:rFonts w:hint="eastAsia" w:ascii="宋体" w:hAnsi="宋体" w:eastAsia="宋体" w:cs="宋体"/>
          <w:color w:val="auto"/>
          <w:kern w:val="0"/>
          <w:sz w:val="24"/>
          <w:szCs w:val="24"/>
          <w:lang w:val="en-US" w:eastAsia="zh-CN" w:bidi="ar"/>
        </w:rPr>
        <w:t>，在姜驿河、沙沟箐排泄，最终汇入金沙江。</w:t>
      </w:r>
    </w:p>
    <w:p>
      <w:pPr>
        <w:pStyle w:val="5"/>
        <w:numPr>
          <w:ilvl w:val="3"/>
          <w:numId w:val="27"/>
        </w:numPr>
        <w:bidi w:val="0"/>
        <w:ind w:left="480" w:leftChars="0" w:firstLineChars="0"/>
        <w:rPr>
          <w:rFonts w:hint="eastAsia"/>
          <w:color w:val="auto"/>
          <w:lang w:val="en-US" w:eastAsia="zh-CN"/>
        </w:rPr>
      </w:pPr>
      <w:r>
        <w:rPr>
          <w:rFonts w:hint="eastAsia"/>
          <w:color w:val="auto"/>
          <w:lang w:val="en-US" w:eastAsia="zh-CN"/>
        </w:rPr>
        <w:t>地下水补给、径流、排泄</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工程区内地下水主要接受大气降水和地表径流补给，大气降水是地下水最主要的补给来源，碎屑岩、变质岩分布区地下水的补给，主要是大气降水通过地表的强风化带渗入裂隙而补给地下水。地下水的径流多通过裂隙、孔隙、溶隙等通道径流，补给区和径流区多无明显界线，其运动速度和方向受地质构造和岩性影响明显。金沙江为工程区内最低侵蚀基准面，各类地下水最终均以不同形式向金沙江排泄。</w:t>
      </w:r>
    </w:p>
    <w:p>
      <w:pPr>
        <w:pStyle w:val="5"/>
        <w:numPr>
          <w:ilvl w:val="3"/>
          <w:numId w:val="2"/>
        </w:numPr>
        <w:bidi w:val="0"/>
        <w:ind w:left="480" w:leftChars="0" w:firstLineChars="0"/>
        <w:rPr>
          <w:rFonts w:hint="eastAsia"/>
          <w:color w:val="auto"/>
          <w:lang w:val="en-US" w:eastAsia="zh-CN"/>
        </w:rPr>
      </w:pPr>
      <w:r>
        <w:rPr>
          <w:rFonts w:hint="eastAsia"/>
          <w:color w:val="auto"/>
          <w:lang w:val="en-US" w:eastAsia="zh-CN"/>
        </w:rPr>
        <w:t>运营期工程对地下水的影响分析</w:t>
      </w:r>
    </w:p>
    <w:p>
      <w:pPr>
        <w:keepNext w:val="0"/>
        <w:keepLines w:val="0"/>
        <w:pageBreakBefore w:val="0"/>
        <w:widowControl/>
        <w:suppressLineNumbers w:val="0"/>
        <w:kinsoku/>
        <w:wordWrap w:val="0"/>
        <w:overflowPunct/>
        <w:topLinePunct w:val="0"/>
        <w:autoSpaceDE/>
        <w:autoSpaceDN/>
        <w:bidi w:val="0"/>
        <w:adjustRightInd/>
        <w:snapToGrid w:val="0"/>
        <w:ind w:firstLine="480" w:firstLineChars="200"/>
        <w:jc w:val="left"/>
        <w:textAlignment w:val="auto"/>
        <w:rPr>
          <w:color w:val="auto"/>
        </w:rPr>
      </w:pPr>
      <w:r>
        <w:rPr>
          <w:rFonts w:hint="default" w:ascii="Times New Roman" w:hAnsi="Times New Roman" w:eastAsia="宋体" w:cs="Times New Roman"/>
          <w:color w:val="auto"/>
          <w:kern w:val="0"/>
          <w:sz w:val="24"/>
          <w:szCs w:val="24"/>
          <w:lang w:val="en-US" w:eastAsia="zh-CN" w:bidi="ar"/>
        </w:rPr>
        <w:t>（1）灌溉对受水区地下水水位的影响至规划水平年2035年，考虑本工程及其它供水水源的情况下，规划灌区供受水760.7万m³，</w:t>
      </w:r>
      <w:r>
        <w:rPr>
          <w:rFonts w:hint="eastAsia" w:cs="Times New Roman"/>
          <w:color w:val="auto"/>
          <w:kern w:val="0"/>
          <w:sz w:val="24"/>
          <w:szCs w:val="24"/>
          <w:lang w:val="en-US" w:eastAsia="zh-CN" w:bidi="ar"/>
        </w:rPr>
        <w:t>根据上述分析，灌溉退水量为</w:t>
      </w:r>
      <w:r>
        <w:rPr>
          <w:rFonts w:hint="default" w:ascii="Times New Roman" w:hAnsi="Times New Roman" w:cs="Times New Roman"/>
          <w:b w:val="0"/>
          <w:bCs w:val="0"/>
          <w:color w:val="auto"/>
          <w:sz w:val="24"/>
          <w:szCs w:val="24"/>
          <w:vertAlign w:val="baseline"/>
          <w:lang w:val="en-US" w:eastAsia="zh-CN"/>
        </w:rPr>
        <w:t>131662.87</w:t>
      </w:r>
      <w:r>
        <w:rPr>
          <w:rFonts w:hint="default"/>
          <w:b w:val="0"/>
          <w:bCs w:val="0"/>
          <w:color w:val="auto"/>
          <w:sz w:val="24"/>
          <w:szCs w:val="24"/>
          <w:lang w:val="en-US" w:eastAsia="zh-CN"/>
        </w:rPr>
        <w:t>m</w:t>
      </w:r>
      <w:r>
        <w:rPr>
          <w:rFonts w:hint="default"/>
          <w:b w:val="0"/>
          <w:bCs w:val="0"/>
          <w:color w:val="auto"/>
          <w:sz w:val="24"/>
          <w:szCs w:val="24"/>
          <w:vertAlign w:val="superscript"/>
          <w:lang w:val="en-US" w:eastAsia="zh-CN"/>
        </w:rPr>
        <w:t>3</w:t>
      </w:r>
      <w:r>
        <w:rPr>
          <w:rFonts w:hint="default"/>
          <w:b w:val="0"/>
          <w:bCs w:val="0"/>
          <w:color w:val="auto"/>
          <w:sz w:val="24"/>
          <w:szCs w:val="24"/>
          <w:lang w:val="en-US" w:eastAsia="zh-CN"/>
        </w:rPr>
        <w:t>/a</w:t>
      </w:r>
      <w:r>
        <w:rPr>
          <w:rFonts w:hint="default" w:ascii="Times New Roman" w:hAnsi="Times New Roman" w:eastAsia="宋体" w:cs="Times New Roman"/>
          <w:b w:val="0"/>
          <w:bCs w:val="0"/>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灌区耕地面积为3.49万亩，回归水量约为</w:t>
      </w:r>
      <w:r>
        <w:rPr>
          <w:rFonts w:hint="eastAsia" w:cs="Times New Roman"/>
          <w:color w:val="auto"/>
          <w:kern w:val="0"/>
          <w:sz w:val="24"/>
          <w:szCs w:val="24"/>
          <w:lang w:val="en-US" w:eastAsia="zh-CN" w:bidi="ar"/>
        </w:rPr>
        <w:t>5.7</w:t>
      </w:r>
      <w:r>
        <w:rPr>
          <w:rFonts w:hint="default" w:ascii="Times New Roman" w:hAnsi="Times New Roman" w:eastAsia="宋体" w:cs="Times New Roman"/>
          <w:color w:val="auto"/>
          <w:kern w:val="0"/>
          <w:sz w:val="24"/>
          <w:szCs w:val="24"/>
          <w:lang w:val="en-US" w:eastAsia="zh-CN" w:bidi="ar"/>
        </w:rPr>
        <w:t>mm。假设白垩系松散沉积</w:t>
      </w:r>
      <w:r>
        <w:rPr>
          <w:rFonts w:hint="default" w:ascii="Times New Roman" w:hAnsi="Times New Roman" w:eastAsia="宋体" w:cs="Times New Roman"/>
          <w:color w:val="auto"/>
          <w:kern w:val="0"/>
          <w:sz w:val="24"/>
          <w:szCs w:val="24"/>
          <w:highlight w:val="none"/>
          <w:shd w:val="clear"/>
          <w:lang w:val="en-US" w:eastAsia="zh-CN" w:bidi="ar"/>
        </w:rPr>
        <w:t>物的孔隙度为0.3，在不考虑地下水排泄条件的前提下，引起地下水水位升高平均</w:t>
      </w:r>
      <w:r>
        <w:rPr>
          <w:rFonts w:hint="eastAsia" w:cs="Times New Roman"/>
          <w:color w:val="auto"/>
          <w:kern w:val="0"/>
          <w:sz w:val="24"/>
          <w:szCs w:val="24"/>
          <w:highlight w:val="none"/>
          <w:shd w:val="clear"/>
          <w:lang w:val="en-US" w:eastAsia="zh-CN" w:bidi="ar"/>
        </w:rPr>
        <w:t>1.7m</w:t>
      </w:r>
      <w:r>
        <w:rPr>
          <w:rFonts w:hint="default" w:ascii="Times New Roman" w:hAnsi="Times New Roman" w:eastAsia="宋体" w:cs="Times New Roman"/>
          <w:color w:val="auto"/>
          <w:kern w:val="0"/>
          <w:sz w:val="24"/>
          <w:szCs w:val="24"/>
          <w:highlight w:val="none"/>
          <w:shd w:val="clear"/>
          <w:lang w:val="en-US" w:eastAsia="zh-CN" w:bidi="ar"/>
        </w:rPr>
        <w:t>m，</w:t>
      </w:r>
      <w:r>
        <w:rPr>
          <w:rFonts w:hint="default" w:ascii="Times New Roman" w:hAnsi="Times New Roman" w:eastAsia="宋体" w:cs="Times New Roman"/>
          <w:color w:val="auto"/>
          <w:kern w:val="0"/>
          <w:sz w:val="24"/>
          <w:szCs w:val="24"/>
          <w:lang w:val="en-US" w:eastAsia="zh-CN" w:bidi="ar"/>
        </w:rPr>
        <w:t>在季节变动范围之内，变化趋势很小</w:t>
      </w:r>
      <w:r>
        <w:rPr>
          <w:rFonts w:hint="eastAsia" w:ascii="宋体" w:hAnsi="宋体" w:eastAsia="宋体" w:cs="宋体"/>
          <w:color w:val="auto"/>
          <w:kern w:val="0"/>
          <w:sz w:val="24"/>
          <w:szCs w:val="24"/>
          <w:lang w:val="en-US" w:eastAsia="zh-CN" w:bidi="ar"/>
        </w:rPr>
        <w:t>。</w:t>
      </w:r>
    </w:p>
    <w:p>
      <w:pPr>
        <w:keepNext w:val="0"/>
        <w:keepLines w:val="0"/>
        <w:pageBreakBefore w:val="0"/>
        <w:widowControl/>
        <w:suppressLineNumbers w:val="0"/>
        <w:kinsoku/>
        <w:overflowPunct/>
        <w:topLinePunct w:val="0"/>
        <w:autoSpaceDE/>
        <w:autoSpaceDN/>
        <w:bidi w:val="0"/>
        <w:adjustRightInd/>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项目灌溉受水区多位于金沙江流域的山区坡耕地，坡度相对较大，具有良好的地下水排泄条件，灌溉对地下水水位的抬高作用不明显。</w:t>
      </w:r>
    </w:p>
    <w:p>
      <w:pPr>
        <w:keepNext w:val="0"/>
        <w:keepLines w:val="0"/>
        <w:pageBreakBefore w:val="0"/>
        <w:widowControl/>
        <w:suppressLineNumbers w:val="0"/>
        <w:kinsoku/>
        <w:overflowPunct/>
        <w:topLinePunct w:val="0"/>
        <w:autoSpaceDE/>
        <w:autoSpaceDN/>
        <w:bidi w:val="0"/>
        <w:adjustRightInd/>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 xml:space="preserve">综上所述，从灌溉水量以及受水区地下水排泄条件分析，项目受水区农业灌溉对地下水水位的影响较小。 </w:t>
      </w:r>
    </w:p>
    <w:p>
      <w:pPr>
        <w:keepNext w:val="0"/>
        <w:keepLines w:val="0"/>
        <w:pageBreakBefore w:val="0"/>
        <w:widowControl/>
        <w:suppressLineNumbers w:val="0"/>
        <w:kinsoku/>
        <w:overflowPunct/>
        <w:topLinePunct w:val="0"/>
        <w:autoSpaceDE/>
        <w:autoSpaceDN/>
        <w:bidi w:val="0"/>
        <w:adjustRightInd/>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w:t>
      </w:r>
      <w:r>
        <w:rPr>
          <w:rFonts w:hint="eastAsia" w:ascii="宋体" w:hAnsi="宋体" w:eastAsia="宋体" w:cs="宋体"/>
          <w:color w:val="auto"/>
          <w:kern w:val="0"/>
          <w:sz w:val="24"/>
          <w:szCs w:val="24"/>
          <w:lang w:val="en-US" w:eastAsia="zh-CN" w:bidi="ar"/>
        </w:rPr>
        <w:t xml:space="preserve">）灌溉对地下水水质的影响 </w:t>
      </w:r>
    </w:p>
    <w:p>
      <w:pPr>
        <w:keepNext w:val="0"/>
        <w:keepLines w:val="0"/>
        <w:pageBreakBefore w:val="0"/>
        <w:widowControl/>
        <w:suppressLineNumbers w:val="0"/>
        <w:kinsoku/>
        <w:overflowPunct/>
        <w:topLinePunct w:val="0"/>
        <w:autoSpaceDE/>
        <w:autoSpaceDN/>
        <w:bidi w:val="0"/>
        <w:adjustRightInd/>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灌区工程实施后，虽然灌溉会在一定程度上改变地下水流态，但影响不大。不过由于下渗水富含营养物质及农药等，有可能对地下水水质产生不良影响，特别是总磷、总氨等营养物质浓度将逐渐增加，局部将存在地下水污染的情况。</w:t>
      </w:r>
    </w:p>
    <w:p>
      <w:pPr>
        <w:keepNext w:val="0"/>
        <w:keepLines w:val="0"/>
        <w:pageBreakBefore w:val="0"/>
        <w:widowControl/>
        <w:suppressLineNumbers w:val="0"/>
        <w:kinsoku/>
        <w:overflowPunct/>
        <w:topLinePunct w:val="0"/>
        <w:autoSpaceDE/>
        <w:autoSpaceDN/>
        <w:bidi w:val="0"/>
        <w:adjustRightInd/>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 xml:space="preserve">项目灌溉受水区灌区主要农田渗流污染物来自种植业，除传统的主要农作物水稻、玉米、烤烟、小麦、蚕豆、大豆、薯类等。农业灌溉对地下水环境的影响主要是由大气降水和灌溉回归水溶解一部分化肥和农药进入地下水造成。农田过量施用化学氮肥后，未被植物吸收利用的氮素（主要以 </w:t>
      </w:r>
      <w:r>
        <w:rPr>
          <w:rFonts w:hint="default" w:ascii="Times New Roman" w:hAnsi="Times New Roman" w:eastAsia="宋体" w:cs="Times New Roman"/>
          <w:color w:val="auto"/>
          <w:kern w:val="0"/>
          <w:sz w:val="24"/>
          <w:szCs w:val="24"/>
          <w:lang w:val="en-US" w:eastAsia="zh-CN" w:bidi="ar"/>
        </w:rPr>
        <w:t>NH</w:t>
      </w:r>
      <w:r>
        <w:rPr>
          <w:rFonts w:hint="default" w:ascii="Times New Roman" w:hAnsi="Times New Roman" w:eastAsia="宋体" w:cs="Times New Roman"/>
          <w:color w:val="auto"/>
          <w:kern w:val="0"/>
          <w:sz w:val="24"/>
          <w:szCs w:val="24"/>
          <w:vertAlign w:val="subscript"/>
          <w:lang w:val="en-US" w:eastAsia="zh-CN" w:bidi="ar"/>
        </w:rPr>
        <w:t>4</w:t>
      </w:r>
      <w:r>
        <w:rPr>
          <w:rFonts w:hint="default" w:ascii="Times New Roman" w:hAnsi="Times New Roman" w:eastAsia="宋体" w:cs="Times New Roman"/>
          <w:color w:val="auto"/>
          <w:kern w:val="0"/>
          <w:sz w:val="24"/>
          <w:szCs w:val="24"/>
          <w:vertAlign w:val="superscript"/>
          <w:lang w:val="en-US" w:eastAsia="zh-CN" w:bidi="ar"/>
        </w:rPr>
        <w:t xml:space="preserve"> +</w:t>
      </w:r>
      <w:r>
        <w:rPr>
          <w:rFonts w:hint="eastAsia" w:ascii="宋体" w:hAnsi="宋体" w:eastAsia="宋体" w:cs="宋体"/>
          <w:color w:val="auto"/>
          <w:kern w:val="0"/>
          <w:sz w:val="24"/>
          <w:szCs w:val="24"/>
          <w:lang w:val="en-US" w:eastAsia="zh-CN" w:bidi="ar"/>
        </w:rPr>
        <w:t xml:space="preserve">形式存在），一部分转化为 </w:t>
      </w:r>
      <w:r>
        <w:rPr>
          <w:rFonts w:hint="default" w:ascii="Times New Roman" w:hAnsi="Times New Roman" w:eastAsia="宋体" w:cs="Times New Roman"/>
          <w:color w:val="auto"/>
          <w:kern w:val="0"/>
          <w:sz w:val="24"/>
          <w:szCs w:val="24"/>
          <w:lang w:val="en-US" w:eastAsia="zh-CN" w:bidi="ar"/>
        </w:rPr>
        <w:t>NH</w:t>
      </w:r>
      <w:r>
        <w:rPr>
          <w:rFonts w:hint="default" w:ascii="Times New Roman" w:hAnsi="Times New Roman" w:eastAsia="宋体" w:cs="Times New Roman"/>
          <w:color w:val="auto"/>
          <w:kern w:val="0"/>
          <w:sz w:val="24"/>
          <w:szCs w:val="24"/>
          <w:vertAlign w:val="subscript"/>
          <w:lang w:val="en-US" w:eastAsia="zh-CN" w:bidi="ar"/>
        </w:rPr>
        <w:t>3</w:t>
      </w:r>
      <w:r>
        <w:rPr>
          <w:rFonts w:hint="eastAsia" w:ascii="宋体" w:hAnsi="宋体" w:eastAsia="宋体" w:cs="宋体"/>
          <w:color w:val="auto"/>
          <w:kern w:val="0"/>
          <w:sz w:val="24"/>
          <w:szCs w:val="24"/>
          <w:lang w:val="en-US" w:eastAsia="zh-CN" w:bidi="ar"/>
        </w:rPr>
        <w:t>（排入大气）或被土壤所吸附、交换，余下部分在地下水好氧带（主要是表层土），被硝化为</w:t>
      </w:r>
      <w:r>
        <w:rPr>
          <w:rFonts w:hint="default" w:ascii="Times New Roman" w:hAnsi="Times New Roman" w:eastAsia="宋体" w:cs="Times New Roman"/>
          <w:color w:val="auto"/>
          <w:kern w:val="0"/>
          <w:sz w:val="24"/>
          <w:szCs w:val="24"/>
          <w:lang w:val="en-US" w:eastAsia="zh-CN" w:bidi="ar"/>
        </w:rPr>
        <w:t>NO</w:t>
      </w:r>
      <w:r>
        <w:rPr>
          <w:rFonts w:hint="default" w:ascii="Times New Roman" w:hAnsi="Times New Roman" w:eastAsia="宋体" w:cs="Times New Roman"/>
          <w:color w:val="auto"/>
          <w:kern w:val="0"/>
          <w:sz w:val="24"/>
          <w:szCs w:val="24"/>
          <w:vertAlign w:val="subscript"/>
          <w:lang w:val="en-US" w:eastAsia="zh-CN" w:bidi="ar"/>
        </w:rPr>
        <w:t>3</w:t>
      </w:r>
      <w:r>
        <w:rPr>
          <w:rFonts w:hint="default" w:ascii="Times New Roman" w:hAnsi="Times New Roman" w:eastAsia="宋体" w:cs="Times New Roman"/>
          <w:color w:val="auto"/>
          <w:kern w:val="0"/>
          <w:sz w:val="24"/>
          <w:szCs w:val="24"/>
          <w:vertAlign w:val="superscript"/>
          <w:lang w:val="en-US" w:eastAsia="zh-CN" w:bidi="ar"/>
        </w:rPr>
        <w:t>-</w:t>
      </w:r>
      <w:r>
        <w:rPr>
          <w:rFonts w:hint="eastAsia" w:ascii="宋体" w:hAnsi="宋体" w:eastAsia="宋体" w:cs="宋体"/>
          <w:color w:val="auto"/>
          <w:kern w:val="0"/>
          <w:sz w:val="24"/>
          <w:szCs w:val="24"/>
          <w:lang w:val="en-US" w:eastAsia="zh-CN" w:bidi="ar"/>
        </w:rPr>
        <w:t>。由于</w:t>
      </w:r>
      <w:r>
        <w:rPr>
          <w:rFonts w:hint="default" w:ascii="Times New Roman" w:hAnsi="Times New Roman" w:eastAsia="宋体" w:cs="Times New Roman"/>
          <w:color w:val="auto"/>
          <w:kern w:val="0"/>
          <w:sz w:val="24"/>
          <w:szCs w:val="24"/>
          <w:lang w:val="en-US" w:eastAsia="zh-CN" w:bidi="ar"/>
        </w:rPr>
        <w:t>NO</w:t>
      </w:r>
      <w:r>
        <w:rPr>
          <w:rFonts w:hint="default" w:ascii="Times New Roman" w:hAnsi="Times New Roman" w:eastAsia="宋体" w:cs="Times New Roman"/>
          <w:color w:val="auto"/>
          <w:kern w:val="0"/>
          <w:sz w:val="24"/>
          <w:szCs w:val="24"/>
          <w:vertAlign w:val="subscript"/>
          <w:lang w:val="en-US" w:eastAsia="zh-CN" w:bidi="ar"/>
        </w:rPr>
        <w:t>3</w:t>
      </w:r>
      <w:r>
        <w:rPr>
          <w:rFonts w:hint="default" w:ascii="Times New Roman" w:hAnsi="Times New Roman" w:eastAsia="宋体" w:cs="Times New Roman"/>
          <w:color w:val="auto"/>
          <w:kern w:val="0"/>
          <w:sz w:val="24"/>
          <w:szCs w:val="24"/>
          <w:vertAlign w:val="superscript"/>
          <w:lang w:val="en-US" w:eastAsia="zh-CN" w:bidi="ar"/>
        </w:rPr>
        <w:t>-</w:t>
      </w:r>
      <w:r>
        <w:rPr>
          <w:rFonts w:hint="eastAsia" w:ascii="宋体" w:hAnsi="宋体" w:eastAsia="宋体" w:cs="宋体"/>
          <w:color w:val="auto"/>
          <w:kern w:val="0"/>
          <w:sz w:val="24"/>
          <w:szCs w:val="24"/>
          <w:lang w:val="en-US" w:eastAsia="zh-CN" w:bidi="ar"/>
        </w:rPr>
        <w:t>带负电荷，难于被土壤颗粒吸附，因而其在地下水环境中具有高度的流动性和稳定性，除少量</w:t>
      </w:r>
      <w:r>
        <w:rPr>
          <w:rFonts w:hint="default" w:ascii="Times New Roman" w:hAnsi="Times New Roman" w:eastAsia="宋体" w:cs="Times New Roman"/>
          <w:color w:val="auto"/>
          <w:kern w:val="0"/>
          <w:sz w:val="24"/>
          <w:szCs w:val="24"/>
          <w:lang w:val="en-US" w:eastAsia="zh-CN" w:bidi="ar"/>
        </w:rPr>
        <w:t>NO</w:t>
      </w:r>
      <w:r>
        <w:rPr>
          <w:rFonts w:hint="default" w:ascii="Times New Roman" w:hAnsi="Times New Roman" w:eastAsia="宋体" w:cs="Times New Roman"/>
          <w:color w:val="auto"/>
          <w:kern w:val="0"/>
          <w:sz w:val="24"/>
          <w:szCs w:val="24"/>
          <w:vertAlign w:val="subscript"/>
          <w:lang w:val="en-US" w:eastAsia="zh-CN" w:bidi="ar"/>
        </w:rPr>
        <w:t>3</w:t>
      </w:r>
      <w:r>
        <w:rPr>
          <w:rFonts w:hint="default" w:ascii="Times New Roman" w:hAnsi="Times New Roman" w:eastAsia="宋体" w:cs="Times New Roman"/>
          <w:color w:val="auto"/>
          <w:kern w:val="0"/>
          <w:sz w:val="24"/>
          <w:szCs w:val="24"/>
          <w:vertAlign w:val="superscript"/>
          <w:lang w:val="en-US" w:eastAsia="zh-CN" w:bidi="ar"/>
        </w:rPr>
        <w:t>-</w:t>
      </w:r>
      <w:r>
        <w:rPr>
          <w:rFonts w:hint="eastAsia" w:ascii="宋体" w:hAnsi="宋体" w:eastAsia="宋体" w:cs="宋体"/>
          <w:color w:val="auto"/>
          <w:kern w:val="0"/>
          <w:sz w:val="24"/>
          <w:szCs w:val="24"/>
          <w:lang w:val="en-US" w:eastAsia="zh-CN" w:bidi="ar"/>
        </w:rPr>
        <w:t>被脱氮菌转化为氮气外，大量</w:t>
      </w:r>
      <w:r>
        <w:rPr>
          <w:rFonts w:hint="default" w:ascii="Times New Roman" w:hAnsi="Times New Roman" w:eastAsia="宋体" w:cs="Times New Roman"/>
          <w:color w:val="auto"/>
          <w:kern w:val="0"/>
          <w:sz w:val="24"/>
          <w:szCs w:val="24"/>
          <w:lang w:val="en-US" w:eastAsia="zh-CN" w:bidi="ar"/>
        </w:rPr>
        <w:t>NO</w:t>
      </w:r>
      <w:r>
        <w:rPr>
          <w:rFonts w:hint="default" w:ascii="Times New Roman" w:hAnsi="Times New Roman" w:eastAsia="宋体" w:cs="Times New Roman"/>
          <w:color w:val="auto"/>
          <w:kern w:val="0"/>
          <w:sz w:val="24"/>
          <w:szCs w:val="24"/>
          <w:vertAlign w:val="subscript"/>
          <w:lang w:val="en-US" w:eastAsia="zh-CN" w:bidi="ar"/>
        </w:rPr>
        <w:t>3</w:t>
      </w:r>
      <w:r>
        <w:rPr>
          <w:rFonts w:hint="default" w:ascii="Times New Roman" w:hAnsi="Times New Roman" w:eastAsia="宋体" w:cs="Times New Roman"/>
          <w:color w:val="auto"/>
          <w:kern w:val="0"/>
          <w:sz w:val="24"/>
          <w:szCs w:val="24"/>
          <w:vertAlign w:val="superscript"/>
          <w:lang w:val="en-US" w:eastAsia="zh-CN" w:bidi="ar"/>
        </w:rPr>
        <w:t xml:space="preserve"> -</w:t>
      </w:r>
      <w:r>
        <w:rPr>
          <w:rFonts w:hint="eastAsia" w:ascii="宋体" w:hAnsi="宋体" w:eastAsia="宋体" w:cs="宋体"/>
          <w:color w:val="auto"/>
          <w:kern w:val="0"/>
          <w:sz w:val="24"/>
          <w:szCs w:val="24"/>
          <w:lang w:val="en-US" w:eastAsia="zh-CN" w:bidi="ar"/>
        </w:rPr>
        <w:t>进入地下水可能造成地下水水质的污染。其次农药经过喷洒之后，一部分挥发进入大气，一部分被土壤颗粒吸附，一部分随水分渗入进入地下水中，其毒性、高残留特性便会发生效应，造成水体及土壤的污染。</w:t>
      </w:r>
    </w:p>
    <w:p>
      <w:pPr>
        <w:keepNext w:val="0"/>
        <w:keepLines w:val="0"/>
        <w:pageBreakBefore w:val="0"/>
        <w:widowControl/>
        <w:suppressLineNumbers w:val="0"/>
        <w:kinsoku/>
        <w:overflowPunct/>
        <w:topLinePunct w:val="0"/>
        <w:autoSpaceDE/>
        <w:autoSpaceDN/>
        <w:bidi w:val="0"/>
        <w:adjustRightInd/>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综上，农业灌溉会引起地下水中氮和磷含量的增加，与农肥、农药使用方式及量有较大关系。从现有阶段看，项目水源多年引水灌溉并未出现灌区地下水出现大面积恶化的报道或记录。本引水工程的建设，对合理分配水资源，推进节水灌溉技术的发展，对现有大水漫灌形成的回归水污染起到遏制作用，总体可缓解灌区灌溉对地下水的污染。</w:t>
      </w:r>
    </w:p>
    <w:p>
      <w:pPr>
        <w:keepNext w:val="0"/>
        <w:keepLines w:val="0"/>
        <w:pageBreakBefore w:val="0"/>
        <w:widowControl/>
        <w:suppressLineNumbers w:val="0"/>
        <w:kinsoku/>
        <w:overflowPunct/>
        <w:topLinePunct w:val="0"/>
        <w:autoSpaceDE/>
        <w:autoSpaceDN/>
        <w:bidi w:val="0"/>
        <w:adjustRightInd/>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减缓灌区地下水水质影响的措施主要为：①科学高效施肥，严格控制氮肥、磷肥等化肥过量使用，推广有机肥的使用；②推广低残留、低度农药的使用，严格控制毒性及残留性较高农药的用量，禁止使用国家淘汰的农药及成分；③推广节水灌溉技术，逐步淘汰大水漫灌等落后的灌溉方式，减小农田退水量。</w:t>
      </w:r>
    </w:p>
    <w:p>
      <w:pPr>
        <w:keepNext w:val="0"/>
        <w:keepLines w:val="0"/>
        <w:pageBreakBefore w:val="0"/>
        <w:widowControl/>
        <w:suppressLineNumbers w:val="0"/>
        <w:kinsoku/>
        <w:overflowPunct/>
        <w:topLinePunct w:val="0"/>
        <w:autoSpaceDE/>
        <w:autoSpaceDN/>
        <w:bidi w:val="0"/>
        <w:adjustRightInd/>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3</w:t>
      </w:r>
      <w:r>
        <w:rPr>
          <w:rFonts w:hint="eastAsia" w:ascii="宋体" w:hAnsi="宋体" w:eastAsia="宋体" w:cs="宋体"/>
          <w:color w:val="auto"/>
          <w:kern w:val="0"/>
          <w:sz w:val="24"/>
          <w:szCs w:val="24"/>
          <w:lang w:val="en-US" w:eastAsia="zh-CN" w:bidi="ar"/>
        </w:rPr>
        <w:t>）提水泵站</w:t>
      </w:r>
      <w:r>
        <w:rPr>
          <w:rFonts w:hint="eastAsia" w:ascii="宋体" w:hAnsi="宋体" w:cs="宋体"/>
          <w:color w:val="auto"/>
          <w:kern w:val="0"/>
          <w:sz w:val="24"/>
          <w:szCs w:val="24"/>
          <w:lang w:val="en-US" w:eastAsia="zh-CN" w:bidi="ar"/>
        </w:rPr>
        <w:t>对地下水的</w:t>
      </w:r>
      <w:r>
        <w:rPr>
          <w:rFonts w:hint="eastAsia" w:ascii="宋体" w:hAnsi="宋体" w:eastAsia="宋体" w:cs="宋体"/>
          <w:color w:val="auto"/>
          <w:kern w:val="0"/>
          <w:sz w:val="24"/>
          <w:szCs w:val="24"/>
          <w:lang w:val="en-US" w:eastAsia="zh-CN" w:bidi="ar"/>
        </w:rPr>
        <w:t xml:space="preserve">影响分析 </w:t>
      </w:r>
    </w:p>
    <w:p>
      <w:pPr>
        <w:keepNext w:val="0"/>
        <w:keepLines w:val="0"/>
        <w:pageBreakBefore w:val="0"/>
        <w:widowControl/>
        <w:suppressLineNumbers w:val="0"/>
        <w:kinsoku/>
        <w:overflowPunct/>
        <w:topLinePunct w:val="0"/>
        <w:autoSpaceDE/>
        <w:autoSpaceDN/>
        <w:bidi w:val="0"/>
        <w:adjustRightInd/>
        <w:ind w:firstLine="480" w:firstLineChars="200"/>
        <w:jc w:val="left"/>
        <w:textAlignment w:val="auto"/>
        <w:rPr>
          <w:color w:val="auto"/>
          <w:highlight w:val="yellow"/>
        </w:rPr>
      </w:pPr>
      <w:r>
        <w:rPr>
          <w:rFonts w:hint="eastAsia" w:ascii="宋体" w:hAnsi="宋体" w:eastAsia="宋体" w:cs="宋体"/>
          <w:color w:val="auto"/>
          <w:kern w:val="0"/>
          <w:sz w:val="24"/>
          <w:szCs w:val="24"/>
          <w:lang w:val="en-US" w:eastAsia="zh-CN" w:bidi="ar"/>
        </w:rPr>
        <w:t>提水泵站机械</w:t>
      </w:r>
      <w:r>
        <w:rPr>
          <w:rFonts w:hint="eastAsia" w:ascii="宋体" w:hAnsi="宋体" w:eastAsia="宋体" w:cs="宋体"/>
          <w:color w:val="auto"/>
          <w:kern w:val="0"/>
          <w:sz w:val="24"/>
          <w:szCs w:val="24"/>
          <w:highlight w:val="none"/>
          <w:shd w:val="clear"/>
          <w:lang w:val="en-US" w:eastAsia="zh-CN" w:bidi="ar"/>
        </w:rPr>
        <w:t>跑冒滴漏以及废机油间泄露可能造成机油下渗污染地下水，泵站水泵房应按照一般防渗区要求进行地面防渗，危废暂存间按照重点防渗区要求进行地面防渗，可有效杜绝废机油泄露对下水的影响。防渗措施详见地下水污染</w:t>
      </w:r>
      <w:r>
        <w:rPr>
          <w:rFonts w:hint="eastAsia" w:ascii="宋体" w:hAnsi="宋体" w:cs="宋体"/>
          <w:color w:val="auto"/>
          <w:kern w:val="0"/>
          <w:sz w:val="24"/>
          <w:szCs w:val="24"/>
          <w:highlight w:val="none"/>
          <w:shd w:val="clear"/>
          <w:lang w:val="en-US" w:eastAsia="zh-CN" w:bidi="ar"/>
        </w:rPr>
        <w:t>防治措施</w:t>
      </w:r>
      <w:r>
        <w:rPr>
          <w:rFonts w:hint="eastAsia" w:ascii="宋体" w:hAnsi="宋体" w:eastAsia="宋体" w:cs="宋体"/>
          <w:color w:val="auto"/>
          <w:kern w:val="0"/>
          <w:sz w:val="24"/>
          <w:szCs w:val="24"/>
          <w:highlight w:val="none"/>
          <w:shd w:val="clear"/>
          <w:lang w:val="en-US" w:eastAsia="zh-CN" w:bidi="ar"/>
        </w:rPr>
        <w:t>章节。</w:t>
      </w:r>
    </w:p>
    <w:p>
      <w:pPr>
        <w:keepNext w:val="0"/>
        <w:keepLines w:val="0"/>
        <w:pageBreakBefore w:val="0"/>
        <w:widowControl/>
        <w:suppressLineNumbers w:val="0"/>
        <w:kinsoku/>
        <w:overflowPunct/>
        <w:topLinePunct w:val="0"/>
        <w:autoSpaceDE/>
        <w:autoSpaceDN/>
        <w:bidi w:val="0"/>
        <w:adjustRightInd/>
        <w:ind w:firstLine="480" w:firstLineChars="200"/>
        <w:jc w:val="left"/>
        <w:textAlignment w:val="auto"/>
        <w:rPr>
          <w:rFonts w:hint="default" w:ascii="Times New Roman" w:hAnsi="Times New Roman" w:eastAsia="宋体" w:cs="Times New Roman"/>
          <w:color w:val="0000FF"/>
          <w:kern w:val="0"/>
          <w:sz w:val="24"/>
          <w:szCs w:val="24"/>
          <w:lang w:val="en-US" w:eastAsia="zh-CN" w:bidi="ar"/>
        </w:rPr>
      </w:pPr>
      <w:r>
        <w:rPr>
          <w:rFonts w:hint="default" w:ascii="Times New Roman" w:hAnsi="Times New Roman" w:cs="Times New Roman"/>
          <w:color w:val="0000FF"/>
          <w:kern w:val="0"/>
          <w:sz w:val="24"/>
          <w:szCs w:val="24"/>
          <w:lang w:val="en-US" w:eastAsia="zh-CN" w:bidi="ar"/>
        </w:rPr>
        <w:t>（4）管首调节池对地下水的影响分析</w:t>
      </w:r>
    </w:p>
    <w:p>
      <w:pPr>
        <w:keepNext w:val="0"/>
        <w:keepLines w:val="0"/>
        <w:pageBreakBefore w:val="0"/>
        <w:widowControl/>
        <w:suppressLineNumbers w:val="0"/>
        <w:kinsoku/>
        <w:overflowPunct/>
        <w:topLinePunct w:val="0"/>
        <w:autoSpaceDE/>
        <w:autoSpaceDN/>
        <w:bidi w:val="0"/>
        <w:adjustRightInd/>
        <w:ind w:firstLine="480" w:firstLineChars="200"/>
        <w:jc w:val="left"/>
        <w:textAlignment w:val="auto"/>
        <w:rPr>
          <w:rFonts w:hint="default" w:ascii="Times New Roman" w:hAnsi="Times New Roman" w:eastAsia="宋体" w:cs="Times New Roman"/>
          <w:color w:val="0000FF"/>
          <w:kern w:val="0"/>
          <w:sz w:val="24"/>
          <w:szCs w:val="24"/>
          <w:lang w:val="en-US" w:eastAsia="zh-CN" w:bidi="ar"/>
        </w:rPr>
      </w:pPr>
      <w:r>
        <w:rPr>
          <w:rFonts w:hint="eastAsia" w:ascii="Times New Roman" w:hAnsi="Times New Roman" w:cs="Times New Roman"/>
          <w:color w:val="0000FF"/>
          <w:kern w:val="0"/>
          <w:sz w:val="24"/>
          <w:szCs w:val="24"/>
          <w:lang w:val="en-US" w:eastAsia="zh-CN" w:bidi="ar"/>
        </w:rPr>
        <w:t>根据地勘资料：</w:t>
      </w:r>
      <w:r>
        <w:rPr>
          <w:rFonts w:hint="default" w:ascii="Times New Roman" w:hAnsi="Times New Roman" w:eastAsia="宋体" w:cs="Times New Roman"/>
          <w:color w:val="0000FF"/>
          <w:kern w:val="0"/>
          <w:sz w:val="24"/>
          <w:szCs w:val="24"/>
          <w:lang w:val="en-US" w:eastAsia="zh-CN" w:bidi="ar"/>
        </w:rPr>
        <w:t>管首高位蓄水池位于山脊，地表大部基岩出露，冲沟一侧零星分布第四系残坡积层（Qeld），根据沿线钻孔揭露，厚度一般0.5～1.5m，残坡积层岩性以含碎石、砾石粉质粘土为主，碎石含量约占20%，碎石成分为砂岩、泥岩，结构疏松，透水性中等，基本承载力108～124kpa左右。地表出露基岩为中生界侏罗系上统张河组（J2z），岩性为灰、灰白色砂岩夹粉砂岩、紫红色泥岩，岩层产状 116°∠26°，地表岩体呈强风化状态，地下水总体埋深较深。水池基础开挖后可置于强～弱风化基岩上，基础稳定性较好，边坡为斜向坡，自然边坡稳定。局部凹箐第四系土层边坡稳定性稍差，除岩体风化强烈外，其他不良物理地质现象不发育，水池基础高于地下水位。</w:t>
      </w:r>
    </w:p>
    <w:p>
      <w:pPr>
        <w:keepNext w:val="0"/>
        <w:keepLines w:val="0"/>
        <w:pageBreakBefore w:val="0"/>
        <w:widowControl/>
        <w:suppressLineNumbers w:val="0"/>
        <w:kinsoku/>
        <w:overflowPunct/>
        <w:topLinePunct w:val="0"/>
        <w:autoSpaceDE/>
        <w:autoSpaceDN/>
        <w:bidi w:val="0"/>
        <w:adjustRightInd/>
        <w:ind w:firstLine="480" w:firstLineChars="200"/>
        <w:jc w:val="left"/>
        <w:textAlignment w:val="auto"/>
        <w:rPr>
          <w:rFonts w:hint="default" w:ascii="Times New Roman" w:hAnsi="Times New Roman" w:eastAsia="宋体" w:cs="Times New Roman"/>
          <w:color w:val="0000FF"/>
          <w:kern w:val="0"/>
          <w:sz w:val="24"/>
          <w:szCs w:val="24"/>
          <w:lang w:val="en-US" w:eastAsia="zh-CN" w:bidi="ar"/>
        </w:rPr>
      </w:pPr>
      <w:r>
        <w:rPr>
          <w:rFonts w:hint="eastAsia" w:ascii="Times New Roman" w:hAnsi="Times New Roman" w:cs="Times New Roman"/>
          <w:color w:val="0000FF"/>
          <w:kern w:val="0"/>
          <w:sz w:val="24"/>
          <w:szCs w:val="24"/>
          <w:lang w:val="en-US" w:eastAsia="zh-CN" w:bidi="ar"/>
        </w:rPr>
        <w:t>因此，施工期管首调蓄池的开挖不会对地下水造成影响；管首调蓄池结构设计采用池壁、池底、池顶为分离式结构。池壁采用扶壁式钢筋混凝土挡土墙，并采用30cm厚C30混凝土表层配防裂温度筋防渗，蓄水后不会渗漏对地下水造成影响。</w:t>
      </w:r>
    </w:p>
    <w:p>
      <w:pPr>
        <w:keepNext w:val="0"/>
        <w:keepLines w:val="0"/>
        <w:pageBreakBefore w:val="0"/>
        <w:widowControl/>
        <w:suppressLineNumbers w:val="0"/>
        <w:kinsoku/>
        <w:overflowPunct/>
        <w:topLinePunct w:val="0"/>
        <w:autoSpaceDE/>
        <w:autoSpaceDN/>
        <w:bidi w:val="0"/>
        <w:adjustRightInd/>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w:t>
      </w:r>
      <w:r>
        <w:rPr>
          <w:rFonts w:hint="eastAsia" w:cs="Times New Roman"/>
          <w:color w:val="auto"/>
          <w:kern w:val="0"/>
          <w:sz w:val="24"/>
          <w:szCs w:val="24"/>
          <w:lang w:val="en-US" w:eastAsia="zh-CN" w:bidi="ar"/>
        </w:rPr>
        <w:t>5</w:t>
      </w:r>
      <w:r>
        <w:rPr>
          <w:rFonts w:hint="eastAsia" w:ascii="宋体" w:hAnsi="宋体" w:eastAsia="宋体" w:cs="宋体"/>
          <w:color w:val="auto"/>
          <w:kern w:val="0"/>
          <w:sz w:val="24"/>
          <w:szCs w:val="24"/>
          <w:lang w:val="en-US" w:eastAsia="zh-CN" w:bidi="ar"/>
        </w:rPr>
        <w:t xml:space="preserve">）对地下水保护目标的影响 </w:t>
      </w:r>
    </w:p>
    <w:p>
      <w:pPr>
        <w:keepNext w:val="0"/>
        <w:keepLines w:val="0"/>
        <w:pageBreakBefore w:val="0"/>
        <w:widowControl/>
        <w:suppressLineNumbers w:val="0"/>
        <w:kinsoku/>
        <w:overflowPunct/>
        <w:topLinePunct w:val="0"/>
        <w:autoSpaceDE/>
        <w:autoSpaceDN/>
        <w:bidi w:val="0"/>
        <w:adjustRightInd/>
        <w:ind w:firstLine="480" w:firstLineChars="200"/>
        <w:jc w:val="left"/>
        <w:textAlignment w:val="auto"/>
        <w:rPr>
          <w:rFonts w:hint="default" w:eastAsia="宋体"/>
          <w:color w:val="auto"/>
          <w:lang w:val="en-US" w:eastAsia="zh-CN"/>
        </w:rPr>
      </w:pPr>
      <w:r>
        <w:rPr>
          <w:rFonts w:hint="eastAsia"/>
          <w:color w:val="auto"/>
        </w:rPr>
        <w:t>根据现场调查，地下水评价区内村镇饮用水源多</w:t>
      </w:r>
      <w:r>
        <w:rPr>
          <w:rFonts w:hint="eastAsia"/>
          <w:color w:val="auto"/>
          <w:lang w:eastAsia="zh-CN"/>
        </w:rPr>
        <w:t>来自</w:t>
      </w:r>
      <w:r>
        <w:rPr>
          <w:rFonts w:hint="eastAsia"/>
          <w:color w:val="auto"/>
        </w:rPr>
        <w:t>自来水供水。经调查，评价区地下水无集中式开发利用，也未划定过集中式地下水水源地。</w:t>
      </w:r>
      <w:r>
        <w:rPr>
          <w:rFonts w:hint="eastAsia"/>
          <w:color w:val="auto"/>
          <w:lang w:val="en-US" w:eastAsia="zh-CN"/>
        </w:rPr>
        <w:t>无地下水环境保护目标。</w:t>
      </w:r>
    </w:p>
    <w:p>
      <w:pPr>
        <w:pStyle w:val="5"/>
        <w:numPr>
          <w:ilvl w:val="3"/>
          <w:numId w:val="2"/>
        </w:numPr>
        <w:bidi w:val="0"/>
        <w:ind w:left="480" w:leftChars="0" w:firstLineChars="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地下水影响分析小结</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color w:val="auto"/>
          <w:highlight w:val="none"/>
        </w:rPr>
      </w:pPr>
      <w:r>
        <w:rPr>
          <w:rFonts w:hint="eastAsia" w:ascii="宋体" w:hAnsi="宋体" w:eastAsia="宋体" w:cs="宋体"/>
          <w:color w:val="auto"/>
          <w:kern w:val="0"/>
          <w:sz w:val="24"/>
          <w:szCs w:val="24"/>
          <w:lang w:val="en-US" w:eastAsia="zh-CN" w:bidi="ar"/>
        </w:rPr>
        <w:t>工程建设对对工程区周边村庄灌溉、牲畜用水地下水水源无影响；建设产生的导水裂隙带不会导通地表，对地表植被生长用水产生的影响较小，地表可维持原有生境及景观；在采取防渗措施的前提下，可防止泵站及废机油间跑冒滴漏或泄露污染地下水；从灌溉水量以及受水区地下水排泄条件分析，项目受水区农业灌溉对地下水水位的影响较小；农业灌溉会引起地下水中氮和磷含量的增加，与农肥、农药使用方式及量有较大关系，可通过合理施肥及规范农药使用的措施减缓其影响，同时本引调水工程的建设对现有大水漫灌形成的归回水污染起到遏制作用，总体可缓解灌区灌溉对地下水的污染。</w:t>
      </w:r>
    </w:p>
    <w:p>
      <w:pPr>
        <w:pStyle w:val="4"/>
        <w:numPr>
          <w:ilvl w:val="2"/>
          <w:numId w:val="2"/>
        </w:numPr>
        <w:tabs>
          <w:tab w:val="left" w:pos="420"/>
        </w:tabs>
        <w:bidi w:val="0"/>
        <w:rPr>
          <w:rFonts w:hint="default"/>
          <w:color w:val="auto"/>
          <w:lang w:val="en-US" w:eastAsia="zh-CN"/>
        </w:rPr>
      </w:pPr>
      <w:bookmarkStart w:id="610" w:name="_Toc20136"/>
      <w:bookmarkStart w:id="611" w:name="_Toc7281"/>
      <w:bookmarkStart w:id="612" w:name="_Toc23132"/>
      <w:r>
        <w:rPr>
          <w:rFonts w:hint="eastAsia"/>
          <w:color w:val="auto"/>
          <w:lang w:val="en-US" w:eastAsia="zh-CN"/>
        </w:rPr>
        <w:t>土壤环境影响分析</w:t>
      </w:r>
      <w:bookmarkEnd w:id="610"/>
      <w:bookmarkEnd w:id="611"/>
      <w:bookmarkEnd w:id="612"/>
    </w:p>
    <w:p>
      <w:pPr>
        <w:bidi w:val="0"/>
        <w:ind w:firstLine="480" w:firstLineChars="200"/>
        <w:rPr>
          <w:rFonts w:hint="eastAsia"/>
          <w:color w:val="auto"/>
          <w:highlight w:val="none"/>
        </w:rPr>
      </w:pPr>
      <w:r>
        <w:rPr>
          <w:color w:val="auto"/>
          <w:highlight w:val="none"/>
        </w:rPr>
        <w:t>本工程对土壤环境的影响主要集中在运行期的农业灌溉，</w:t>
      </w:r>
      <w:r>
        <w:rPr>
          <w:rFonts w:hint="eastAsia"/>
          <w:color w:val="auto"/>
          <w:highlight w:val="none"/>
        </w:rPr>
        <w:t>对于新增和改善的灌区，对土壤的可能的影响包括盐渍化、潜育化和浸没等。</w:t>
      </w:r>
    </w:p>
    <w:p>
      <w:pPr>
        <w:pStyle w:val="37"/>
        <w:ind w:firstLine="476" w:firstLineChars="200"/>
        <w:rPr>
          <w:rFonts w:hint="eastAsia" w:ascii="宋体" w:hAnsi="宋体" w:eastAsia="宋体" w:cs="宋体"/>
          <w:color w:val="auto"/>
          <w:spacing w:val="-1"/>
          <w:sz w:val="24"/>
          <w:szCs w:val="24"/>
          <w:highlight w:val="none"/>
          <w:lang w:eastAsia="zh-CN"/>
        </w:rPr>
      </w:pPr>
      <w:r>
        <w:rPr>
          <w:rFonts w:hint="eastAsia" w:ascii="宋体" w:hAnsi="宋体" w:eastAsia="宋体" w:cs="宋体"/>
          <w:color w:val="auto"/>
          <w:spacing w:val="-1"/>
          <w:sz w:val="24"/>
          <w:szCs w:val="24"/>
          <w:highlight w:val="none"/>
          <w:lang w:eastAsia="zh-CN"/>
        </w:rPr>
        <w:t>根据国内外研究表明，土壤如果长期受污水灌溉，会对土壤环境产生影响。会增加土壤容重，堵塞土壤孔隙，破坏土壤结构，使土壤出现板结现象等，使土壤肥力降低。污水在带来营养物质的同时，有些还带来重金属离子及盐分，对土壤质量造成巨大的威胁，并进一步威胁着人类健康。</w:t>
      </w:r>
    </w:p>
    <w:p>
      <w:pPr>
        <w:pStyle w:val="37"/>
        <w:ind w:firstLine="476" w:firstLineChars="200"/>
        <w:rPr>
          <w:rFonts w:hint="eastAsia" w:ascii="宋体" w:hAnsi="宋体" w:eastAsia="宋体" w:cs="宋体"/>
          <w:color w:val="auto"/>
          <w:spacing w:val="-1"/>
          <w:sz w:val="24"/>
          <w:szCs w:val="24"/>
          <w:highlight w:val="none"/>
          <w:lang w:eastAsia="zh-CN"/>
        </w:rPr>
      </w:pPr>
      <w:r>
        <w:rPr>
          <w:rFonts w:hint="eastAsia" w:ascii="宋体" w:hAnsi="宋体" w:eastAsia="宋体" w:cs="宋体"/>
          <w:color w:val="auto"/>
          <w:spacing w:val="-1"/>
          <w:sz w:val="24"/>
          <w:szCs w:val="24"/>
          <w:highlight w:val="none"/>
          <w:lang w:eastAsia="zh-CN"/>
        </w:rPr>
        <w:t>本工程取水水质很好，满足灌溉用水要求，不会对土壤造成威胁，但为保护土壤环境，需要确保灌溉水质，避免灌溉水在输送过程中受到污染。本工程运行期提水灌溉可能对土壤的影响包括土壤盐渍化、潜育化和浸没影响。</w:t>
      </w:r>
    </w:p>
    <w:p>
      <w:pPr>
        <w:pStyle w:val="5"/>
        <w:numPr>
          <w:ilvl w:val="3"/>
          <w:numId w:val="28"/>
        </w:numPr>
        <w:bidi w:val="0"/>
        <w:ind w:left="480" w:leftChars="0" w:firstLineChars="0"/>
        <w:rPr>
          <w:rFonts w:hint="eastAsia"/>
          <w:color w:val="auto"/>
          <w:highlight w:val="none"/>
          <w:lang w:eastAsia="zh-CN"/>
        </w:rPr>
      </w:pPr>
      <w:r>
        <w:rPr>
          <w:rFonts w:hint="eastAsia"/>
          <w:color w:val="auto"/>
          <w:highlight w:val="none"/>
          <w:lang w:eastAsia="zh-CN"/>
        </w:rPr>
        <w:t>对土壤的盐渍化影响</w:t>
      </w:r>
    </w:p>
    <w:p>
      <w:pPr>
        <w:pStyle w:val="37"/>
        <w:ind w:firstLine="476" w:firstLineChars="200"/>
        <w:rPr>
          <w:rFonts w:hint="default" w:ascii="Times New Roman" w:hAnsi="Times New Roman" w:eastAsia="宋体" w:cs="Times New Roman"/>
          <w:color w:val="auto"/>
          <w:spacing w:val="-1"/>
          <w:sz w:val="24"/>
          <w:szCs w:val="24"/>
          <w:highlight w:val="none"/>
          <w:lang w:eastAsia="zh-CN"/>
        </w:rPr>
      </w:pPr>
      <w:r>
        <w:rPr>
          <w:rFonts w:hint="eastAsia" w:ascii="宋体" w:hAnsi="宋体" w:eastAsia="宋体" w:cs="宋体"/>
          <w:color w:val="auto"/>
          <w:spacing w:val="-1"/>
          <w:sz w:val="24"/>
          <w:szCs w:val="24"/>
          <w:highlight w:val="none"/>
          <w:lang w:eastAsia="zh-CN"/>
        </w:rPr>
        <w:t>耕作土壤的次生盐渍化主要与大气蒸发力、地下水埋深、土壤特性、矿化度和人为灌溉、施肥和种植方式有着直接的关系。根据调查，本工程受水区主要的土壤类型为红壤、赤红壤等，土壤的渗透性能较好。灌区现状灌区不存在盐渍化</w:t>
      </w:r>
      <w:r>
        <w:rPr>
          <w:rFonts w:hint="default" w:ascii="Times New Roman" w:hAnsi="Times New Roman" w:eastAsia="宋体" w:cs="Times New Roman"/>
          <w:color w:val="auto"/>
          <w:spacing w:val="-1"/>
          <w:sz w:val="24"/>
          <w:szCs w:val="24"/>
          <w:highlight w:val="none"/>
          <w:lang w:eastAsia="zh-CN"/>
        </w:rPr>
        <w:t>现象。通过对灌溉土壤pH值的测定，其值在</w:t>
      </w:r>
      <w:r>
        <w:rPr>
          <w:rFonts w:hint="eastAsia" w:cs="Times New Roman"/>
          <w:color w:val="auto"/>
          <w:spacing w:val="-1"/>
          <w:sz w:val="24"/>
          <w:szCs w:val="24"/>
          <w:highlight w:val="none"/>
          <w:lang w:val="en-US" w:eastAsia="zh-CN"/>
        </w:rPr>
        <w:t>6.51</w:t>
      </w:r>
      <w:r>
        <w:rPr>
          <w:rFonts w:hint="default" w:ascii="Times New Roman" w:hAnsi="Times New Roman" w:eastAsia="宋体" w:cs="Times New Roman"/>
          <w:color w:val="auto"/>
          <w:spacing w:val="-1"/>
          <w:sz w:val="24"/>
          <w:szCs w:val="24"/>
          <w:highlight w:val="none"/>
          <w:lang w:eastAsia="zh-CN"/>
        </w:rPr>
        <w:t>～</w:t>
      </w:r>
      <w:r>
        <w:rPr>
          <w:rFonts w:hint="eastAsia" w:cs="Times New Roman"/>
          <w:color w:val="auto"/>
          <w:spacing w:val="-1"/>
          <w:sz w:val="24"/>
          <w:szCs w:val="24"/>
          <w:highlight w:val="none"/>
          <w:lang w:val="en-US" w:eastAsia="zh-CN"/>
        </w:rPr>
        <w:t>6.80</w:t>
      </w:r>
      <w:r>
        <w:rPr>
          <w:rFonts w:hint="default" w:ascii="Times New Roman" w:hAnsi="Times New Roman" w:eastAsia="宋体" w:cs="Times New Roman"/>
          <w:color w:val="auto"/>
          <w:spacing w:val="-1"/>
          <w:sz w:val="24"/>
          <w:szCs w:val="24"/>
          <w:highlight w:val="none"/>
          <w:lang w:eastAsia="zh-CN"/>
        </w:rPr>
        <w:t>。从目前灌区灌溉状况</w:t>
      </w:r>
    </w:p>
    <w:p>
      <w:pPr>
        <w:pStyle w:val="37"/>
        <w:rPr>
          <w:rFonts w:hint="default" w:ascii="Times New Roman" w:hAnsi="Times New Roman" w:eastAsia="宋体" w:cs="Times New Roman"/>
          <w:color w:val="auto"/>
          <w:spacing w:val="-1"/>
          <w:sz w:val="24"/>
          <w:szCs w:val="24"/>
          <w:highlight w:val="none"/>
          <w:lang w:eastAsia="zh-CN"/>
        </w:rPr>
      </w:pPr>
      <w:r>
        <w:rPr>
          <w:rFonts w:hint="default" w:ascii="Times New Roman" w:hAnsi="Times New Roman" w:eastAsia="宋体" w:cs="Times New Roman"/>
          <w:color w:val="auto"/>
          <w:spacing w:val="-1"/>
          <w:sz w:val="24"/>
          <w:szCs w:val="24"/>
          <w:highlight w:val="none"/>
          <w:lang w:eastAsia="zh-CN"/>
        </w:rPr>
        <w:t>看，地下水位没有明显升高。本工程实施后，受水区的灌区灌溉主要采用节水灌溉的方式，如滴灌、微灌等，灌区地下水位提升有限，同时由于节水灌溉退水量少，灌区排泄条件好，水位升高不大。针对工程运行期可能引起的盐化影响，采用《环境影响评价技术导则土壤环境导则（试行）》（HJ964－2018）中的附</w:t>
      </w:r>
    </w:p>
    <w:p>
      <w:pPr>
        <w:pStyle w:val="37"/>
        <w:rPr>
          <w:rFonts w:hint="default" w:ascii="Times New Roman" w:hAnsi="Times New Roman" w:eastAsia="宋体" w:cs="Times New Roman"/>
          <w:color w:val="auto"/>
          <w:spacing w:val="-1"/>
          <w:sz w:val="24"/>
          <w:szCs w:val="24"/>
          <w:highlight w:val="none"/>
          <w:lang w:eastAsia="zh-CN"/>
        </w:rPr>
      </w:pPr>
      <w:r>
        <w:rPr>
          <w:rFonts w:hint="default" w:ascii="Times New Roman" w:hAnsi="Times New Roman" w:eastAsia="宋体" w:cs="Times New Roman"/>
          <w:color w:val="auto"/>
          <w:spacing w:val="-1"/>
          <w:sz w:val="24"/>
          <w:szCs w:val="24"/>
          <w:highlight w:val="none"/>
          <w:lang w:eastAsia="zh-CN"/>
        </w:rPr>
        <w:t>录F</w:t>
      </w:r>
      <w:r>
        <w:rPr>
          <w:rFonts w:hint="eastAsia" w:ascii="宋体" w:hAnsi="宋体" w:eastAsia="宋体" w:cs="宋体"/>
          <w:color w:val="auto"/>
          <w:spacing w:val="-1"/>
          <w:sz w:val="24"/>
          <w:szCs w:val="24"/>
          <w:highlight w:val="none"/>
          <w:lang w:eastAsia="zh-CN"/>
        </w:rPr>
        <w:t>“土壤盐化综合评分预测方法”</w:t>
      </w:r>
      <w:r>
        <w:rPr>
          <w:rFonts w:hint="default" w:ascii="Times New Roman" w:hAnsi="Times New Roman" w:eastAsia="宋体" w:cs="Times New Roman"/>
          <w:color w:val="auto"/>
          <w:spacing w:val="-1"/>
          <w:sz w:val="24"/>
          <w:szCs w:val="24"/>
          <w:highlight w:val="none"/>
          <w:lang w:eastAsia="zh-CN"/>
        </w:rPr>
        <w:t>进行预测评价。</w:t>
      </w:r>
    </w:p>
    <w:p>
      <w:pPr>
        <w:pStyle w:val="37"/>
        <w:ind w:firstLine="476" w:firstLineChars="200"/>
        <w:rPr>
          <w:rFonts w:hint="eastAsia" w:ascii="宋体" w:hAnsi="宋体" w:eastAsia="宋体" w:cs="宋体"/>
          <w:color w:val="auto"/>
          <w:spacing w:val="-1"/>
          <w:sz w:val="24"/>
          <w:szCs w:val="24"/>
          <w:highlight w:val="none"/>
          <w:lang w:eastAsia="zh-CN"/>
        </w:rPr>
      </w:pPr>
      <w:r>
        <w:rPr>
          <w:rFonts w:hint="eastAsia" w:ascii="宋体" w:hAnsi="宋体" w:eastAsia="宋体" w:cs="宋体"/>
          <w:color w:val="auto"/>
          <w:spacing w:val="-1"/>
          <w:sz w:val="24"/>
          <w:szCs w:val="24"/>
          <w:highlight w:val="none"/>
          <w:lang w:eastAsia="zh-CN"/>
        </w:rPr>
        <w:t>计算土壤演化综合评分值（</w:t>
      </w:r>
      <w:r>
        <w:rPr>
          <w:rFonts w:hint="default" w:ascii="Times New Roman" w:hAnsi="Times New Roman" w:eastAsia="宋体" w:cs="Times New Roman"/>
          <w:color w:val="auto"/>
          <w:spacing w:val="-1"/>
          <w:sz w:val="24"/>
          <w:szCs w:val="24"/>
          <w:highlight w:val="none"/>
          <w:lang w:eastAsia="zh-CN"/>
        </w:rPr>
        <w:t>Sa</w:t>
      </w:r>
      <w:r>
        <w:rPr>
          <w:rFonts w:hint="eastAsia" w:ascii="宋体" w:hAnsi="宋体" w:eastAsia="宋体" w:cs="宋体"/>
          <w:color w:val="auto"/>
          <w:spacing w:val="-1"/>
          <w:sz w:val="24"/>
          <w:szCs w:val="24"/>
          <w:highlight w:val="none"/>
          <w:lang w:eastAsia="zh-CN"/>
        </w:rPr>
        <w:t>），具体如下：</w:t>
      </w:r>
    </w:p>
    <w:p>
      <w:pPr>
        <w:pStyle w:val="37"/>
        <w:ind w:firstLine="480" w:firstLineChars="200"/>
        <w:jc w:val="center"/>
        <w:rPr>
          <w:rFonts w:hint="eastAsia" w:eastAsia="宋体"/>
          <w:color w:val="auto"/>
          <w:position w:val="-12"/>
          <w:highlight w:val="none"/>
          <w:lang w:eastAsia="zh-CN"/>
        </w:rPr>
      </w:pPr>
      <w:r>
        <w:rPr>
          <w:rFonts w:hint="eastAsia" w:eastAsia="宋体"/>
          <w:color w:val="auto"/>
          <w:position w:val="-12"/>
          <w:highlight w:val="none"/>
          <w:lang w:eastAsia="zh-CN"/>
        </w:rPr>
        <w:drawing>
          <wp:inline distT="0" distB="0" distL="114300" distR="114300">
            <wp:extent cx="2244725" cy="469900"/>
            <wp:effectExtent l="0" t="0" r="3175" b="6350"/>
            <wp:docPr id="47" name="图片 47" descr="020d4e50b21ff15e2e222fb030813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020d4e50b21ff15e2e222fb0308138b"/>
                    <pic:cNvPicPr>
                      <a:picLocks noChangeAspect="1"/>
                    </pic:cNvPicPr>
                  </pic:nvPicPr>
                  <pic:blipFill>
                    <a:blip r:embed="rId93"/>
                    <a:srcRect t="13074" b="11082"/>
                    <a:stretch>
                      <a:fillRect/>
                    </a:stretch>
                  </pic:blipFill>
                  <pic:spPr>
                    <a:xfrm>
                      <a:off x="0" y="0"/>
                      <a:ext cx="2244725" cy="469900"/>
                    </a:xfrm>
                    <a:prstGeom prst="rect">
                      <a:avLst/>
                    </a:prstGeom>
                  </pic:spPr>
                </pic:pic>
              </a:graphicData>
            </a:graphic>
          </wp:inline>
        </w:drawing>
      </w:r>
    </w:p>
    <w:p>
      <w:pPr>
        <w:pStyle w:val="37"/>
        <w:ind w:firstLine="240" w:firstLineChars="100"/>
        <w:jc w:val="both"/>
        <w:rPr>
          <w:rFonts w:hint="eastAsia"/>
          <w:color w:val="auto"/>
          <w:position w:val="-12"/>
          <w:highlight w:val="none"/>
          <w:lang w:eastAsia="zh-CN"/>
        </w:rPr>
      </w:pPr>
      <w:r>
        <w:rPr>
          <w:rFonts w:hint="eastAsia"/>
          <w:color w:val="auto"/>
          <w:position w:val="-12"/>
          <w:highlight w:val="none"/>
          <w:lang w:eastAsia="zh-CN"/>
        </w:rPr>
        <w:t>式中：n—影响因素指标数目；</w:t>
      </w:r>
    </w:p>
    <w:p>
      <w:pPr>
        <w:pStyle w:val="37"/>
        <w:ind w:firstLine="960" w:firstLineChars="400"/>
        <w:jc w:val="both"/>
        <w:rPr>
          <w:rFonts w:hint="eastAsia"/>
          <w:color w:val="auto"/>
          <w:position w:val="-12"/>
          <w:highlight w:val="none"/>
          <w:lang w:eastAsia="zh-CN"/>
        </w:rPr>
      </w:pPr>
      <w:r>
        <w:rPr>
          <w:rFonts w:hint="eastAsia"/>
          <w:color w:val="auto"/>
          <w:position w:val="-12"/>
          <w:highlight w:val="none"/>
          <w:lang w:eastAsia="zh-CN"/>
        </w:rPr>
        <w:t>Wxi—影响因素i指标评分；</w:t>
      </w:r>
    </w:p>
    <w:p>
      <w:pPr>
        <w:pStyle w:val="37"/>
        <w:ind w:firstLine="960" w:firstLineChars="400"/>
        <w:jc w:val="both"/>
        <w:rPr>
          <w:rFonts w:hint="eastAsia"/>
          <w:color w:val="auto"/>
          <w:position w:val="-12"/>
          <w:highlight w:val="none"/>
          <w:lang w:eastAsia="zh-CN"/>
        </w:rPr>
      </w:pPr>
      <w:r>
        <w:rPr>
          <w:rFonts w:hint="eastAsia"/>
          <w:color w:val="auto"/>
          <w:position w:val="-12"/>
          <w:highlight w:val="none"/>
          <w:lang w:eastAsia="zh-CN"/>
        </w:rPr>
        <w:t>Ixi—影响因素i指标权重。</w:t>
      </w:r>
    </w:p>
    <w:p>
      <w:pPr>
        <w:pStyle w:val="37"/>
        <w:ind w:firstLine="480" w:firstLineChars="200"/>
        <w:jc w:val="both"/>
        <w:rPr>
          <w:rFonts w:hint="eastAsia"/>
          <w:color w:val="auto"/>
          <w:position w:val="-12"/>
          <w:highlight w:val="none"/>
          <w:lang w:eastAsia="zh-CN"/>
        </w:rPr>
      </w:pPr>
      <w:r>
        <w:rPr>
          <w:rFonts w:hint="eastAsia"/>
          <w:color w:val="auto"/>
          <w:position w:val="-12"/>
          <w:highlight w:val="none"/>
          <w:lang w:eastAsia="zh-CN"/>
        </w:rPr>
        <w:t>土壤盐化因素赋值情况见下表：</w:t>
      </w:r>
    </w:p>
    <w:p>
      <w:pPr>
        <w:pStyle w:val="40"/>
        <w:bidi w:val="0"/>
        <w:rPr>
          <w:color w:val="auto"/>
          <w:highlight w:val="none"/>
        </w:rPr>
      </w:pPr>
      <w:r>
        <w:rPr>
          <w:color w:val="auto"/>
          <w:highlight w:val="none"/>
        </w:rPr>
        <w:t>表</w:t>
      </w:r>
      <w:r>
        <w:rPr>
          <w:rFonts w:hint="eastAsia"/>
          <w:color w:val="auto"/>
          <w:highlight w:val="none"/>
          <w:lang w:val="en-US" w:eastAsia="zh-CN"/>
        </w:rPr>
        <w:t>5.2.4</w:t>
      </w:r>
      <w:r>
        <w:rPr>
          <w:color w:val="auto"/>
          <w:highlight w:val="none"/>
        </w:rPr>
        <w:t>-1  土壤盐化影响因素赋值表</w:t>
      </w:r>
    </w:p>
    <w:tbl>
      <w:tblPr>
        <w:tblStyle w:val="57"/>
        <w:tblW w:w="5003"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638"/>
        <w:gridCol w:w="956"/>
        <w:gridCol w:w="1349"/>
        <w:gridCol w:w="1351"/>
        <w:gridCol w:w="1288"/>
        <w:gridCol w:w="73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7" w:hRule="atLeast"/>
          <w:jc w:val="center"/>
        </w:trPr>
        <w:tc>
          <w:tcPr>
            <w:tcW w:w="2634" w:type="dxa"/>
            <w:vMerge w:val="restart"/>
            <w:tcBorders>
              <w:bottom w:val="nil"/>
            </w:tcBorders>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影响因素</w:t>
            </w:r>
          </w:p>
        </w:tc>
        <w:tc>
          <w:tcPr>
            <w:tcW w:w="4936" w:type="dxa"/>
            <w:gridSpan w:val="4"/>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分值</w:t>
            </w:r>
          </w:p>
        </w:tc>
        <w:tc>
          <w:tcPr>
            <w:tcW w:w="736" w:type="dxa"/>
            <w:vMerge w:val="restart"/>
            <w:tcBorders>
              <w:bottom w:val="nil"/>
            </w:tcBorders>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权重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jc w:val="center"/>
        </w:trPr>
        <w:tc>
          <w:tcPr>
            <w:tcW w:w="2634" w:type="dxa"/>
            <w:vMerge w:val="continue"/>
            <w:tcBorders>
              <w:top w:val="nil"/>
            </w:tcBorders>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c>
          <w:tcPr>
            <w:tcW w:w="954"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0 分</w:t>
            </w:r>
          </w:p>
        </w:tc>
        <w:tc>
          <w:tcPr>
            <w:tcW w:w="134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2分</w:t>
            </w:r>
          </w:p>
        </w:tc>
        <w:tc>
          <w:tcPr>
            <w:tcW w:w="1349"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4分</w:t>
            </w:r>
          </w:p>
        </w:tc>
        <w:tc>
          <w:tcPr>
            <w:tcW w:w="128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6分</w:t>
            </w:r>
          </w:p>
        </w:tc>
        <w:tc>
          <w:tcPr>
            <w:tcW w:w="736" w:type="dxa"/>
            <w:vMerge w:val="continue"/>
            <w:tcBorders>
              <w:top w:val="nil"/>
            </w:tcBorders>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3" w:hRule="atLeast"/>
          <w:jc w:val="center"/>
        </w:trPr>
        <w:tc>
          <w:tcPr>
            <w:tcW w:w="2634"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地下水位埋深（GWD)/(m)</w:t>
            </w:r>
          </w:p>
        </w:tc>
        <w:tc>
          <w:tcPr>
            <w:tcW w:w="954"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GWD&gt;2.5</w:t>
            </w:r>
          </w:p>
        </w:tc>
        <w:tc>
          <w:tcPr>
            <w:tcW w:w="134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1.5&lt;GWD&lt;2.5</w:t>
            </w:r>
          </w:p>
        </w:tc>
        <w:tc>
          <w:tcPr>
            <w:tcW w:w="1349"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1.0&lt;GWD&lt;1.5</w:t>
            </w:r>
          </w:p>
        </w:tc>
        <w:tc>
          <w:tcPr>
            <w:tcW w:w="128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GW&lt;1.0</w:t>
            </w:r>
          </w:p>
        </w:tc>
        <w:tc>
          <w:tcPr>
            <w:tcW w:w="7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0.35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5" w:hRule="atLeast"/>
          <w:jc w:val="center"/>
        </w:trPr>
        <w:tc>
          <w:tcPr>
            <w:tcW w:w="2634"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干燥度（蒸降比值） (EPR）</w:t>
            </w:r>
          </w:p>
        </w:tc>
        <w:tc>
          <w:tcPr>
            <w:tcW w:w="954"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EPR&lt;1.2</w:t>
            </w:r>
          </w:p>
        </w:tc>
        <w:tc>
          <w:tcPr>
            <w:tcW w:w="134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1.2≤EPR&lt;2.5</w:t>
            </w:r>
          </w:p>
        </w:tc>
        <w:tc>
          <w:tcPr>
            <w:tcW w:w="1349"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2.5&lt;EPR&lt;6</w:t>
            </w:r>
          </w:p>
        </w:tc>
        <w:tc>
          <w:tcPr>
            <w:tcW w:w="128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EPR≥6</w:t>
            </w:r>
          </w:p>
        </w:tc>
        <w:tc>
          <w:tcPr>
            <w:tcW w:w="7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0.25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3" w:hRule="atLeast"/>
          <w:jc w:val="center"/>
        </w:trPr>
        <w:tc>
          <w:tcPr>
            <w:tcW w:w="2634"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土壤本底含盐量(Ssc)/(g/kg)</w:t>
            </w:r>
          </w:p>
        </w:tc>
        <w:tc>
          <w:tcPr>
            <w:tcW w:w="954"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ssc&lt;1</w:t>
            </w:r>
          </w:p>
        </w:tc>
        <w:tc>
          <w:tcPr>
            <w:tcW w:w="134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1&lt;Ssc&lt;2</w:t>
            </w:r>
          </w:p>
        </w:tc>
        <w:tc>
          <w:tcPr>
            <w:tcW w:w="1349"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2&lt;ssC&lt;4</w:t>
            </w:r>
          </w:p>
        </w:tc>
        <w:tc>
          <w:tcPr>
            <w:tcW w:w="128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ssC24</w:t>
            </w:r>
          </w:p>
        </w:tc>
        <w:tc>
          <w:tcPr>
            <w:tcW w:w="7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0.15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5" w:hRule="atLeast"/>
          <w:jc w:val="center"/>
        </w:trPr>
        <w:tc>
          <w:tcPr>
            <w:tcW w:w="2634"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地下水溶解性总固体（TDS)/</w:t>
            </w:r>
          </w:p>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(g/L)</w:t>
            </w:r>
          </w:p>
        </w:tc>
        <w:tc>
          <w:tcPr>
            <w:tcW w:w="954"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TDS&lt;1</w:t>
            </w:r>
          </w:p>
        </w:tc>
        <w:tc>
          <w:tcPr>
            <w:tcW w:w="134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1≤TDS&lt;2</w:t>
            </w:r>
          </w:p>
        </w:tc>
        <w:tc>
          <w:tcPr>
            <w:tcW w:w="1349"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2≤TDS&lt;5</w:t>
            </w:r>
          </w:p>
        </w:tc>
        <w:tc>
          <w:tcPr>
            <w:tcW w:w="128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TDS&gt;5</w:t>
            </w:r>
          </w:p>
        </w:tc>
        <w:tc>
          <w:tcPr>
            <w:tcW w:w="7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0.15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9" w:hRule="atLeast"/>
          <w:jc w:val="center"/>
        </w:trPr>
        <w:tc>
          <w:tcPr>
            <w:tcW w:w="2634"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土壤质地</w:t>
            </w:r>
          </w:p>
        </w:tc>
        <w:tc>
          <w:tcPr>
            <w:tcW w:w="954"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黏土</w:t>
            </w:r>
          </w:p>
        </w:tc>
        <w:tc>
          <w:tcPr>
            <w:tcW w:w="1347"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砂土</w:t>
            </w:r>
          </w:p>
        </w:tc>
        <w:tc>
          <w:tcPr>
            <w:tcW w:w="1349"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壤土</w:t>
            </w:r>
          </w:p>
        </w:tc>
        <w:tc>
          <w:tcPr>
            <w:tcW w:w="128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沙壤、粉土、 砂粉土</w:t>
            </w:r>
          </w:p>
        </w:tc>
        <w:tc>
          <w:tcPr>
            <w:tcW w:w="736" w:type="dxa"/>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textAlignment w:val="baseline"/>
              <w:rPr>
                <w:color w:val="auto"/>
                <w:highlight w:val="none"/>
              </w:rPr>
            </w:pPr>
            <w:r>
              <w:rPr>
                <w:color w:val="auto"/>
                <w:highlight w:val="none"/>
              </w:rPr>
              <w:t>0.10</w:t>
            </w:r>
          </w:p>
        </w:tc>
      </w:tr>
    </w:tbl>
    <w:p>
      <w:pPr>
        <w:pStyle w:val="37"/>
        <w:ind w:firstLine="480" w:firstLineChars="200"/>
        <w:jc w:val="both"/>
        <w:rPr>
          <w:rFonts w:hint="eastAsia"/>
          <w:color w:val="auto"/>
          <w:position w:val="-12"/>
          <w:highlight w:val="none"/>
          <w:lang w:eastAsia="zh-CN"/>
        </w:rPr>
      </w:pPr>
      <w:r>
        <w:rPr>
          <w:rFonts w:hint="eastAsia"/>
          <w:color w:val="auto"/>
          <w:position w:val="-12"/>
          <w:highlight w:val="none"/>
          <w:lang w:eastAsia="zh-CN"/>
        </w:rPr>
        <w:t>本项目引用《金沙江乌东德水电站水资源综合利用—元谋县姜驿乡提水工程环境影响报告书》</w:t>
      </w:r>
      <w:r>
        <w:rPr>
          <w:rFonts w:hint="eastAsia"/>
          <w:color w:val="auto"/>
          <w:position w:val="-12"/>
          <w:highlight w:val="none"/>
          <w:lang w:val="en-US" w:eastAsia="zh-CN"/>
        </w:rPr>
        <w:t>中姜驿灌区</w:t>
      </w:r>
      <w:r>
        <w:rPr>
          <w:rFonts w:hint="eastAsia"/>
          <w:color w:val="auto"/>
          <w:position w:val="-12"/>
          <w:highlight w:val="none"/>
          <w:lang w:eastAsia="zh-CN"/>
        </w:rPr>
        <w:t>土壤监测理化特性资料，并结合其他专题的相关资料，对灌区的盐化进行预测评价，详见下表：</w:t>
      </w:r>
    </w:p>
    <w:p>
      <w:pPr>
        <w:pStyle w:val="40"/>
        <w:bidi w:val="0"/>
        <w:rPr>
          <w:color w:val="auto"/>
          <w:highlight w:val="none"/>
        </w:rPr>
      </w:pPr>
    </w:p>
    <w:p>
      <w:pPr>
        <w:pStyle w:val="40"/>
        <w:bidi w:val="0"/>
        <w:rPr>
          <w:color w:val="auto"/>
          <w:highlight w:val="none"/>
        </w:rPr>
      </w:pPr>
    </w:p>
    <w:p>
      <w:pPr>
        <w:pStyle w:val="40"/>
        <w:bidi w:val="0"/>
        <w:rPr>
          <w:color w:val="auto"/>
          <w:highlight w:val="none"/>
        </w:rPr>
      </w:pPr>
    </w:p>
    <w:p>
      <w:pPr>
        <w:pStyle w:val="40"/>
        <w:bidi w:val="0"/>
        <w:rPr>
          <w:rFonts w:ascii="宋体" w:hAnsi="宋体" w:eastAsia="宋体" w:cs="宋体"/>
          <w:color w:val="auto"/>
          <w:szCs w:val="21"/>
          <w:highlight w:val="none"/>
        </w:rPr>
      </w:pPr>
      <w:r>
        <w:rPr>
          <w:color w:val="auto"/>
          <w:highlight w:val="none"/>
        </w:rPr>
        <w:t>表</w:t>
      </w:r>
      <w:r>
        <w:rPr>
          <w:rFonts w:hint="eastAsia"/>
          <w:color w:val="auto"/>
          <w:highlight w:val="none"/>
          <w:lang w:val="en-US" w:eastAsia="zh-CN"/>
        </w:rPr>
        <w:t>5.2.4</w:t>
      </w:r>
      <w:r>
        <w:rPr>
          <w:color w:val="auto"/>
          <w:highlight w:val="none"/>
        </w:rPr>
        <w:t xml:space="preserve">-2 </w:t>
      </w:r>
      <w:r>
        <w:rPr>
          <w:rFonts w:hint="eastAsia"/>
          <w:color w:val="auto"/>
          <w:highlight w:val="none"/>
          <w:lang w:val="en-US" w:eastAsia="zh-CN"/>
        </w:rPr>
        <w:t xml:space="preserve">  </w:t>
      </w:r>
      <w:r>
        <w:rPr>
          <w:color w:val="auto"/>
          <w:highlight w:val="none"/>
        </w:rPr>
        <w:t>工程盐化预测评价表</w:t>
      </w:r>
    </w:p>
    <w:tbl>
      <w:tblPr>
        <w:tblStyle w:val="57"/>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39"/>
        <w:gridCol w:w="907"/>
        <w:gridCol w:w="469"/>
        <w:gridCol w:w="528"/>
        <w:gridCol w:w="1125"/>
        <w:gridCol w:w="1125"/>
        <w:gridCol w:w="629"/>
        <w:gridCol w:w="627"/>
        <w:gridCol w:w="678"/>
        <w:gridCol w:w="678"/>
        <w:gridCol w:w="438"/>
        <w:gridCol w:w="439"/>
        <w:gridCol w:w="4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95" w:hRule="atLeast"/>
          <w:jc w:val="center"/>
        </w:trPr>
        <w:tc>
          <w:tcPr>
            <w:tcW w:w="239" w:type="dxa"/>
            <w:vMerge w:val="restart"/>
            <w:textDirection w:val="tbRlV"/>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序 号</w:t>
            </w:r>
          </w:p>
        </w:tc>
        <w:tc>
          <w:tcPr>
            <w:tcW w:w="906" w:type="dxa"/>
            <w:vMerge w:val="restar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采样点位</w:t>
            </w:r>
          </w:p>
        </w:tc>
        <w:tc>
          <w:tcPr>
            <w:tcW w:w="995" w:type="dxa"/>
            <w:gridSpan w:val="2"/>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地下水埋深GWD(m)</w:t>
            </w:r>
          </w:p>
        </w:tc>
        <w:tc>
          <w:tcPr>
            <w:tcW w:w="2248" w:type="dxa"/>
            <w:gridSpan w:val="2"/>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干燥度（蒸降比值）EPR</w:t>
            </w:r>
          </w:p>
        </w:tc>
        <w:tc>
          <w:tcPr>
            <w:tcW w:w="1254" w:type="dxa"/>
            <w:gridSpan w:val="2"/>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土壤本地含盐量ssc/(g/kg)</w:t>
            </w:r>
          </w:p>
        </w:tc>
        <w:tc>
          <w:tcPr>
            <w:tcW w:w="1354" w:type="dxa"/>
            <w:gridSpan w:val="2"/>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地下水溶性总 固体TDS/(g/L)</w:t>
            </w:r>
          </w:p>
        </w:tc>
        <w:tc>
          <w:tcPr>
            <w:tcW w:w="877" w:type="dxa"/>
            <w:gridSpan w:val="2"/>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土壤质地</w:t>
            </w:r>
          </w:p>
        </w:tc>
        <w:tc>
          <w:tcPr>
            <w:tcW w:w="442" w:type="dxa"/>
            <w:vMerge w:val="restar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综合</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评分</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Sa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atLeast"/>
          <w:jc w:val="center"/>
        </w:trPr>
        <w:tc>
          <w:tcPr>
            <w:tcW w:w="239" w:type="dxa"/>
            <w:vMerge w:val="continue"/>
            <w:textDirection w:val="tbRlV"/>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p>
        </w:tc>
        <w:tc>
          <w:tcPr>
            <w:tcW w:w="906" w:type="dxa"/>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p>
        </w:tc>
        <w:tc>
          <w:tcPr>
            <w:tcW w:w="468"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数值</w:t>
            </w:r>
          </w:p>
        </w:tc>
        <w:tc>
          <w:tcPr>
            <w:tcW w:w="527"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分值</w:t>
            </w:r>
          </w:p>
        </w:tc>
        <w:tc>
          <w:tcPr>
            <w:tcW w:w="1124"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数值</w:t>
            </w:r>
          </w:p>
        </w:tc>
        <w:tc>
          <w:tcPr>
            <w:tcW w:w="1124"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分值</w:t>
            </w:r>
          </w:p>
        </w:tc>
        <w:tc>
          <w:tcPr>
            <w:tcW w:w="628"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数值</w:t>
            </w:r>
          </w:p>
        </w:tc>
        <w:tc>
          <w:tcPr>
            <w:tcW w:w="62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分值</w:t>
            </w:r>
          </w:p>
        </w:tc>
        <w:tc>
          <w:tcPr>
            <w:tcW w:w="677"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数值</w:t>
            </w:r>
          </w:p>
        </w:tc>
        <w:tc>
          <w:tcPr>
            <w:tcW w:w="677"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分值</w:t>
            </w:r>
          </w:p>
        </w:tc>
        <w:tc>
          <w:tcPr>
            <w:tcW w:w="438"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数值</w:t>
            </w:r>
          </w:p>
        </w:tc>
        <w:tc>
          <w:tcPr>
            <w:tcW w:w="439"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分值</w:t>
            </w:r>
          </w:p>
        </w:tc>
        <w:tc>
          <w:tcPr>
            <w:tcW w:w="442" w:type="dxa"/>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4" w:hRule="atLeast"/>
          <w:jc w:val="center"/>
        </w:trPr>
        <w:tc>
          <w:tcPr>
            <w:tcW w:w="239"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1</w:t>
            </w:r>
          </w:p>
        </w:tc>
        <w:tc>
          <w:tcPr>
            <w:tcW w:w="90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姜驿灌区</w:t>
            </w:r>
          </w:p>
        </w:tc>
        <w:tc>
          <w:tcPr>
            <w:tcW w:w="468"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&gt;5</w:t>
            </w:r>
          </w:p>
        </w:tc>
        <w:tc>
          <w:tcPr>
            <w:tcW w:w="527"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0</w:t>
            </w:r>
          </w:p>
        </w:tc>
        <w:tc>
          <w:tcPr>
            <w:tcW w:w="1124"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2.99</w:t>
            </w:r>
          </w:p>
        </w:tc>
        <w:tc>
          <w:tcPr>
            <w:tcW w:w="1124"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4</w:t>
            </w:r>
          </w:p>
        </w:tc>
        <w:tc>
          <w:tcPr>
            <w:tcW w:w="628"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eastAsia="宋"/>
                <w:color w:val="auto"/>
                <w:highlight w:val="none"/>
                <w:lang w:val="en-US" w:eastAsia="zh-CN"/>
              </w:rPr>
            </w:pPr>
            <w:r>
              <w:rPr>
                <w:rFonts w:hint="eastAsia"/>
                <w:color w:val="auto"/>
                <w:highlight w:val="none"/>
                <w:lang w:val="en-US" w:eastAsia="zh-CN"/>
              </w:rPr>
              <w:t>3.9</w:t>
            </w:r>
          </w:p>
        </w:tc>
        <w:tc>
          <w:tcPr>
            <w:tcW w:w="62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rFonts w:hint="eastAsia"/>
                <w:color w:val="auto"/>
                <w:highlight w:val="none"/>
                <w:lang w:val="en-US" w:eastAsia="zh-CN"/>
              </w:rPr>
              <w:t>4</w:t>
            </w:r>
          </w:p>
        </w:tc>
        <w:tc>
          <w:tcPr>
            <w:tcW w:w="677"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&lt;1</w:t>
            </w:r>
          </w:p>
        </w:tc>
        <w:tc>
          <w:tcPr>
            <w:tcW w:w="677"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0</w:t>
            </w:r>
          </w:p>
        </w:tc>
        <w:tc>
          <w:tcPr>
            <w:tcW w:w="438"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壤土</w:t>
            </w:r>
          </w:p>
        </w:tc>
        <w:tc>
          <w:tcPr>
            <w:tcW w:w="439"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4</w:t>
            </w:r>
          </w:p>
        </w:tc>
        <w:tc>
          <w:tcPr>
            <w:tcW w:w="442"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eastAsia="宋"/>
                <w:color w:val="auto"/>
                <w:highlight w:val="none"/>
                <w:lang w:val="en-US" w:eastAsia="zh-CN"/>
              </w:rPr>
            </w:pPr>
            <w:r>
              <w:rPr>
                <w:rFonts w:hint="eastAsia"/>
                <w:color w:val="auto"/>
                <w:highlight w:val="none"/>
                <w:lang w:val="en-US" w:eastAsia="zh-CN"/>
              </w:rPr>
              <w:t>2.0</w:t>
            </w:r>
          </w:p>
        </w:tc>
      </w:tr>
    </w:tbl>
    <w:p>
      <w:pPr>
        <w:bidi w:val="0"/>
        <w:ind w:firstLine="480" w:firstLineChars="200"/>
        <w:rPr>
          <w:rFonts w:hint="eastAsia"/>
          <w:color w:val="auto"/>
          <w:highlight w:val="none"/>
          <w:lang w:eastAsia="zh-CN"/>
        </w:rPr>
      </w:pPr>
      <w:r>
        <w:rPr>
          <w:color w:val="auto"/>
          <w:highlight w:val="none"/>
        </w:rPr>
        <w:t>从表中可以看出，土壤监测点的盐化综合评分值Sa大于</w:t>
      </w:r>
      <w:r>
        <w:rPr>
          <w:rFonts w:hint="eastAsia"/>
          <w:color w:val="auto"/>
          <w:highlight w:val="none"/>
          <w:lang w:val="en-US" w:eastAsia="zh-CN"/>
        </w:rPr>
        <w:t>等于2</w:t>
      </w:r>
      <w:r>
        <w:rPr>
          <w:color w:val="auto"/>
          <w:highlight w:val="none"/>
        </w:rPr>
        <w:t>且小于</w:t>
      </w:r>
      <w:r>
        <w:rPr>
          <w:rFonts w:hint="eastAsia"/>
          <w:color w:val="auto"/>
          <w:highlight w:val="none"/>
          <w:lang w:val="en-US" w:eastAsia="zh-CN"/>
        </w:rPr>
        <w:t>3</w:t>
      </w:r>
      <w:r>
        <w:rPr>
          <w:color w:val="auto"/>
          <w:highlight w:val="none"/>
        </w:rPr>
        <w:t>，根据导则中的土壤盐化预测表，本项目建成后，灌区土壤可能存在</w:t>
      </w:r>
      <w:r>
        <w:rPr>
          <w:rFonts w:hint="eastAsia"/>
          <w:color w:val="auto"/>
          <w:highlight w:val="none"/>
          <w:lang w:val="en-US" w:eastAsia="zh-CN"/>
        </w:rPr>
        <w:t>中</w:t>
      </w:r>
      <w:r>
        <w:rPr>
          <w:color w:val="auto"/>
          <w:highlight w:val="none"/>
        </w:rPr>
        <w:t>度盐化的现象</w:t>
      </w:r>
      <w:r>
        <w:rPr>
          <w:rFonts w:hint="eastAsia"/>
          <w:color w:val="auto"/>
          <w:highlight w:val="none"/>
          <w:lang w:eastAsia="zh-CN"/>
        </w:rPr>
        <w:t>。</w:t>
      </w:r>
    </w:p>
    <w:p>
      <w:pPr>
        <w:pStyle w:val="5"/>
        <w:numPr>
          <w:ilvl w:val="3"/>
          <w:numId w:val="2"/>
        </w:numPr>
        <w:bidi w:val="0"/>
        <w:ind w:left="480" w:leftChars="0" w:firstLineChars="0"/>
        <w:rPr>
          <w:rFonts w:hint="eastAsia"/>
          <w:color w:val="auto"/>
          <w:lang w:val="en-US" w:eastAsia="zh-CN"/>
        </w:rPr>
      </w:pPr>
      <w:r>
        <w:rPr>
          <w:rFonts w:hint="eastAsia"/>
          <w:color w:val="auto"/>
          <w:lang w:val="en-US" w:eastAsia="zh-CN"/>
        </w:rPr>
        <w:t>对土壤的潜育化影响</w:t>
      </w:r>
    </w:p>
    <w:p>
      <w:pPr>
        <w:bidi w:val="0"/>
        <w:ind w:firstLine="480" w:firstLineChars="200"/>
        <w:rPr>
          <w:rFonts w:hint="eastAsia"/>
          <w:color w:val="auto"/>
          <w:highlight w:val="none"/>
          <w:lang w:eastAsia="zh-CN"/>
        </w:rPr>
      </w:pPr>
      <w:r>
        <w:rPr>
          <w:rFonts w:hint="eastAsia"/>
          <w:color w:val="auto"/>
          <w:highlight w:val="none"/>
          <w:lang w:eastAsia="zh-CN"/>
        </w:rPr>
        <w:t>土壤潜育化是指土壤长期滞水，严重缺氧，产生较多还原物质，使高价铁、锰化合物转化为低价状态，使土壤变成蓝灰色或青灰色的现象。潜育化土壤较非潜育化土壤还原性有害物质较多，土性冷，土壤的生物活动较弱，有机物矿化作用受抑制。易导致稻田僵苗不发，迟熟低产。</w:t>
      </w:r>
    </w:p>
    <w:p>
      <w:pPr>
        <w:bidi w:val="0"/>
        <w:ind w:firstLine="480" w:firstLineChars="200"/>
        <w:rPr>
          <w:rFonts w:hint="eastAsia"/>
          <w:color w:val="auto"/>
          <w:highlight w:val="none"/>
          <w:lang w:eastAsia="zh-CN"/>
        </w:rPr>
      </w:pPr>
      <w:r>
        <w:rPr>
          <w:rFonts w:hint="eastAsia"/>
          <w:color w:val="auto"/>
          <w:highlight w:val="none"/>
          <w:lang w:eastAsia="zh-CN"/>
        </w:rPr>
        <w:t>本工程所在的灌区所在区表层土层透水性较好，区域耕地土壤普遍缺硼、锰、钼和硫等元素，灌溉水利条件较好，且排泄条件好使其灌溉时间短而排水快，因此工程实施后不存在对土壤潜育化影响。</w:t>
      </w:r>
    </w:p>
    <w:p>
      <w:pPr>
        <w:pStyle w:val="5"/>
        <w:numPr>
          <w:ilvl w:val="3"/>
          <w:numId w:val="2"/>
        </w:numPr>
        <w:bidi w:val="0"/>
        <w:ind w:left="480" w:leftChars="0" w:firstLineChars="0"/>
        <w:rPr>
          <w:rFonts w:hint="eastAsia"/>
          <w:color w:val="auto"/>
          <w:highlight w:val="none"/>
          <w:lang w:eastAsia="zh-CN"/>
        </w:rPr>
      </w:pPr>
      <w:r>
        <w:rPr>
          <w:rFonts w:hint="eastAsia"/>
          <w:color w:val="auto"/>
          <w:highlight w:val="none"/>
          <w:lang w:eastAsia="zh-CN"/>
        </w:rPr>
        <w:t>对土壤的浸没影响</w:t>
      </w:r>
    </w:p>
    <w:p>
      <w:pPr>
        <w:bidi w:val="0"/>
        <w:ind w:firstLine="480" w:firstLineChars="200"/>
        <w:rPr>
          <w:rFonts w:hint="eastAsia"/>
          <w:color w:val="auto"/>
          <w:highlight w:val="none"/>
          <w:lang w:eastAsia="zh-CN"/>
        </w:rPr>
      </w:pPr>
      <w:r>
        <w:rPr>
          <w:rFonts w:hint="eastAsia"/>
          <w:color w:val="auto"/>
          <w:highlight w:val="none"/>
          <w:lang w:eastAsia="zh-CN"/>
        </w:rPr>
        <w:t>本工程的管道位于地下水位之上，工程运行时，提水、输水管道不存在漏水的情况下，不会产生对周边土壤的浸没现象。退水区的灌区内残积土壤区及坡积土壤区主要分布于低山丘陵区的山坡及山顶地带，地下水位埋深较大，基本不会产生灌溉引起的浸没问题。河流冲积土壤区地下水位埋深浅，工程运行后，分布在坝区和坝区边缘的丘陵地区，灌区推行高效节水灌溉，不存在大面积漫灌形式，不会产生浸没影响。</w:t>
      </w:r>
    </w:p>
    <w:p>
      <w:pPr>
        <w:pStyle w:val="5"/>
        <w:numPr>
          <w:ilvl w:val="3"/>
          <w:numId w:val="2"/>
        </w:numPr>
        <w:bidi w:val="0"/>
        <w:ind w:left="480" w:leftChars="0" w:firstLineChars="0"/>
        <w:rPr>
          <w:rFonts w:hint="eastAsia"/>
          <w:color w:val="auto"/>
          <w:highlight w:val="none"/>
          <w:lang w:eastAsia="zh-CN"/>
        </w:rPr>
      </w:pPr>
      <w:r>
        <w:rPr>
          <w:rFonts w:hint="eastAsia"/>
          <w:color w:val="auto"/>
          <w:highlight w:val="none"/>
          <w:lang w:eastAsia="zh-CN"/>
        </w:rPr>
        <w:t>对土壤质量的影响</w:t>
      </w:r>
    </w:p>
    <w:p>
      <w:pPr>
        <w:bidi w:val="0"/>
        <w:ind w:firstLine="480" w:firstLineChars="200"/>
        <w:rPr>
          <w:rFonts w:hint="eastAsia"/>
          <w:color w:val="auto"/>
          <w:highlight w:val="none"/>
          <w:lang w:eastAsia="zh-CN"/>
        </w:rPr>
      </w:pPr>
      <w:r>
        <w:rPr>
          <w:rFonts w:hint="eastAsia"/>
          <w:color w:val="auto"/>
          <w:highlight w:val="none"/>
          <w:lang w:eastAsia="zh-CN"/>
        </w:rPr>
        <w:t>本项目灌区土壤类型以红壤、赤红壤为主，土壤肥力较低。土壤是一种多孔体，土壤水分和土壤空气共存于土壤孔隙中，土壤中的水分，直接制约着通气状况。水分过多及由之引起的地下水位抬升，土壤渍涝和沼泽化均可恶化土壤的通气状况。灌溉后将促进作物对土壤养分的吸收能力，对土壤微生物活动有提高作用。但灌水过多，将导致有效养分流失，同时土壤在腐殖质化的同时，积累大量的有机酸、硫化氢、甲烷等物质，对作物和微生物产生毒害作用。在通气不良的土壤中，速效性的硝态氨也容易收到反硝化细菌的作用变成游离氨消失在大气中。</w:t>
      </w:r>
    </w:p>
    <w:p>
      <w:pPr>
        <w:bidi w:val="0"/>
        <w:rPr>
          <w:rFonts w:hint="eastAsia"/>
          <w:color w:val="auto"/>
          <w:highlight w:val="none"/>
          <w:lang w:eastAsia="zh-CN"/>
        </w:rPr>
      </w:pPr>
      <w:r>
        <w:rPr>
          <w:rFonts w:hint="eastAsia"/>
          <w:color w:val="auto"/>
          <w:highlight w:val="none"/>
          <w:lang w:eastAsia="zh-CN"/>
        </w:rPr>
        <w:t>为减小对灌区土壤质量的影响，应从灌溉方式、灌区化肥、农药的种类和施用量等方面进行优化。</w:t>
      </w:r>
    </w:p>
    <w:p>
      <w:pPr>
        <w:pStyle w:val="5"/>
        <w:numPr>
          <w:ilvl w:val="3"/>
          <w:numId w:val="2"/>
        </w:numPr>
        <w:bidi w:val="0"/>
        <w:ind w:left="480" w:leftChars="0" w:firstLineChars="0"/>
        <w:rPr>
          <w:rFonts w:hint="eastAsia"/>
          <w:color w:val="auto"/>
          <w:highlight w:val="none"/>
          <w:lang w:eastAsia="zh-CN"/>
        </w:rPr>
      </w:pPr>
      <w:r>
        <w:rPr>
          <w:rFonts w:hint="eastAsia"/>
          <w:color w:val="auto"/>
          <w:highlight w:val="none"/>
          <w:lang w:eastAsia="zh-CN"/>
        </w:rPr>
        <w:t>对土壤肥力的影响</w:t>
      </w:r>
    </w:p>
    <w:p>
      <w:pPr>
        <w:bidi w:val="0"/>
        <w:ind w:firstLine="480" w:firstLineChars="200"/>
        <w:rPr>
          <w:rFonts w:hint="eastAsia"/>
          <w:color w:val="auto"/>
          <w:highlight w:val="none"/>
          <w:lang w:eastAsia="zh-CN"/>
        </w:rPr>
      </w:pPr>
      <w:r>
        <w:rPr>
          <w:rFonts w:hint="eastAsia"/>
          <w:color w:val="auto"/>
          <w:highlight w:val="none"/>
          <w:lang w:eastAsia="zh-CN"/>
        </w:rPr>
        <w:t>在农业生产中，化肥施用后不能被植物吸收的氮、磷等营养元素流失到土壤之中，将改变原有土壤的结构和抗性，造成土壤板结、有机质减少、地力下降。工程实施后，灌区建议推广科学施肥等措施，根据不同土壤肥力水平实施测土配方施肥，可以有计划、有针对性的向土壤增施氮、磷、钾配比化肥和微肥，增加复合肥、有机肥等施用量，最大限度地减少化肥对土壤环境的影响。</w:t>
      </w:r>
    </w:p>
    <w:p>
      <w:pPr>
        <w:bidi w:val="0"/>
        <w:ind w:firstLine="480" w:firstLineChars="200"/>
        <w:rPr>
          <w:rFonts w:hint="eastAsia"/>
          <w:color w:val="auto"/>
          <w:highlight w:val="none"/>
          <w:lang w:eastAsia="zh-CN"/>
        </w:rPr>
      </w:pPr>
      <w:r>
        <w:rPr>
          <w:rFonts w:hint="eastAsia"/>
          <w:color w:val="auto"/>
          <w:highlight w:val="none"/>
          <w:lang w:eastAsia="zh-CN"/>
        </w:rPr>
        <w:t>灌溉被认为是最具固炭潜力的管理措施。灌溉能够改变土壤碳输入、输出及土壤C储量。与旱地耕作相比，灌溉能够增加碳的输入和SOC储量，灌溉土壤残留碳输入是旱地的2.5倍，灌溉后农田土壤有机碳含量比旱地高。灌溉不仅能促进土壤有机碳积累，也可提高粮食产量。灌溉还能改变土壤无机碳动态，灌溉会造成成土CaCO</w:t>
      </w:r>
      <w:r>
        <w:rPr>
          <w:rFonts w:hint="eastAsia"/>
          <w:color w:val="auto"/>
          <w:highlight w:val="none"/>
          <w:vertAlign w:val="subscript"/>
          <w:lang w:eastAsia="zh-CN"/>
        </w:rPr>
        <w:t>3</w:t>
      </w:r>
      <w:r>
        <w:rPr>
          <w:rFonts w:hint="eastAsia"/>
          <w:color w:val="auto"/>
          <w:highlight w:val="none"/>
          <w:lang w:eastAsia="zh-CN"/>
        </w:rPr>
        <w:t>以及可溶营养物质向下淋溶，引起土壤C的重新分布。一方面灌溉水中有一定量的CO</w:t>
      </w:r>
      <w:r>
        <w:rPr>
          <w:rFonts w:hint="eastAsia"/>
          <w:color w:val="auto"/>
          <w:highlight w:val="none"/>
          <w:vertAlign w:val="subscript"/>
          <w:lang w:eastAsia="zh-CN"/>
        </w:rPr>
        <w:t>2</w:t>
      </w:r>
      <w:r>
        <w:rPr>
          <w:rFonts w:hint="eastAsia"/>
          <w:color w:val="auto"/>
          <w:highlight w:val="none"/>
          <w:lang w:eastAsia="zh-CN"/>
        </w:rPr>
        <w:t>，在碱性土壤环境下将导致CaCO</w:t>
      </w:r>
      <w:r>
        <w:rPr>
          <w:rFonts w:hint="eastAsia"/>
          <w:color w:val="auto"/>
          <w:highlight w:val="none"/>
          <w:vertAlign w:val="subscript"/>
          <w:lang w:eastAsia="zh-CN"/>
        </w:rPr>
        <w:t>3</w:t>
      </w:r>
      <w:r>
        <w:rPr>
          <w:rFonts w:hint="eastAsia"/>
          <w:color w:val="auto"/>
          <w:highlight w:val="none"/>
          <w:lang w:eastAsia="zh-CN"/>
        </w:rPr>
        <w:t>沉淀，灌溉水排气作用会向大气排放CO</w:t>
      </w:r>
      <w:r>
        <w:rPr>
          <w:rFonts w:hint="eastAsia"/>
          <w:color w:val="auto"/>
          <w:highlight w:val="none"/>
          <w:vertAlign w:val="subscript"/>
          <w:lang w:eastAsia="zh-CN"/>
        </w:rPr>
        <w:t>2</w:t>
      </w:r>
      <w:r>
        <w:rPr>
          <w:rFonts w:hint="eastAsia"/>
          <w:color w:val="auto"/>
          <w:highlight w:val="none"/>
          <w:lang w:eastAsia="zh-CN"/>
        </w:rPr>
        <w:t>；另一方面，灌溉可促进根呼吸，进而促进Ca</w:t>
      </w:r>
      <w:r>
        <w:rPr>
          <w:rFonts w:hint="eastAsia"/>
          <w:color w:val="auto"/>
          <w:highlight w:val="none"/>
          <w:vertAlign w:val="superscript"/>
          <w:lang w:eastAsia="zh-CN"/>
        </w:rPr>
        <w:t>2+</w:t>
      </w:r>
      <w:r>
        <w:rPr>
          <w:rFonts w:hint="eastAsia"/>
          <w:color w:val="auto"/>
          <w:highlight w:val="none"/>
          <w:lang w:eastAsia="zh-CN"/>
        </w:rPr>
        <w:t>、HCO</w:t>
      </w:r>
      <w:r>
        <w:rPr>
          <w:rFonts w:hint="eastAsia"/>
          <w:color w:val="auto"/>
          <w:highlight w:val="none"/>
          <w:vertAlign w:val="superscript"/>
          <w:lang w:eastAsia="zh-CN"/>
        </w:rPr>
        <w:t>3-</w:t>
      </w:r>
    </w:p>
    <w:p>
      <w:pPr>
        <w:pStyle w:val="37"/>
        <w:rPr>
          <w:rFonts w:hint="eastAsia"/>
          <w:color w:val="auto"/>
          <w:highlight w:val="none"/>
          <w:lang w:val="en-US" w:eastAsia="zh-CN"/>
        </w:rPr>
      </w:pPr>
      <w:r>
        <w:rPr>
          <w:rFonts w:hint="eastAsia"/>
          <w:color w:val="auto"/>
          <w:highlight w:val="none"/>
          <w:lang w:eastAsia="zh-CN"/>
        </w:rPr>
        <w:t>垂向迁移，土壤深层无机碳将明显增加。</w:t>
      </w:r>
    </w:p>
    <w:p>
      <w:pPr>
        <w:pStyle w:val="5"/>
        <w:numPr>
          <w:ilvl w:val="3"/>
          <w:numId w:val="2"/>
        </w:numPr>
        <w:bidi w:val="0"/>
        <w:ind w:left="480" w:leftChars="0" w:firstLineChars="0"/>
        <w:rPr>
          <w:rFonts w:hint="eastAsia"/>
          <w:color w:val="auto"/>
          <w:lang w:val="en-US" w:eastAsia="zh-CN"/>
        </w:rPr>
      </w:pPr>
      <w:r>
        <w:rPr>
          <w:rFonts w:hint="eastAsia"/>
          <w:color w:val="auto"/>
          <w:lang w:val="en-US" w:eastAsia="zh-CN"/>
        </w:rPr>
        <w:t>土壤影响分析小结</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由于项目灌溉的灌区大部分地处山区，存在一定的地形高差，一般情况下，灌溉时间短、而排水快，经初步分析对于灌区内的地下水水位影响不大，不会产生盐渍化、沼泽化等环境地质问题；本项目灌溉的灌区所在区地形高差使其灌溉时间短而蒸发快，因此不存在对土壤潜育化影响；本项目实施将改善了土壤的理化性质，使土壤水、肥、气、热综合肥力水平平均会得到明显改善，为粮食和经济作物的生产提供优越的土壤条件；建议推广科学施肥等措施，本项目引水灌溉对灌区肥力起到正向作用。经过预测分析，本项目建成后，灌区土壤可能存在轻度盐化的现象。故后期灌区灌溉过程中需要：①科学高效施肥，严格控制氮肥、磷肥等化肥过量使用，推广有机肥的使用；②推广低残留、低度农药的使用，严格控制毒性及残留性较高农药的用量，禁止使用国家淘汰的农药及成分；③推广节水灌溉技术，逐步淘汰大水漫灌等落后的灌溉方式，减小农田退水量。</w:t>
      </w:r>
    </w:p>
    <w:p>
      <w:pPr>
        <w:pStyle w:val="4"/>
        <w:numPr>
          <w:ilvl w:val="2"/>
          <w:numId w:val="2"/>
        </w:numPr>
        <w:tabs>
          <w:tab w:val="left" w:pos="420"/>
        </w:tabs>
        <w:bidi w:val="0"/>
        <w:rPr>
          <w:rFonts w:hint="eastAsia"/>
          <w:color w:val="auto"/>
          <w:lang w:val="en-US" w:eastAsia="zh-CN"/>
        </w:rPr>
      </w:pPr>
      <w:bookmarkStart w:id="613" w:name="_Toc2174"/>
      <w:bookmarkStart w:id="614" w:name="_Toc30752"/>
      <w:bookmarkStart w:id="615" w:name="_Toc8153"/>
      <w:r>
        <w:rPr>
          <w:rFonts w:hint="eastAsia"/>
          <w:color w:val="auto"/>
          <w:lang w:val="en-US" w:eastAsia="zh-CN"/>
        </w:rPr>
        <w:t>声环境影响分析</w:t>
      </w:r>
      <w:bookmarkEnd w:id="613"/>
      <w:bookmarkEnd w:id="614"/>
      <w:bookmarkEnd w:id="615"/>
    </w:p>
    <w:p>
      <w:pPr>
        <w:pStyle w:val="5"/>
        <w:numPr>
          <w:ilvl w:val="3"/>
          <w:numId w:val="29"/>
        </w:numPr>
        <w:bidi w:val="0"/>
        <w:ind w:left="480" w:leftChars="0" w:firstLineChars="0"/>
        <w:rPr>
          <w:rFonts w:hint="default"/>
          <w:color w:val="auto"/>
          <w:lang w:val="en-US" w:eastAsia="zh-CN"/>
        </w:rPr>
      </w:pPr>
      <w:bookmarkStart w:id="616" w:name="_Toc6296"/>
      <w:bookmarkStart w:id="617" w:name="_Toc20693"/>
      <w:bookmarkStart w:id="618" w:name="_Toc15666"/>
      <w:bookmarkStart w:id="619" w:name="_Toc24524"/>
      <w:bookmarkStart w:id="620" w:name="_Toc3338"/>
      <w:bookmarkStart w:id="621" w:name="_Toc106"/>
      <w:r>
        <w:rPr>
          <w:rFonts w:hint="default"/>
          <w:color w:val="auto"/>
          <w:lang w:val="en-US" w:eastAsia="zh-CN"/>
        </w:rPr>
        <w:t>声环境影响模式</w:t>
      </w:r>
      <w:bookmarkEnd w:id="616"/>
      <w:bookmarkEnd w:id="617"/>
      <w:bookmarkEnd w:id="618"/>
      <w:bookmarkEnd w:id="619"/>
      <w:bookmarkEnd w:id="620"/>
      <w:bookmarkEnd w:id="621"/>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本项目噪声预测选用《环境影响评价技术导则 声环境》（HJ2.4.2021）中的工业噪声预测计算模型。</w:t>
      </w:r>
    </w:p>
    <w:p>
      <w:pPr>
        <w:bidi w:val="0"/>
        <w:rPr>
          <w:rFonts w:hint="default"/>
          <w:color w:val="auto"/>
          <w:highlight w:val="none"/>
        </w:rPr>
      </w:pPr>
      <w:bookmarkStart w:id="622" w:name="_Toc15751"/>
      <w:bookmarkStart w:id="623" w:name="_Toc15380"/>
      <w:bookmarkStart w:id="624" w:name="_Toc22292"/>
      <w:r>
        <w:rPr>
          <w:rFonts w:hint="default"/>
          <w:color w:val="auto"/>
          <w:highlight w:val="none"/>
          <w:lang w:eastAsia="zh-CN"/>
        </w:rPr>
        <w:t>（</w:t>
      </w:r>
      <w:r>
        <w:rPr>
          <w:rFonts w:hint="default"/>
          <w:color w:val="auto"/>
          <w:highlight w:val="none"/>
          <w:lang w:val="en-US" w:eastAsia="zh-CN"/>
        </w:rPr>
        <w:t>1</w:t>
      </w:r>
      <w:r>
        <w:rPr>
          <w:rFonts w:hint="default"/>
          <w:color w:val="auto"/>
          <w:highlight w:val="none"/>
          <w:lang w:eastAsia="zh-CN"/>
        </w:rPr>
        <w:t>）</w:t>
      </w:r>
      <w:r>
        <w:rPr>
          <w:rFonts w:hint="default"/>
          <w:color w:val="auto"/>
          <w:highlight w:val="none"/>
        </w:rPr>
        <w:t>噪声户外传播声级衰减计算模式：</w:t>
      </w:r>
      <w:bookmarkEnd w:id="622"/>
      <w:bookmarkEnd w:id="623"/>
      <w:bookmarkEnd w:id="624"/>
    </w:p>
    <w:p>
      <w:pPr>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270500" cy="349250"/>
            <wp:effectExtent l="0" t="0" r="6350" b="12700"/>
            <wp:docPr id="5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2"/>
                    <pic:cNvPicPr>
                      <a:picLocks noChangeAspect="1"/>
                    </pic:cNvPicPr>
                  </pic:nvPicPr>
                  <pic:blipFill>
                    <a:blip r:embed="rId94"/>
                    <a:srcRect t="21667" b="21042"/>
                    <a:stretch>
                      <a:fillRect/>
                    </a:stretch>
                  </pic:blipFill>
                  <pic:spPr>
                    <a:xfrm>
                      <a:off x="0" y="0"/>
                      <a:ext cx="5270500" cy="349250"/>
                    </a:xfrm>
                    <a:prstGeom prst="rect">
                      <a:avLst/>
                    </a:prstGeom>
                    <a:noFill/>
                    <a:ln>
                      <a:noFill/>
                    </a:ln>
                  </pic:spPr>
                </pic:pic>
              </a:graphicData>
            </a:graphic>
          </wp:inline>
        </w:drawing>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式中：Lp</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r</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—预测点处声压级，dB；</w:t>
      </w:r>
    </w:p>
    <w:p>
      <w:pPr>
        <w:bidi w:val="0"/>
        <w:ind w:firstLine="1200" w:firstLineChars="500"/>
        <w:rPr>
          <w:rFonts w:hint="default" w:ascii="Times New Roman" w:hAnsi="Times New Roman" w:cs="Times New Roman"/>
          <w:color w:val="auto"/>
          <w:highlight w:val="none"/>
        </w:rPr>
      </w:pP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 xml:space="preserve">w </w:t>
      </w:r>
      <w:r>
        <w:rPr>
          <w:rFonts w:hint="default" w:ascii="Times New Roman" w:hAnsi="Times New Roman" w:cs="Times New Roman"/>
          <w:color w:val="auto"/>
          <w:highlight w:val="none"/>
        </w:rPr>
        <w:t>— 由点声源产生的声功率级（A 计权或倍频带），dB；</w:t>
      </w:r>
    </w:p>
    <w:p>
      <w:pPr>
        <w:bidi w:val="0"/>
        <w:ind w:firstLine="1200" w:firstLineChars="500"/>
        <w:rPr>
          <w:rFonts w:hint="default" w:ascii="Times New Roman" w:hAnsi="Times New Roman" w:cs="Times New Roman"/>
          <w:color w:val="auto"/>
          <w:highlight w:val="none"/>
        </w:rPr>
      </w:pPr>
      <w:r>
        <w:rPr>
          <w:rFonts w:hint="default" w:ascii="Times New Roman" w:hAnsi="Times New Roman" w:cs="Times New Roman"/>
          <w:color w:val="auto"/>
          <w:highlight w:val="none"/>
        </w:rPr>
        <w:t>D</w:t>
      </w:r>
      <w:r>
        <w:rPr>
          <w:rFonts w:hint="default" w:ascii="Times New Roman" w:hAnsi="Times New Roman" w:cs="Times New Roman"/>
          <w:color w:val="auto"/>
          <w:highlight w:val="none"/>
          <w:vertAlign w:val="subscript"/>
        </w:rPr>
        <w:t>c</w:t>
      </w:r>
      <w:r>
        <w:rPr>
          <w:rFonts w:hint="default" w:ascii="Times New Roman" w:hAnsi="Times New Roman" w:cs="Times New Roman"/>
          <w:color w:val="auto"/>
          <w:highlight w:val="none"/>
        </w:rPr>
        <w:t xml:space="preserve"> —指向性校正，它描述点声源的等效连续声压级与产生声功率级</w:t>
      </w:r>
    </w:p>
    <w:p>
      <w:pPr>
        <w:bidi w:val="0"/>
        <w:ind w:firstLine="1200" w:firstLineChars="500"/>
        <w:rPr>
          <w:rFonts w:hint="default" w:ascii="Times New Roman" w:hAnsi="Times New Roman" w:cs="Times New Roman"/>
          <w:color w:val="auto"/>
          <w:highlight w:val="none"/>
        </w:rPr>
      </w:pP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w</w:t>
      </w:r>
      <w:r>
        <w:rPr>
          <w:rFonts w:hint="default" w:ascii="Times New Roman" w:hAnsi="Times New Roman" w:cs="Times New Roman"/>
          <w:color w:val="auto"/>
          <w:highlight w:val="none"/>
        </w:rPr>
        <w:t xml:space="preserve"> 的全向点声源在规定方向的声级的偏差程度，dB；</w:t>
      </w:r>
    </w:p>
    <w:p>
      <w:pPr>
        <w:bidi w:val="0"/>
        <w:ind w:firstLine="1200" w:firstLineChars="500"/>
        <w:rPr>
          <w:rFonts w:hint="default" w:ascii="Times New Roman" w:hAnsi="Times New Roman" w:cs="Times New Roman"/>
          <w:color w:val="auto"/>
          <w:highlight w:val="none"/>
        </w:rPr>
      </w:pPr>
      <w:r>
        <w:rPr>
          <w:rFonts w:hint="default" w:ascii="Times New Roman" w:hAnsi="Times New Roman" w:cs="Times New Roman"/>
          <w:color w:val="auto"/>
          <w:highlight w:val="none"/>
        </w:rPr>
        <w:t>A</w:t>
      </w:r>
      <w:r>
        <w:rPr>
          <w:rFonts w:hint="default" w:ascii="Times New Roman" w:hAnsi="Times New Roman" w:cs="Times New Roman"/>
          <w:color w:val="auto"/>
          <w:highlight w:val="none"/>
          <w:vertAlign w:val="subscript"/>
        </w:rPr>
        <w:t>div</w:t>
      </w:r>
      <w:r>
        <w:rPr>
          <w:rFonts w:hint="default" w:ascii="Times New Roman" w:hAnsi="Times New Roman" w:cs="Times New Roman"/>
          <w:color w:val="auto"/>
          <w:highlight w:val="none"/>
        </w:rPr>
        <w:t xml:space="preserve"> —几何发散引起的衰减，dB；</w:t>
      </w:r>
    </w:p>
    <w:p>
      <w:pPr>
        <w:bidi w:val="0"/>
        <w:ind w:firstLine="1200" w:firstLineChars="500"/>
        <w:rPr>
          <w:rFonts w:hint="default" w:ascii="Times New Roman" w:hAnsi="Times New Roman" w:cs="Times New Roman"/>
          <w:color w:val="auto"/>
          <w:highlight w:val="none"/>
        </w:rPr>
      </w:pPr>
      <w:r>
        <w:rPr>
          <w:rFonts w:hint="default" w:ascii="Times New Roman" w:hAnsi="Times New Roman" w:cs="Times New Roman"/>
          <w:color w:val="auto"/>
          <w:highlight w:val="none"/>
        </w:rPr>
        <w:t>A</w:t>
      </w:r>
      <w:r>
        <w:rPr>
          <w:rFonts w:hint="default" w:ascii="Times New Roman" w:hAnsi="Times New Roman" w:cs="Times New Roman"/>
          <w:color w:val="auto"/>
          <w:highlight w:val="none"/>
          <w:vertAlign w:val="subscript"/>
        </w:rPr>
        <w:t xml:space="preserve">atm </w:t>
      </w:r>
      <w:r>
        <w:rPr>
          <w:rFonts w:hint="default" w:ascii="Times New Roman" w:hAnsi="Times New Roman" w:cs="Times New Roman"/>
          <w:color w:val="auto"/>
          <w:highlight w:val="none"/>
        </w:rPr>
        <w:t>—大气吸收引起的衰减，dB；</w:t>
      </w:r>
    </w:p>
    <w:p>
      <w:pPr>
        <w:bidi w:val="0"/>
        <w:ind w:firstLine="1200" w:firstLineChars="500"/>
        <w:rPr>
          <w:rFonts w:hint="default" w:ascii="Times New Roman" w:hAnsi="Times New Roman" w:cs="Times New Roman"/>
          <w:color w:val="auto"/>
          <w:highlight w:val="none"/>
        </w:rPr>
      </w:pPr>
      <w:r>
        <w:rPr>
          <w:rFonts w:hint="default" w:ascii="Times New Roman" w:hAnsi="Times New Roman" w:cs="Times New Roman"/>
          <w:color w:val="auto"/>
          <w:highlight w:val="none"/>
        </w:rPr>
        <w:t>A</w:t>
      </w:r>
      <w:r>
        <w:rPr>
          <w:rFonts w:hint="default" w:ascii="Times New Roman" w:hAnsi="Times New Roman" w:cs="Times New Roman"/>
          <w:color w:val="auto"/>
          <w:highlight w:val="none"/>
          <w:vertAlign w:val="subscript"/>
        </w:rPr>
        <w:t xml:space="preserve">gr </w:t>
      </w:r>
      <w:r>
        <w:rPr>
          <w:rFonts w:hint="default" w:ascii="Times New Roman" w:hAnsi="Times New Roman" w:cs="Times New Roman"/>
          <w:color w:val="auto"/>
          <w:highlight w:val="none"/>
        </w:rPr>
        <w:t>—地面效应引起的衰减，dB；</w:t>
      </w:r>
    </w:p>
    <w:p>
      <w:pPr>
        <w:bidi w:val="0"/>
        <w:ind w:firstLine="1200" w:firstLineChars="500"/>
        <w:rPr>
          <w:rFonts w:hint="default" w:ascii="Times New Roman" w:hAnsi="Times New Roman" w:cs="Times New Roman"/>
          <w:color w:val="auto"/>
          <w:highlight w:val="none"/>
        </w:rPr>
      </w:pPr>
      <w:r>
        <w:rPr>
          <w:rFonts w:hint="default" w:ascii="Times New Roman" w:hAnsi="Times New Roman" w:cs="Times New Roman"/>
          <w:color w:val="auto"/>
          <w:highlight w:val="none"/>
        </w:rPr>
        <w:t>A</w:t>
      </w:r>
      <w:r>
        <w:rPr>
          <w:rFonts w:hint="default" w:ascii="Times New Roman" w:hAnsi="Times New Roman" w:cs="Times New Roman"/>
          <w:color w:val="auto"/>
          <w:highlight w:val="none"/>
          <w:vertAlign w:val="subscript"/>
        </w:rPr>
        <w:t>bar</w:t>
      </w:r>
      <w:r>
        <w:rPr>
          <w:rFonts w:hint="default" w:ascii="Times New Roman" w:hAnsi="Times New Roman" w:cs="Times New Roman"/>
          <w:color w:val="auto"/>
          <w:highlight w:val="none"/>
        </w:rPr>
        <w:t xml:space="preserve"> —障碍物屏蔽引起的衰减，dB；</w:t>
      </w:r>
    </w:p>
    <w:p>
      <w:pPr>
        <w:bidi w:val="0"/>
        <w:ind w:firstLine="1200" w:firstLineChars="500"/>
        <w:rPr>
          <w:rFonts w:hint="default" w:ascii="Times New Roman" w:hAnsi="Times New Roman" w:cs="Times New Roman"/>
          <w:color w:val="auto"/>
          <w:highlight w:val="none"/>
        </w:rPr>
      </w:pPr>
      <w:r>
        <w:rPr>
          <w:rFonts w:hint="default" w:ascii="Times New Roman" w:hAnsi="Times New Roman" w:cs="Times New Roman"/>
          <w:color w:val="auto"/>
          <w:highlight w:val="none"/>
        </w:rPr>
        <w:t>A</w:t>
      </w:r>
      <w:r>
        <w:rPr>
          <w:rFonts w:hint="default" w:ascii="Times New Roman" w:hAnsi="Times New Roman" w:cs="Times New Roman"/>
          <w:color w:val="auto"/>
          <w:highlight w:val="none"/>
          <w:vertAlign w:val="subscript"/>
        </w:rPr>
        <w:t>misc</w:t>
      </w:r>
      <w:r>
        <w:rPr>
          <w:rFonts w:hint="default" w:ascii="Times New Roman" w:hAnsi="Times New Roman" w:cs="Times New Roman"/>
          <w:color w:val="auto"/>
          <w:highlight w:val="none"/>
        </w:rPr>
        <w:t xml:space="preserve"> —其他多方面效应引起的衰减，dB。</w:t>
      </w:r>
    </w:p>
    <w:p>
      <w:pPr>
        <w:bidi w:val="0"/>
        <w:rPr>
          <w:rFonts w:hint="default"/>
          <w:color w:val="auto"/>
          <w:highlight w:val="none"/>
          <w:lang w:val="en-US" w:eastAsia="zh-CN"/>
        </w:rPr>
      </w:pPr>
      <w:bookmarkStart w:id="625" w:name="_Toc584"/>
      <w:bookmarkStart w:id="626" w:name="_Toc14796"/>
      <w:bookmarkStart w:id="627" w:name="_Toc20355"/>
      <w:r>
        <w:rPr>
          <w:rFonts w:hint="default"/>
          <w:color w:val="auto"/>
          <w:highlight w:val="none"/>
          <w:lang w:val="en-US" w:eastAsia="zh-CN"/>
        </w:rPr>
        <w:t>（2）室外倍频带声压级</w:t>
      </w:r>
      <w:bookmarkEnd w:id="625"/>
      <w:bookmarkEnd w:id="626"/>
      <w:bookmarkEnd w:id="627"/>
    </w:p>
    <w:p>
      <w:pPr>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2867025" cy="372745"/>
            <wp:effectExtent l="0" t="0" r="9525" b="8255"/>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r:embed="rId95"/>
                    <a:srcRect t="17288" b="16384"/>
                    <a:stretch>
                      <a:fillRect/>
                    </a:stretch>
                  </pic:blipFill>
                  <pic:spPr>
                    <a:xfrm>
                      <a:off x="0" y="0"/>
                      <a:ext cx="2867025" cy="372745"/>
                    </a:xfrm>
                    <a:prstGeom prst="rect">
                      <a:avLst/>
                    </a:prstGeom>
                    <a:noFill/>
                    <a:ln>
                      <a:noFill/>
                    </a:ln>
                  </pic:spPr>
                </pic:pic>
              </a:graphicData>
            </a:graphic>
          </wp:inline>
        </w:drawing>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式中：L</w:t>
      </w:r>
      <w:r>
        <w:rPr>
          <w:rFonts w:hint="default" w:ascii="Times New Roman" w:hAnsi="Times New Roman" w:cs="Times New Roman"/>
          <w:color w:val="auto"/>
          <w:highlight w:val="none"/>
          <w:vertAlign w:val="subscript"/>
          <w:lang w:val="en-US" w:eastAsia="zh-CN"/>
        </w:rPr>
        <w:t>p2</w:t>
      </w:r>
      <w:r>
        <w:rPr>
          <w:rFonts w:hint="default" w:ascii="Times New Roman" w:hAnsi="Times New Roman" w:cs="Times New Roman"/>
          <w:color w:val="auto"/>
          <w:highlight w:val="none"/>
          <w:lang w:val="en-US" w:eastAsia="zh-CN"/>
        </w:rPr>
        <w:t xml:space="preserve"> —靠近开口处（或窗户）室外某倍频带的声压级或 A 声级，dB；</w:t>
      </w:r>
    </w:p>
    <w:p>
      <w:pPr>
        <w:bidi w:val="0"/>
        <w:ind w:firstLine="1200" w:firstLineChars="5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L</w:t>
      </w:r>
      <w:r>
        <w:rPr>
          <w:rFonts w:hint="default" w:ascii="Times New Roman" w:hAnsi="Times New Roman" w:cs="Times New Roman"/>
          <w:color w:val="auto"/>
          <w:highlight w:val="none"/>
          <w:vertAlign w:val="subscript"/>
          <w:lang w:val="en-US" w:eastAsia="zh-CN"/>
        </w:rPr>
        <w:t>p1</w:t>
      </w:r>
      <w:r>
        <w:rPr>
          <w:rFonts w:hint="default" w:ascii="Times New Roman" w:hAnsi="Times New Roman" w:cs="Times New Roman"/>
          <w:color w:val="auto"/>
          <w:highlight w:val="none"/>
          <w:lang w:val="en-US" w:eastAsia="zh-CN"/>
        </w:rPr>
        <w:t xml:space="preserve"> —靠近开口处（或窗户）室内某倍频带的声压级或 A 声级，dB；</w:t>
      </w:r>
    </w:p>
    <w:p>
      <w:pPr>
        <w:bidi w:val="0"/>
        <w:ind w:firstLine="1200" w:firstLineChars="5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TL—隔墙（或窗户）倍频带或 A 声级的隔声量，dB。</w:t>
      </w:r>
    </w:p>
    <w:p>
      <w:pPr>
        <w:bidi w:val="0"/>
        <w:rPr>
          <w:rFonts w:hint="default"/>
          <w:color w:val="auto"/>
          <w:highlight w:val="none"/>
          <w:lang w:val="en-US" w:eastAsia="zh-CN"/>
        </w:rPr>
      </w:pPr>
      <w:bookmarkStart w:id="628" w:name="_Toc9122"/>
      <w:bookmarkStart w:id="629" w:name="_Toc20757"/>
      <w:bookmarkStart w:id="630" w:name="_Toc9364"/>
      <w:r>
        <w:rPr>
          <w:rFonts w:hint="default"/>
          <w:color w:val="auto"/>
          <w:highlight w:val="none"/>
          <w:lang w:val="en-US" w:eastAsia="zh-CN"/>
        </w:rPr>
        <w:t>（3）室内声源靠近围护结构处产生的倍频带声压级或 A 声级</w:t>
      </w:r>
      <w:bookmarkEnd w:id="628"/>
      <w:bookmarkEnd w:id="629"/>
      <w:bookmarkEnd w:id="630"/>
    </w:p>
    <w:p>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2401570" cy="422910"/>
            <wp:effectExtent l="0" t="0" r="17780" b="15240"/>
            <wp:docPr id="9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4"/>
                    <pic:cNvPicPr>
                      <a:picLocks noChangeAspect="1"/>
                    </pic:cNvPicPr>
                  </pic:nvPicPr>
                  <pic:blipFill>
                    <a:blip r:embed="rId96"/>
                    <a:srcRect t="13055"/>
                    <a:stretch>
                      <a:fillRect/>
                    </a:stretch>
                  </pic:blipFill>
                  <pic:spPr>
                    <a:xfrm>
                      <a:off x="0" y="0"/>
                      <a:ext cx="2401570" cy="422910"/>
                    </a:xfrm>
                    <a:prstGeom prst="rect">
                      <a:avLst/>
                    </a:prstGeom>
                    <a:noFill/>
                    <a:ln>
                      <a:noFill/>
                    </a:ln>
                  </pic:spPr>
                </pic:pic>
              </a:graphicData>
            </a:graphic>
          </wp:inline>
        </w:drawing>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式中：L</w:t>
      </w:r>
      <w:r>
        <w:rPr>
          <w:rFonts w:hint="default" w:ascii="Times New Roman" w:hAnsi="Times New Roman" w:cs="Times New Roman"/>
          <w:color w:val="auto"/>
          <w:highlight w:val="none"/>
          <w:vertAlign w:val="subscript"/>
          <w:lang w:val="en-US" w:eastAsia="zh-CN"/>
        </w:rPr>
        <w:t>p1</w:t>
      </w:r>
      <w:r>
        <w:rPr>
          <w:rFonts w:hint="default" w:ascii="Times New Roman" w:hAnsi="Times New Roman" w:cs="Times New Roman"/>
          <w:color w:val="auto"/>
          <w:highlight w:val="none"/>
          <w:lang w:val="en-US" w:eastAsia="zh-CN"/>
        </w:rPr>
        <w:t xml:space="preserve"> —靠近开口处（或窗户）室内某倍频带的声压级或 A 声级，dB；</w:t>
      </w:r>
    </w:p>
    <w:p>
      <w:pPr>
        <w:ind w:firstLine="1200" w:firstLineChars="5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L</w:t>
      </w:r>
      <w:r>
        <w:rPr>
          <w:rFonts w:hint="default" w:ascii="Times New Roman" w:hAnsi="Times New Roman" w:cs="Times New Roman"/>
          <w:color w:val="auto"/>
          <w:highlight w:val="none"/>
          <w:vertAlign w:val="subscript"/>
          <w:lang w:val="en-US" w:eastAsia="zh-CN"/>
        </w:rPr>
        <w:t>w</w:t>
      </w:r>
      <w:r>
        <w:rPr>
          <w:rFonts w:hint="default" w:ascii="Times New Roman" w:hAnsi="Times New Roman" w:cs="Times New Roman"/>
          <w:color w:val="auto"/>
          <w:highlight w:val="none"/>
          <w:lang w:val="en-US" w:eastAsia="zh-CN"/>
        </w:rPr>
        <w:t>—点声源声功率级（A 计权或倍频带），dB；</w:t>
      </w:r>
    </w:p>
    <w:p>
      <w:pPr>
        <w:ind w:left="1200" w:leftChars="50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Q—指向性因数；通常对无指向性声源，当声源放在房间中心时，Q=1；当放在一面墙的中心时，Q=2；当放在两面墙夹角处时，Q=8；</w:t>
      </w:r>
    </w:p>
    <w:p>
      <w:pPr>
        <w:ind w:left="1200" w:leftChars="50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R—房间常数：R=S/(1-α)，S为房间内表面面积，m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；α为平均吸声系数；</w:t>
      </w:r>
    </w:p>
    <w:p>
      <w:pPr>
        <w:ind w:firstLine="1200" w:firstLineChars="5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r—声源到靠近围护结构某点处的距离, m。</w:t>
      </w:r>
    </w:p>
    <w:p>
      <w:pPr>
        <w:bidi w:val="0"/>
        <w:rPr>
          <w:rFonts w:hint="default"/>
          <w:color w:val="auto"/>
          <w:highlight w:val="none"/>
          <w:lang w:val="en-US" w:eastAsia="zh-CN"/>
        </w:rPr>
      </w:pPr>
      <w:bookmarkStart w:id="631" w:name="_Toc15025"/>
      <w:bookmarkStart w:id="632" w:name="_Toc18276"/>
      <w:bookmarkStart w:id="633" w:name="_Toc4579"/>
      <w:r>
        <w:rPr>
          <w:rFonts w:hint="default"/>
          <w:color w:val="auto"/>
          <w:highlight w:val="none"/>
          <w:lang w:val="en-US" w:eastAsia="zh-CN"/>
        </w:rPr>
        <w:t>（4）所有室内声源在围护结构处产生的i倍频带叠加声压级</w:t>
      </w:r>
      <w:bookmarkEnd w:id="631"/>
      <w:bookmarkEnd w:id="632"/>
      <w:bookmarkEnd w:id="633"/>
    </w:p>
    <w:p>
      <w:pPr>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2045970" cy="403225"/>
            <wp:effectExtent l="0" t="0" r="11430" b="15875"/>
            <wp:docPr id="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
                    <pic:cNvPicPr>
                      <a:picLocks noChangeAspect="1"/>
                    </pic:cNvPicPr>
                  </pic:nvPicPr>
                  <pic:blipFill>
                    <a:blip r:embed="rId97"/>
                    <a:srcRect b="7657"/>
                    <a:stretch>
                      <a:fillRect/>
                    </a:stretch>
                  </pic:blipFill>
                  <pic:spPr>
                    <a:xfrm>
                      <a:off x="0" y="0"/>
                      <a:ext cx="2045970" cy="403225"/>
                    </a:xfrm>
                    <a:prstGeom prst="rect">
                      <a:avLst/>
                    </a:prstGeom>
                    <a:noFill/>
                    <a:ln>
                      <a:noFill/>
                    </a:ln>
                  </pic:spPr>
                </pic:pic>
              </a:graphicData>
            </a:graphic>
          </wp:inline>
        </w:drawing>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式中：L</w:t>
      </w:r>
      <w:r>
        <w:rPr>
          <w:rFonts w:hint="default" w:ascii="Times New Roman" w:hAnsi="Times New Roman" w:cs="Times New Roman"/>
          <w:color w:val="auto"/>
          <w:highlight w:val="none"/>
          <w:vertAlign w:val="subscript"/>
          <w:lang w:val="en-US" w:eastAsia="zh-CN"/>
        </w:rPr>
        <w:t>p1i</w:t>
      </w:r>
      <w:r>
        <w:rPr>
          <w:rFonts w:hint="default" w:ascii="Times New Roman" w:hAnsi="Times New Roman" w:cs="Times New Roman"/>
          <w:color w:val="auto"/>
          <w:highlight w:val="none"/>
          <w:lang w:val="en-US" w:eastAsia="zh-CN"/>
        </w:rPr>
        <w:t>（T）—靠近围护结构处室内N个声源i倍频带的叠加声压级，dB；</w:t>
      </w:r>
    </w:p>
    <w:p>
      <w:pPr>
        <w:bidi w:val="0"/>
        <w:ind w:firstLine="1200" w:firstLineChars="5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L</w:t>
      </w:r>
      <w:r>
        <w:rPr>
          <w:rFonts w:hint="default" w:ascii="Times New Roman" w:hAnsi="Times New Roman" w:cs="Times New Roman"/>
          <w:color w:val="auto"/>
          <w:highlight w:val="none"/>
          <w:vertAlign w:val="subscript"/>
          <w:lang w:val="en-US" w:eastAsia="zh-CN"/>
        </w:rPr>
        <w:t>p1ij</w:t>
      </w:r>
      <w:r>
        <w:rPr>
          <w:rFonts w:hint="default" w:ascii="Times New Roman" w:hAnsi="Times New Roman" w:cs="Times New Roman"/>
          <w:color w:val="auto"/>
          <w:highlight w:val="none"/>
          <w:lang w:val="en-US" w:eastAsia="zh-CN"/>
        </w:rPr>
        <w:t xml:space="preserve"> —室内j声源i倍频带的声压级，dB；</w:t>
      </w:r>
    </w:p>
    <w:p>
      <w:pPr>
        <w:bidi w:val="0"/>
        <w:ind w:firstLine="1200" w:firstLineChars="5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N—室内声源总数。</w:t>
      </w:r>
    </w:p>
    <w:p>
      <w:pPr>
        <w:bidi w:val="0"/>
        <w:rPr>
          <w:rFonts w:hint="default"/>
          <w:color w:val="auto"/>
          <w:highlight w:val="none"/>
          <w:lang w:val="en-US" w:eastAsia="zh-CN"/>
        </w:rPr>
      </w:pPr>
      <w:bookmarkStart w:id="634" w:name="_Toc26133"/>
      <w:bookmarkStart w:id="635" w:name="_Toc28585"/>
      <w:bookmarkStart w:id="636" w:name="_Toc1443"/>
      <w:r>
        <w:rPr>
          <w:rFonts w:hint="default"/>
          <w:color w:val="auto"/>
          <w:highlight w:val="none"/>
          <w:lang w:val="en-US" w:eastAsia="zh-CN"/>
        </w:rPr>
        <w:t>（5）靠近室外围护结构处的声压级</w:t>
      </w:r>
      <w:bookmarkEnd w:id="634"/>
      <w:bookmarkEnd w:id="635"/>
      <w:bookmarkEnd w:id="636"/>
    </w:p>
    <w:p>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2762250" cy="333375"/>
            <wp:effectExtent l="0" t="0" r="0" b="9525"/>
            <wp:docPr id="5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7"/>
                    <pic:cNvPicPr>
                      <a:picLocks noChangeAspect="1"/>
                    </pic:cNvPicPr>
                  </pic:nvPicPr>
                  <pic:blipFill>
                    <a:blip r:embed="rId98"/>
                    <a:srcRect t="15000" b="12083"/>
                    <a:stretch>
                      <a:fillRect/>
                    </a:stretch>
                  </pic:blipFill>
                  <pic:spPr>
                    <a:xfrm>
                      <a:off x="0" y="0"/>
                      <a:ext cx="2762250" cy="333375"/>
                    </a:xfrm>
                    <a:prstGeom prst="rect">
                      <a:avLst/>
                    </a:prstGeom>
                    <a:noFill/>
                    <a:ln>
                      <a:noFill/>
                    </a:ln>
                  </pic:spPr>
                </pic:pic>
              </a:graphicData>
            </a:graphic>
          </wp:inline>
        </w:drawing>
      </w:r>
    </w:p>
    <w:p>
      <w:pPr>
        <w:ind w:left="1200" w:leftChars="200" w:hanging="720" w:hangingChars="3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式中：L</w:t>
      </w:r>
      <w:r>
        <w:rPr>
          <w:rFonts w:hint="default" w:ascii="Times New Roman" w:hAnsi="Times New Roman" w:cs="Times New Roman"/>
          <w:color w:val="auto"/>
          <w:highlight w:val="none"/>
          <w:vertAlign w:val="subscript"/>
          <w:lang w:val="en-US" w:eastAsia="zh-CN"/>
        </w:rPr>
        <w:t>p2i</w:t>
      </w:r>
      <w:r>
        <w:rPr>
          <w:rFonts w:hint="default" w:ascii="Times New Roman" w:hAnsi="Times New Roman" w:cs="Times New Roman"/>
          <w:color w:val="auto"/>
          <w:highlight w:val="none"/>
          <w:vertAlign w:val="baseline"/>
          <w:lang w:val="en-US" w:eastAsia="zh-CN"/>
        </w:rPr>
        <w:t>（T）</w:t>
      </w:r>
      <w:r>
        <w:rPr>
          <w:rFonts w:hint="default" w:ascii="Times New Roman" w:hAnsi="Times New Roman" w:cs="Times New Roman"/>
          <w:color w:val="auto"/>
          <w:highlight w:val="none"/>
          <w:lang w:val="en-US" w:eastAsia="zh-CN"/>
        </w:rPr>
        <w:t>—靠近围护结构处室外N个声源i倍频带的叠加声压级，dB；</w:t>
      </w:r>
    </w:p>
    <w:p>
      <w:pPr>
        <w:ind w:left="1200" w:leftChars="50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L</w:t>
      </w:r>
      <w:r>
        <w:rPr>
          <w:rFonts w:hint="default" w:ascii="Times New Roman" w:hAnsi="Times New Roman" w:cs="Times New Roman"/>
          <w:color w:val="auto"/>
          <w:highlight w:val="none"/>
          <w:vertAlign w:val="subscript"/>
          <w:lang w:val="en-US" w:eastAsia="zh-CN"/>
        </w:rPr>
        <w:t>p1i</w:t>
      </w:r>
      <w:r>
        <w:rPr>
          <w:rFonts w:hint="default" w:ascii="Times New Roman" w:hAnsi="Times New Roman" w:cs="Times New Roman"/>
          <w:color w:val="auto"/>
          <w:highlight w:val="none"/>
          <w:lang w:val="en-US" w:eastAsia="zh-CN"/>
        </w:rPr>
        <w:t>（T）—靠近围护结构处室内N个声源i倍频带的叠加声压级，dB；</w:t>
      </w:r>
    </w:p>
    <w:p>
      <w:pPr>
        <w:ind w:firstLine="1200" w:firstLineChars="5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TL</w:t>
      </w:r>
      <w:r>
        <w:rPr>
          <w:rFonts w:hint="default" w:ascii="Times New Roman" w:hAnsi="Times New Roman" w:cs="Times New Roman"/>
          <w:color w:val="auto"/>
          <w:highlight w:val="none"/>
          <w:vertAlign w:val="subscript"/>
          <w:lang w:val="en-US" w:eastAsia="zh-CN"/>
        </w:rPr>
        <w:t>i</w:t>
      </w:r>
      <w:r>
        <w:rPr>
          <w:rFonts w:hint="default" w:ascii="Times New Roman" w:hAnsi="Times New Roman" w:cs="Times New Roman"/>
          <w:color w:val="auto"/>
          <w:highlight w:val="none"/>
          <w:lang w:val="en-US" w:eastAsia="zh-CN"/>
        </w:rPr>
        <w:t xml:space="preserve"> — 围护结构i倍频带的隔声量，dB。</w:t>
      </w:r>
    </w:p>
    <w:p>
      <w:pPr>
        <w:bidi w:val="0"/>
        <w:rPr>
          <w:rFonts w:hint="default"/>
          <w:color w:val="auto"/>
          <w:highlight w:val="none"/>
          <w:lang w:val="en-US" w:eastAsia="zh-CN"/>
        </w:rPr>
      </w:pPr>
      <w:bookmarkStart w:id="637" w:name="_Toc3720"/>
      <w:bookmarkStart w:id="638" w:name="_Toc22057"/>
      <w:bookmarkStart w:id="639" w:name="_Toc20916"/>
      <w:r>
        <w:rPr>
          <w:rFonts w:hint="eastAsia"/>
          <w:color w:val="auto"/>
          <w:highlight w:val="none"/>
          <w:lang w:val="en-US" w:eastAsia="zh-CN"/>
        </w:rPr>
        <w:t>（</w:t>
      </w:r>
      <w:r>
        <w:rPr>
          <w:rFonts w:hint="default"/>
          <w:color w:val="auto"/>
          <w:highlight w:val="none"/>
          <w:lang w:val="en-US" w:eastAsia="zh-CN"/>
        </w:rPr>
        <w:t>6）声面积（S）处的等效声源的倍频带声功率级</w:t>
      </w:r>
      <w:bookmarkEnd w:id="637"/>
      <w:bookmarkEnd w:id="638"/>
      <w:bookmarkEnd w:id="639"/>
    </w:p>
    <w:p>
      <w:pPr>
        <w:ind w:firstLine="960" w:firstLineChars="40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2295525" cy="340360"/>
            <wp:effectExtent l="0" t="0" r="9525" b="2540"/>
            <wp:docPr id="9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8"/>
                    <pic:cNvPicPr>
                      <a:picLocks noChangeAspect="1"/>
                    </pic:cNvPicPr>
                  </pic:nvPicPr>
                  <pic:blipFill>
                    <a:blip r:embed="rId99"/>
                    <a:srcRect b="18788"/>
                    <a:stretch>
                      <a:fillRect/>
                    </a:stretch>
                  </pic:blipFill>
                  <pic:spPr>
                    <a:xfrm>
                      <a:off x="0" y="0"/>
                      <a:ext cx="2295525" cy="340360"/>
                    </a:xfrm>
                    <a:prstGeom prst="rect">
                      <a:avLst/>
                    </a:prstGeom>
                    <a:noFill/>
                    <a:ln>
                      <a:noFill/>
                    </a:ln>
                  </pic:spPr>
                </pic:pic>
              </a:graphicData>
            </a:graphic>
          </wp:inline>
        </w:drawing>
      </w:r>
    </w:p>
    <w:p>
      <w:pPr>
        <w:ind w:left="1200" w:leftChars="200" w:hanging="720" w:hangingChars="3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式中：L</w:t>
      </w:r>
      <w:r>
        <w:rPr>
          <w:rFonts w:hint="default" w:ascii="Times New Roman" w:hAnsi="Times New Roman" w:cs="Times New Roman"/>
          <w:color w:val="auto"/>
          <w:highlight w:val="none"/>
          <w:vertAlign w:val="subscript"/>
          <w:lang w:val="en-US" w:eastAsia="zh-CN"/>
        </w:rPr>
        <w:t>w</w:t>
      </w:r>
      <w:r>
        <w:rPr>
          <w:rFonts w:hint="default" w:ascii="Times New Roman" w:hAnsi="Times New Roman" w:cs="Times New Roman"/>
          <w:color w:val="auto"/>
          <w:highlight w:val="none"/>
          <w:lang w:val="en-US" w:eastAsia="zh-CN"/>
        </w:rPr>
        <w:t xml:space="preserve"> — 中心位置位于透声面积（s）处的等效声源的倍频带声功率级，dB；</w:t>
      </w:r>
    </w:p>
    <w:p>
      <w:pPr>
        <w:ind w:firstLine="960" w:firstLineChars="4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L</w:t>
      </w:r>
      <w:r>
        <w:rPr>
          <w:rFonts w:hint="default" w:ascii="Times New Roman" w:hAnsi="Times New Roman" w:cs="Times New Roman"/>
          <w:color w:val="auto"/>
          <w:highlight w:val="none"/>
          <w:vertAlign w:val="subscript"/>
          <w:lang w:val="en-US" w:eastAsia="zh-CN"/>
        </w:rPr>
        <w:t>p2</w:t>
      </w:r>
      <w:r>
        <w:rPr>
          <w:rFonts w:hint="default" w:ascii="Times New Roman" w:hAnsi="Times New Roman" w:cs="Times New Roman"/>
          <w:color w:val="auto"/>
          <w:highlight w:val="none"/>
          <w:lang w:val="en-US" w:eastAsia="zh-CN"/>
        </w:rPr>
        <w:t>（T） —靠近围护结构处室外声源的声压级，dB；</w:t>
      </w:r>
    </w:p>
    <w:p>
      <w:pPr>
        <w:bidi w:val="0"/>
        <w:rPr>
          <w:rFonts w:hint="default"/>
          <w:color w:val="auto"/>
          <w:highlight w:val="none"/>
          <w:lang w:val="en-US" w:eastAsia="zh-CN"/>
        </w:rPr>
      </w:pPr>
      <w:bookmarkStart w:id="640" w:name="_Toc4206"/>
      <w:bookmarkStart w:id="641" w:name="_Toc4645"/>
      <w:bookmarkStart w:id="642" w:name="_Toc10333"/>
      <w:r>
        <w:rPr>
          <w:rFonts w:hint="eastAsia"/>
          <w:color w:val="auto"/>
          <w:highlight w:val="none"/>
          <w:lang w:val="en-US" w:eastAsia="zh-CN"/>
        </w:rPr>
        <w:t>（</w:t>
      </w:r>
      <w:r>
        <w:rPr>
          <w:rFonts w:hint="default"/>
          <w:color w:val="auto"/>
          <w:highlight w:val="none"/>
          <w:lang w:val="en-US" w:eastAsia="zh-CN"/>
        </w:rPr>
        <w:t>7）拟建工程声源对预测点产生的贡献值</w:t>
      </w:r>
      <w:bookmarkEnd w:id="640"/>
      <w:bookmarkEnd w:id="641"/>
      <w:bookmarkEnd w:id="642"/>
    </w:p>
    <w:p>
      <w:pPr>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4105275" cy="655955"/>
            <wp:effectExtent l="0" t="0" r="9525" b="10795"/>
            <wp:docPr id="9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9"/>
                    <pic:cNvPicPr>
                      <a:picLocks noChangeAspect="1"/>
                    </pic:cNvPicPr>
                  </pic:nvPicPr>
                  <pic:blipFill>
                    <a:blip r:embed="rId100"/>
                    <a:srcRect b="9394"/>
                    <a:stretch>
                      <a:fillRect/>
                    </a:stretch>
                  </pic:blipFill>
                  <pic:spPr>
                    <a:xfrm>
                      <a:off x="0" y="0"/>
                      <a:ext cx="4105275" cy="655955"/>
                    </a:xfrm>
                    <a:prstGeom prst="rect">
                      <a:avLst/>
                    </a:prstGeom>
                    <a:noFill/>
                    <a:ln>
                      <a:noFill/>
                    </a:ln>
                  </pic:spPr>
                </pic:pic>
              </a:graphicData>
            </a:graphic>
          </wp:inline>
        </w:drawing>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式中：L</w:t>
      </w:r>
      <w:r>
        <w:rPr>
          <w:rFonts w:hint="default" w:ascii="Times New Roman" w:hAnsi="Times New Roman" w:cs="Times New Roman"/>
          <w:color w:val="auto"/>
          <w:highlight w:val="none"/>
          <w:vertAlign w:val="subscript"/>
          <w:lang w:val="en-US" w:eastAsia="zh-CN"/>
        </w:rPr>
        <w:t>eqg</w:t>
      </w:r>
      <w:r>
        <w:rPr>
          <w:rFonts w:hint="default" w:ascii="Times New Roman" w:hAnsi="Times New Roman" w:cs="Times New Roman"/>
          <w:color w:val="auto"/>
          <w:highlight w:val="none"/>
          <w:lang w:val="en-US" w:eastAsia="zh-CN"/>
        </w:rPr>
        <w:t xml:space="preserve"> —建设项目声源在预测点产生的噪声贡献值，dB；</w:t>
      </w:r>
    </w:p>
    <w:p>
      <w:pPr>
        <w:bidi w:val="0"/>
        <w:ind w:firstLine="1200" w:firstLineChars="5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T—用于计算等效声级的时间，s；</w:t>
      </w:r>
    </w:p>
    <w:p>
      <w:pPr>
        <w:bidi w:val="0"/>
        <w:ind w:firstLine="1200" w:firstLineChars="5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N—室外声源个数；</w:t>
      </w:r>
    </w:p>
    <w:p>
      <w:pPr>
        <w:bidi w:val="0"/>
        <w:ind w:firstLine="1200" w:firstLineChars="5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t</w:t>
      </w:r>
      <w:r>
        <w:rPr>
          <w:rFonts w:hint="default" w:ascii="Times New Roman" w:hAnsi="Times New Roman" w:cs="Times New Roman"/>
          <w:color w:val="auto"/>
          <w:highlight w:val="none"/>
          <w:vertAlign w:val="subscript"/>
          <w:lang w:val="en-US" w:eastAsia="zh-CN"/>
        </w:rPr>
        <w:t>i</w:t>
      </w:r>
      <w:r>
        <w:rPr>
          <w:rFonts w:hint="default" w:ascii="Times New Roman" w:hAnsi="Times New Roman" w:cs="Times New Roman"/>
          <w:color w:val="auto"/>
          <w:highlight w:val="none"/>
          <w:lang w:val="en-US" w:eastAsia="zh-CN"/>
        </w:rPr>
        <w:t>—在T时间内i声源工作时间，s；</w:t>
      </w:r>
    </w:p>
    <w:p>
      <w:pPr>
        <w:bidi w:val="0"/>
        <w:ind w:firstLine="1200" w:firstLineChars="5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M—等效室外声源个数；</w:t>
      </w:r>
    </w:p>
    <w:p>
      <w:pPr>
        <w:bidi w:val="0"/>
        <w:ind w:firstLine="1200" w:firstLineChars="5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t</w:t>
      </w:r>
      <w:r>
        <w:rPr>
          <w:rFonts w:hint="default" w:ascii="Times New Roman" w:hAnsi="Times New Roman" w:cs="Times New Roman"/>
          <w:color w:val="auto"/>
          <w:highlight w:val="none"/>
          <w:vertAlign w:val="subscript"/>
          <w:lang w:val="en-US" w:eastAsia="zh-CN"/>
        </w:rPr>
        <w:t>j</w:t>
      </w:r>
      <w:r>
        <w:rPr>
          <w:rFonts w:hint="default" w:ascii="Times New Roman" w:hAnsi="Times New Roman" w:cs="Times New Roman"/>
          <w:color w:val="auto"/>
          <w:highlight w:val="none"/>
          <w:lang w:val="en-US" w:eastAsia="zh-CN"/>
        </w:rPr>
        <w:t>—在T时间内i声源工作时间，s。</w:t>
      </w:r>
    </w:p>
    <w:p>
      <w:pPr>
        <w:bidi w:val="0"/>
        <w:rPr>
          <w:rFonts w:hint="default"/>
          <w:color w:val="auto"/>
          <w:highlight w:val="none"/>
          <w:lang w:val="en-US" w:eastAsia="zh-CN"/>
        </w:rPr>
      </w:pPr>
      <w:bookmarkStart w:id="643" w:name="_Toc23165"/>
      <w:bookmarkStart w:id="644" w:name="_Toc14047"/>
      <w:bookmarkStart w:id="645" w:name="_Toc13640"/>
      <w:r>
        <w:rPr>
          <w:rFonts w:hint="default"/>
          <w:color w:val="auto"/>
          <w:highlight w:val="none"/>
          <w:lang w:val="en-US" w:eastAsia="zh-CN"/>
        </w:rPr>
        <w:t>（8）噪声预测值</w:t>
      </w:r>
      <w:bookmarkEnd w:id="643"/>
      <w:bookmarkEnd w:id="644"/>
      <w:bookmarkEnd w:id="645"/>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预测点的贡献值和背景值按能量叠加方法计算得到的声级。</w:t>
      </w:r>
    </w:p>
    <w:p>
      <w:pPr>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2349500" cy="333375"/>
            <wp:effectExtent l="0" t="0" r="12700" b="9525"/>
            <wp:docPr id="9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1"/>
                    <pic:cNvPicPr>
                      <a:picLocks noChangeAspect="1"/>
                    </pic:cNvPicPr>
                  </pic:nvPicPr>
                  <pic:blipFill>
                    <a:blip r:embed="rId101"/>
                    <a:srcRect t="18489" b="9696"/>
                    <a:stretch>
                      <a:fillRect/>
                    </a:stretch>
                  </pic:blipFill>
                  <pic:spPr>
                    <a:xfrm>
                      <a:off x="0" y="0"/>
                      <a:ext cx="2349500" cy="333375"/>
                    </a:xfrm>
                    <a:prstGeom prst="rect">
                      <a:avLst/>
                    </a:prstGeom>
                    <a:noFill/>
                    <a:ln>
                      <a:noFill/>
                    </a:ln>
                  </pic:spPr>
                </pic:pic>
              </a:graphicData>
            </a:graphic>
          </wp:inline>
        </w:drawing>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式中：L</w:t>
      </w:r>
      <w:r>
        <w:rPr>
          <w:rFonts w:hint="default" w:ascii="Times New Roman" w:hAnsi="Times New Roman" w:cs="Times New Roman"/>
          <w:color w:val="auto"/>
          <w:highlight w:val="none"/>
          <w:vertAlign w:val="subscript"/>
          <w:lang w:val="en-US" w:eastAsia="zh-CN"/>
        </w:rPr>
        <w:t>eq</w:t>
      </w:r>
      <w:r>
        <w:rPr>
          <w:rFonts w:hint="default" w:ascii="Times New Roman" w:hAnsi="Times New Roman" w:cs="Times New Roman"/>
          <w:color w:val="auto"/>
          <w:highlight w:val="none"/>
          <w:lang w:val="en-US" w:eastAsia="zh-CN"/>
        </w:rPr>
        <w:t>—预测点的噪声预测值，dB:</w:t>
      </w:r>
    </w:p>
    <w:p>
      <w:pPr>
        <w:bidi w:val="0"/>
        <w:ind w:firstLine="1200" w:firstLineChars="5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L</w:t>
      </w:r>
      <w:r>
        <w:rPr>
          <w:rFonts w:hint="default" w:ascii="Times New Roman" w:hAnsi="Times New Roman" w:cs="Times New Roman"/>
          <w:color w:val="auto"/>
          <w:highlight w:val="none"/>
          <w:vertAlign w:val="subscript"/>
          <w:lang w:val="en-US" w:eastAsia="zh-CN"/>
        </w:rPr>
        <w:t>eqg</w:t>
      </w:r>
      <w:r>
        <w:rPr>
          <w:rFonts w:hint="default" w:ascii="Times New Roman" w:hAnsi="Times New Roman" w:cs="Times New Roman"/>
          <w:color w:val="auto"/>
          <w:highlight w:val="none"/>
          <w:lang w:val="en-US" w:eastAsia="zh-CN"/>
        </w:rPr>
        <w:t>—建设项目声源在预测点产生的噪声贡献值，dB:</w:t>
      </w:r>
    </w:p>
    <w:p>
      <w:pPr>
        <w:bidi w:val="0"/>
        <w:ind w:firstLine="1200" w:firstLineChars="5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L</w:t>
      </w:r>
      <w:r>
        <w:rPr>
          <w:rFonts w:hint="default" w:ascii="Times New Roman" w:hAnsi="Times New Roman" w:cs="Times New Roman"/>
          <w:color w:val="auto"/>
          <w:highlight w:val="none"/>
          <w:vertAlign w:val="subscript"/>
          <w:lang w:val="en-US" w:eastAsia="zh-CN"/>
        </w:rPr>
        <w:t>eqb</w:t>
      </w:r>
      <w:r>
        <w:rPr>
          <w:rFonts w:hint="default" w:ascii="Times New Roman" w:hAnsi="Times New Roman" w:cs="Times New Roman"/>
          <w:color w:val="auto"/>
          <w:highlight w:val="none"/>
          <w:lang w:val="en-US" w:eastAsia="zh-CN"/>
        </w:rPr>
        <w:t>—预测点的背景噪声值，dB。</w:t>
      </w:r>
    </w:p>
    <w:p>
      <w:pPr>
        <w:pStyle w:val="5"/>
        <w:numPr>
          <w:ilvl w:val="3"/>
          <w:numId w:val="2"/>
        </w:numPr>
        <w:bidi w:val="0"/>
        <w:ind w:left="480" w:leftChars="0" w:firstLineChars="0"/>
        <w:rPr>
          <w:rFonts w:hint="default"/>
          <w:color w:val="auto"/>
          <w:lang w:val="en-US" w:eastAsia="zh-CN"/>
        </w:rPr>
      </w:pPr>
      <w:bookmarkStart w:id="646" w:name="_Toc13980"/>
      <w:r>
        <w:rPr>
          <w:rFonts w:hint="default"/>
          <w:color w:val="auto"/>
          <w:lang w:val="en-US" w:eastAsia="zh-CN"/>
        </w:rPr>
        <w:t>预测结果</w:t>
      </w:r>
      <w:bookmarkEnd w:id="646"/>
    </w:p>
    <w:p>
      <w:pPr>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本项目共设置2个本站，白秧树泵站设置4台泵（2用2备），平坦泵站设置3台泵（2用1备），本次选取白秧树泵站进行预测。</w:t>
      </w:r>
      <w:r>
        <w:rPr>
          <w:rFonts w:hint="default" w:ascii="Times New Roman" w:hAnsi="Times New Roman" w:cs="Times New Roman"/>
          <w:color w:val="auto"/>
          <w:highlight w:val="none"/>
          <w:lang w:val="en-US" w:eastAsia="zh-CN"/>
        </w:rPr>
        <w:t>噪声预测软件采用环安科技有限公司开发的 NoiseSystemV4 噪声预测软件，该软件以《环境影响评价技术导则—声环境》（HJ2.4-2021）的技术要求和推荐模型为编制依据，满足导则要求。预测结果详见下表。</w:t>
      </w:r>
    </w:p>
    <w:p>
      <w:pPr>
        <w:pStyle w:val="115"/>
        <w:bidi w:val="0"/>
        <w:spacing w:line="240" w:lineRule="auto"/>
        <w:rPr>
          <w:rFonts w:hint="default" w:ascii="Times New Roman" w:hAnsi="Times New Roman" w:cs="Times New Roman"/>
          <w:color w:val="0000FF"/>
          <w:highlight w:val="none"/>
        </w:rPr>
      </w:pPr>
      <w:r>
        <w:rPr>
          <w:rFonts w:hint="default" w:ascii="Times New Roman" w:hAnsi="Times New Roman" w:cs="Times New Roman"/>
          <w:color w:val="0000FF"/>
          <w:highlight w:val="none"/>
        </w:rPr>
        <w:t>表</w:t>
      </w:r>
      <w:r>
        <w:rPr>
          <w:rFonts w:hint="eastAsia" w:cs="Times New Roman"/>
          <w:color w:val="0000FF"/>
          <w:highlight w:val="none"/>
          <w:lang w:val="en-US" w:eastAsia="zh-CN"/>
        </w:rPr>
        <w:t>5.2.5-1</w:t>
      </w:r>
      <w:r>
        <w:rPr>
          <w:rFonts w:hint="default" w:ascii="Times New Roman" w:hAnsi="Times New Roman" w:cs="Times New Roman"/>
          <w:color w:val="0000FF"/>
          <w:highlight w:val="none"/>
        </w:rPr>
        <w:t xml:space="preserve">  </w:t>
      </w:r>
      <w:r>
        <w:rPr>
          <w:rFonts w:hint="eastAsia" w:cs="Times New Roman"/>
          <w:color w:val="0000FF"/>
          <w:highlight w:val="none"/>
          <w:lang w:val="en-US" w:eastAsia="zh-CN"/>
        </w:rPr>
        <w:t>泵站</w:t>
      </w:r>
      <w:r>
        <w:rPr>
          <w:rFonts w:hint="default" w:ascii="Times New Roman" w:hAnsi="Times New Roman" w:cs="Times New Roman"/>
          <w:color w:val="0000FF"/>
          <w:highlight w:val="none"/>
        </w:rPr>
        <w:t>厂界噪声预测结果    单位：dB（A）</w:t>
      </w:r>
    </w:p>
    <w:tbl>
      <w:tblPr>
        <w:tblStyle w:val="29"/>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7" w:type="dxa"/>
          <w:bottom w:w="0" w:type="dxa"/>
          <w:right w:w="17" w:type="dxa"/>
        </w:tblCellMar>
      </w:tblPr>
      <w:tblGrid>
        <w:gridCol w:w="1542"/>
        <w:gridCol w:w="1063"/>
        <w:gridCol w:w="1146"/>
        <w:gridCol w:w="1146"/>
        <w:gridCol w:w="1146"/>
        <w:gridCol w:w="1146"/>
        <w:gridCol w:w="114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7" w:type="dxa"/>
            <w:bottom w:w="0" w:type="dxa"/>
            <w:right w:w="17" w:type="dxa"/>
          </w:tblCellMar>
        </w:tblPrEx>
        <w:trPr>
          <w:trHeight w:val="312" w:hRule="atLeast"/>
          <w:tblHeader/>
          <w:jc w:val="center"/>
        </w:trPr>
        <w:tc>
          <w:tcPr>
            <w:tcW w:w="925" w:type="pct"/>
            <w:vMerge w:val="restar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0000FF"/>
                <w:highlight w:val="none"/>
              </w:rPr>
            </w:pPr>
            <w:r>
              <w:rPr>
                <w:rFonts w:hint="default"/>
                <w:color w:val="0000FF"/>
                <w:highlight w:val="none"/>
              </w:rPr>
              <w:t>预测点</w:t>
            </w:r>
          </w:p>
        </w:tc>
        <w:tc>
          <w:tcPr>
            <w:tcW w:w="2011" w:type="pct"/>
            <w:gridSpan w:val="3"/>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0000FF"/>
                <w:highlight w:val="none"/>
              </w:rPr>
            </w:pPr>
            <w:r>
              <w:rPr>
                <w:rFonts w:hint="default"/>
                <w:color w:val="0000FF"/>
                <w:highlight w:val="none"/>
              </w:rPr>
              <w:t>昼    间</w:t>
            </w:r>
          </w:p>
        </w:tc>
        <w:tc>
          <w:tcPr>
            <w:tcW w:w="2062" w:type="pct"/>
            <w:gridSpan w:val="3"/>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0000FF"/>
                <w:highlight w:val="none"/>
              </w:rPr>
            </w:pPr>
            <w:r>
              <w:rPr>
                <w:rFonts w:hint="default"/>
                <w:color w:val="0000FF"/>
                <w:highlight w:val="none"/>
              </w:rPr>
              <w:t>夜   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7" w:type="dxa"/>
            <w:bottom w:w="0" w:type="dxa"/>
            <w:right w:w="17" w:type="dxa"/>
          </w:tblCellMar>
        </w:tblPrEx>
        <w:trPr>
          <w:trHeight w:val="312" w:hRule="atLeast"/>
          <w:tblHeader/>
          <w:jc w:val="center"/>
        </w:trPr>
        <w:tc>
          <w:tcPr>
            <w:tcW w:w="925" w:type="pct"/>
            <w:vMerge w:val="continue"/>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0000FF"/>
                <w:highlight w:val="none"/>
              </w:rPr>
            </w:pPr>
          </w:p>
        </w:tc>
        <w:tc>
          <w:tcPr>
            <w:tcW w:w="637"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0000FF"/>
                <w:highlight w:val="none"/>
              </w:rPr>
            </w:pPr>
            <w:r>
              <w:rPr>
                <w:rFonts w:hint="default"/>
                <w:color w:val="0000FF"/>
                <w:highlight w:val="none"/>
                <w:lang w:val="en-US" w:eastAsia="zh-CN"/>
              </w:rPr>
              <w:t>贡献</w:t>
            </w:r>
            <w:r>
              <w:rPr>
                <w:rFonts w:hint="default"/>
                <w:color w:val="0000FF"/>
                <w:highlight w:val="none"/>
              </w:rPr>
              <w:t>值</w:t>
            </w:r>
          </w:p>
        </w:tc>
        <w:tc>
          <w:tcPr>
            <w:tcW w:w="687"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0000FF"/>
                <w:highlight w:val="none"/>
              </w:rPr>
            </w:pPr>
            <w:r>
              <w:rPr>
                <w:rFonts w:hint="default"/>
                <w:color w:val="0000FF"/>
                <w:highlight w:val="none"/>
              </w:rPr>
              <w:t>标准值</w:t>
            </w:r>
          </w:p>
        </w:tc>
        <w:tc>
          <w:tcPr>
            <w:tcW w:w="687"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0000FF"/>
                <w:highlight w:val="none"/>
              </w:rPr>
            </w:pPr>
            <w:r>
              <w:rPr>
                <w:rFonts w:hint="default"/>
                <w:color w:val="0000FF"/>
                <w:highlight w:val="none"/>
              </w:rPr>
              <w:t>超标值</w:t>
            </w:r>
          </w:p>
        </w:tc>
        <w:tc>
          <w:tcPr>
            <w:tcW w:w="687"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0000FF"/>
                <w:highlight w:val="none"/>
              </w:rPr>
            </w:pPr>
            <w:r>
              <w:rPr>
                <w:rFonts w:hint="default"/>
                <w:color w:val="0000FF"/>
                <w:highlight w:val="none"/>
                <w:lang w:val="en-US" w:eastAsia="zh-CN"/>
              </w:rPr>
              <w:t>贡献</w:t>
            </w:r>
            <w:r>
              <w:rPr>
                <w:rFonts w:hint="default"/>
                <w:color w:val="0000FF"/>
                <w:highlight w:val="none"/>
              </w:rPr>
              <w:t>值</w:t>
            </w:r>
          </w:p>
        </w:tc>
        <w:tc>
          <w:tcPr>
            <w:tcW w:w="687"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0000FF"/>
                <w:highlight w:val="none"/>
              </w:rPr>
            </w:pPr>
            <w:r>
              <w:rPr>
                <w:rFonts w:hint="default"/>
                <w:color w:val="0000FF"/>
                <w:highlight w:val="none"/>
              </w:rPr>
              <w:t>标准值</w:t>
            </w:r>
          </w:p>
        </w:tc>
        <w:tc>
          <w:tcPr>
            <w:tcW w:w="687"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0000FF"/>
                <w:highlight w:val="none"/>
              </w:rPr>
            </w:pPr>
            <w:r>
              <w:rPr>
                <w:rFonts w:hint="default"/>
                <w:color w:val="0000FF"/>
                <w:highlight w:val="none"/>
              </w:rPr>
              <w:t>超标值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7" w:type="dxa"/>
            <w:bottom w:w="0" w:type="dxa"/>
            <w:right w:w="17" w:type="dxa"/>
          </w:tblCellMar>
        </w:tblPrEx>
        <w:trPr>
          <w:trHeight w:val="312" w:hRule="atLeast"/>
          <w:jc w:val="center"/>
        </w:trPr>
        <w:tc>
          <w:tcPr>
            <w:tcW w:w="925"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0000FF"/>
                <w:highlight w:val="none"/>
                <w:lang w:eastAsia="zh-CN"/>
              </w:rPr>
            </w:pPr>
            <w:r>
              <w:rPr>
                <w:rFonts w:hint="default"/>
                <w:color w:val="0000FF"/>
                <w:highlight w:val="none"/>
              </w:rPr>
              <w:t>贡献最值</w:t>
            </w:r>
            <w:r>
              <w:rPr>
                <w:rFonts w:hint="default"/>
                <w:color w:val="0000FF"/>
                <w:highlight w:val="none"/>
                <w:lang w:val="en-US" w:eastAsia="zh-CN"/>
              </w:rPr>
              <w:t>最大值</w:t>
            </w:r>
          </w:p>
        </w:tc>
        <w:tc>
          <w:tcPr>
            <w:tcW w:w="637"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0000FF"/>
                <w:highlight w:val="none"/>
                <w:lang w:val="en-US" w:eastAsia="zh-CN"/>
              </w:rPr>
            </w:pPr>
            <w:r>
              <w:rPr>
                <w:rFonts w:hint="eastAsia"/>
                <w:color w:val="0000FF"/>
                <w:highlight w:val="none"/>
                <w:lang w:val="en-US" w:eastAsia="zh-CN"/>
              </w:rPr>
              <w:t>44.7</w:t>
            </w:r>
          </w:p>
        </w:tc>
        <w:tc>
          <w:tcPr>
            <w:tcW w:w="687"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0000FF"/>
                <w:highlight w:val="none"/>
                <w:lang w:val="en-US" w:eastAsia="zh-CN"/>
              </w:rPr>
            </w:pPr>
            <w:r>
              <w:rPr>
                <w:rFonts w:hint="eastAsia"/>
                <w:color w:val="0000FF"/>
                <w:highlight w:val="none"/>
                <w:lang w:val="en-US" w:eastAsia="zh-CN"/>
              </w:rPr>
              <w:t>55</w:t>
            </w:r>
          </w:p>
        </w:tc>
        <w:tc>
          <w:tcPr>
            <w:tcW w:w="687"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eastAsia"/>
                <w:color w:val="0000FF"/>
                <w:highlight w:val="none"/>
                <w:lang w:val="en-US" w:eastAsia="zh-CN"/>
              </w:rPr>
            </w:pPr>
            <w:r>
              <w:rPr>
                <w:rFonts w:hint="eastAsia"/>
                <w:color w:val="0000FF"/>
                <w:highlight w:val="none"/>
                <w:lang w:val="en-US" w:eastAsia="zh-CN"/>
              </w:rPr>
              <w:t>0</w:t>
            </w:r>
          </w:p>
        </w:tc>
        <w:tc>
          <w:tcPr>
            <w:tcW w:w="687"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0000FF"/>
                <w:highlight w:val="none"/>
                <w:lang w:val="en-US" w:eastAsia="zh-CN"/>
              </w:rPr>
            </w:pPr>
            <w:r>
              <w:rPr>
                <w:rFonts w:hint="eastAsia"/>
                <w:color w:val="0000FF"/>
                <w:highlight w:val="none"/>
                <w:lang w:val="en-US" w:eastAsia="zh-CN"/>
              </w:rPr>
              <w:t>44.7</w:t>
            </w:r>
          </w:p>
        </w:tc>
        <w:tc>
          <w:tcPr>
            <w:tcW w:w="687"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default"/>
                <w:color w:val="0000FF"/>
                <w:highlight w:val="none"/>
                <w:lang w:val="en-US" w:eastAsia="zh-CN"/>
              </w:rPr>
            </w:pPr>
            <w:r>
              <w:rPr>
                <w:rFonts w:hint="eastAsia"/>
                <w:color w:val="0000FF"/>
                <w:highlight w:val="none"/>
                <w:lang w:val="en-US" w:eastAsia="zh-CN"/>
              </w:rPr>
              <w:t>45</w:t>
            </w:r>
          </w:p>
        </w:tc>
        <w:tc>
          <w:tcPr>
            <w:tcW w:w="687" w:type="pct"/>
            <w:vAlign w:val="center"/>
          </w:tcPr>
          <w:p>
            <w:pPr>
              <w:pStyle w:val="42"/>
              <w:keepNext w:val="0"/>
              <w:keepLines w:val="0"/>
              <w:pageBreakBefore w:val="0"/>
              <w:widowControl/>
              <w:kinsoku/>
              <w:wordWrap/>
              <w:overflowPunct/>
              <w:topLinePunct w:val="0"/>
              <w:autoSpaceDE/>
              <w:autoSpaceDN/>
              <w:bidi w:val="0"/>
              <w:adjustRightInd/>
              <w:snapToGrid w:val="0"/>
              <w:ind w:firstLine="0" w:firstLineChars="0"/>
              <w:jc w:val="center"/>
              <w:textAlignment w:val="baseline"/>
              <w:rPr>
                <w:rFonts w:hint="eastAsia"/>
                <w:color w:val="0000FF"/>
                <w:highlight w:val="none"/>
                <w:lang w:val="en-US" w:eastAsia="zh-CN"/>
              </w:rPr>
            </w:pPr>
            <w:r>
              <w:rPr>
                <w:rFonts w:hint="eastAsia"/>
                <w:color w:val="0000FF"/>
                <w:highlight w:val="none"/>
                <w:lang w:val="en-US" w:eastAsia="zh-CN"/>
              </w:rPr>
              <w:t>0</w:t>
            </w:r>
          </w:p>
        </w:tc>
      </w:tr>
    </w:tbl>
    <w:p>
      <w:pPr>
        <w:rPr>
          <w:rFonts w:hint="default"/>
          <w:b w:val="0"/>
          <w:bCs w:val="0"/>
          <w:color w:val="auto"/>
          <w:lang w:val="en-US" w:eastAsia="zh-CN"/>
        </w:rPr>
      </w:pPr>
      <w:r>
        <w:rPr>
          <w:rFonts w:hint="default" w:ascii="Times New Roman" w:hAnsi="Times New Roman" w:cs="Times New Roman"/>
          <w:color w:val="0000FF"/>
          <w:highlight w:val="none"/>
          <w:lang w:val="en-US" w:eastAsia="zh-CN"/>
        </w:rPr>
        <w:t>由上表可知，</w:t>
      </w:r>
      <w:r>
        <w:rPr>
          <w:rFonts w:hint="eastAsia" w:cs="Times New Roman"/>
          <w:color w:val="0000FF"/>
          <w:highlight w:val="none"/>
          <w:lang w:val="en-US" w:eastAsia="zh-CN"/>
        </w:rPr>
        <w:t>项目</w:t>
      </w:r>
      <w:r>
        <w:rPr>
          <w:rFonts w:hint="default" w:ascii="Times New Roman" w:hAnsi="Times New Roman" w:cs="Times New Roman"/>
          <w:color w:val="0000FF"/>
          <w:highlight w:val="none"/>
          <w:lang w:val="en-US" w:eastAsia="zh-CN"/>
        </w:rPr>
        <w:t>四周厂界昼间、夜间均满足《工业企业厂界环境噪声排放标准》（GB12348-2008）</w:t>
      </w:r>
      <w:r>
        <w:rPr>
          <w:rFonts w:hint="eastAsia" w:cs="Times New Roman"/>
          <w:color w:val="0000FF"/>
          <w:highlight w:val="none"/>
          <w:lang w:val="en-US" w:eastAsia="zh-CN"/>
        </w:rPr>
        <w:t>1</w:t>
      </w:r>
      <w:r>
        <w:rPr>
          <w:rFonts w:hint="default" w:ascii="Times New Roman" w:hAnsi="Times New Roman" w:cs="Times New Roman"/>
          <w:color w:val="0000FF"/>
          <w:highlight w:val="none"/>
          <w:lang w:val="en-US" w:eastAsia="zh-CN"/>
        </w:rPr>
        <w:t>类标准要求。</w:t>
      </w:r>
      <w:r>
        <w:rPr>
          <w:rFonts w:hint="default" w:ascii="Times New Roman" w:hAnsi="Times New Roman" w:cs="Times New Roman"/>
          <w:b w:val="0"/>
          <w:bCs w:val="0"/>
          <w:color w:val="0000FF"/>
          <w:highlight w:val="none"/>
          <w:lang w:val="en-US" w:eastAsia="zh-CN"/>
        </w:rPr>
        <w:t>噪声贡献值等值线分布图</w:t>
      </w:r>
      <w:r>
        <w:rPr>
          <w:rFonts w:hint="eastAsia" w:cs="Times New Roman"/>
          <w:b w:val="0"/>
          <w:bCs w:val="0"/>
          <w:color w:val="0000FF"/>
          <w:highlight w:val="none"/>
          <w:lang w:val="en-US" w:eastAsia="zh-CN"/>
        </w:rPr>
        <w:t>如下所示</w:t>
      </w:r>
      <w:r>
        <w:rPr>
          <w:rFonts w:hint="default" w:ascii="Times New Roman" w:hAnsi="Times New Roman" w:cs="Times New Roman"/>
          <w:b w:val="0"/>
          <w:bCs w:val="0"/>
          <w:color w:val="0000FF"/>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right"/>
        <w:textAlignment w:val="auto"/>
        <w:rPr>
          <w:rFonts w:hint="default"/>
          <w:color w:val="auto"/>
          <w:lang w:val="en-US" w:eastAsia="zh-CN"/>
        </w:rPr>
      </w:pPr>
      <w:r>
        <w:rPr>
          <w:rFonts w:hint="default"/>
          <w:color w:val="auto"/>
          <w:lang w:val="en-US" w:eastAsia="zh-CN"/>
        </w:rPr>
        <w:drawing>
          <wp:inline distT="0" distB="0" distL="114300" distR="114300">
            <wp:extent cx="5266690" cy="3257550"/>
            <wp:effectExtent l="0" t="0" r="10160" b="0"/>
            <wp:docPr id="116" name="图片 116" descr="c0ec42be9cb1b11af48be736941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c0ec42be9cb1b11af48be7369413408"/>
                    <pic:cNvPicPr>
                      <a:picLocks noChangeAspect="1"/>
                    </pic:cNvPicPr>
                  </pic:nvPicPr>
                  <pic:blipFill>
                    <a:blip r:embed="rId102"/>
                    <a:stretch>
                      <a:fillRect/>
                    </a:stretch>
                  </pic:blipFill>
                  <pic:spPr>
                    <a:xfrm>
                      <a:off x="0" y="0"/>
                      <a:ext cx="5266690" cy="32575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图</w:t>
      </w:r>
      <w:r>
        <w:rPr>
          <w:rFonts w:hint="eastAsia" w:cs="Times New Roman"/>
          <w:b/>
          <w:bCs/>
          <w:color w:val="auto"/>
          <w:highlight w:val="none"/>
          <w:lang w:val="en-US" w:eastAsia="zh-CN"/>
        </w:rPr>
        <w:t>5.2.5</w:t>
      </w:r>
      <w:r>
        <w:rPr>
          <w:rFonts w:hint="default" w:ascii="Times New Roman" w:hAnsi="Times New Roman" w:cs="Times New Roman"/>
          <w:b/>
          <w:bCs/>
          <w:color w:val="auto"/>
          <w:highlight w:val="none"/>
          <w:lang w:val="en-US" w:eastAsia="zh-CN"/>
        </w:rPr>
        <w:t>-1  噪声</w:t>
      </w:r>
      <w:r>
        <w:rPr>
          <w:rFonts w:hint="eastAsia" w:cs="Times New Roman"/>
          <w:b/>
          <w:bCs/>
          <w:color w:val="auto"/>
          <w:highlight w:val="none"/>
          <w:lang w:val="en-US" w:eastAsia="zh-CN"/>
        </w:rPr>
        <w:t>昼间、夜间</w:t>
      </w:r>
      <w:r>
        <w:rPr>
          <w:rFonts w:hint="default" w:ascii="Times New Roman" w:hAnsi="Times New Roman" w:cs="Times New Roman"/>
          <w:b/>
          <w:bCs/>
          <w:color w:val="auto"/>
          <w:highlight w:val="none"/>
          <w:lang w:val="en-US" w:eastAsia="zh-CN"/>
        </w:rPr>
        <w:t>贡献值等值线分布图</w:t>
      </w:r>
    </w:p>
    <w:p>
      <w:pPr>
        <w:pStyle w:val="35"/>
        <w:ind w:left="0" w:leftChars="0" w:firstLine="0" w:firstLineChars="0"/>
        <w:jc w:val="center"/>
        <w:rPr>
          <w:rFonts w:hint="default"/>
          <w:color w:val="auto"/>
          <w:lang w:val="en-US" w:eastAsia="zh-CN"/>
        </w:rPr>
      </w:pPr>
      <w:r>
        <w:rPr>
          <w:rFonts w:hint="default"/>
          <w:color w:val="auto"/>
          <w:lang w:val="en-US" w:eastAsia="zh-CN"/>
        </w:rPr>
        <w:drawing>
          <wp:inline distT="0" distB="0" distL="114300" distR="114300">
            <wp:extent cx="5351780" cy="1835150"/>
            <wp:effectExtent l="0" t="0" r="1270" b="12700"/>
            <wp:docPr id="117" name="图片 117" descr="59b7409c9d1e01aa91237c2d4718f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59b7409c9d1e01aa91237c2d4718f6d"/>
                    <pic:cNvPicPr>
                      <a:picLocks noChangeAspect="1"/>
                    </pic:cNvPicPr>
                  </pic:nvPicPr>
                  <pic:blipFill>
                    <a:blip r:embed="rId103"/>
                    <a:stretch>
                      <a:fillRect/>
                    </a:stretch>
                  </pic:blipFill>
                  <pic:spPr>
                    <a:xfrm>
                      <a:off x="0" y="0"/>
                      <a:ext cx="5351780" cy="1835150"/>
                    </a:xfrm>
                    <a:prstGeom prst="rect">
                      <a:avLst/>
                    </a:prstGeom>
                  </pic:spPr>
                </pic:pic>
              </a:graphicData>
            </a:graphic>
          </wp:inline>
        </w:drawing>
      </w:r>
      <w:r>
        <w:rPr>
          <w:rFonts w:hint="default"/>
          <w:color w:val="auto"/>
          <w:lang w:val="en-US" w:eastAsia="zh-CN"/>
        </w:rPr>
        <w:t>图5.</w:t>
      </w:r>
      <w:r>
        <w:rPr>
          <w:rFonts w:hint="eastAsia"/>
          <w:color w:val="auto"/>
          <w:lang w:val="en-US" w:eastAsia="zh-CN"/>
        </w:rPr>
        <w:t>2</w:t>
      </w:r>
      <w:r>
        <w:rPr>
          <w:rFonts w:hint="default"/>
          <w:color w:val="auto"/>
          <w:lang w:val="en-US" w:eastAsia="zh-CN"/>
        </w:rPr>
        <w:t>.</w:t>
      </w:r>
      <w:r>
        <w:rPr>
          <w:rFonts w:hint="eastAsia"/>
          <w:color w:val="auto"/>
          <w:lang w:val="en-US" w:eastAsia="zh-CN"/>
        </w:rPr>
        <w:t>5</w:t>
      </w:r>
      <w:r>
        <w:rPr>
          <w:rFonts w:hint="default"/>
          <w:color w:val="auto"/>
          <w:lang w:val="en-US" w:eastAsia="zh-CN"/>
        </w:rPr>
        <w:t>-2  厂界昼间</w:t>
      </w:r>
      <w:r>
        <w:rPr>
          <w:rFonts w:hint="eastAsia"/>
          <w:color w:val="auto"/>
          <w:lang w:val="en-US" w:eastAsia="zh-CN"/>
        </w:rPr>
        <w:t>、夜间</w:t>
      </w:r>
      <w:r>
        <w:rPr>
          <w:rFonts w:hint="default"/>
          <w:color w:val="auto"/>
          <w:lang w:val="en-US" w:eastAsia="zh-CN"/>
        </w:rPr>
        <w:t>噪声贡献值曲线图</w:t>
      </w:r>
    </w:p>
    <w:p>
      <w:pPr>
        <w:pStyle w:val="5"/>
        <w:numPr>
          <w:ilvl w:val="3"/>
          <w:numId w:val="2"/>
        </w:numPr>
        <w:bidi w:val="0"/>
        <w:ind w:left="480" w:leftChars="0" w:firstLineChars="0"/>
        <w:rPr>
          <w:rFonts w:hint="eastAsia" w:ascii="Times New Roman" w:hAnsi="Times New Roman" w:cs="Times New Roman"/>
          <w:b/>
          <w:snapToGrid w:val="0"/>
          <w:color w:val="auto"/>
          <w:kern w:val="0"/>
          <w:sz w:val="28"/>
          <w:szCs w:val="28"/>
          <w:highlight w:val="none"/>
          <w:lang w:val="en-US" w:eastAsia="zh-CN" w:bidi="ar-SA"/>
        </w:rPr>
      </w:pPr>
      <w:r>
        <w:rPr>
          <w:rFonts w:hint="eastAsia" w:ascii="Times New Roman" w:hAnsi="Times New Roman" w:cs="Times New Roman"/>
          <w:b/>
          <w:snapToGrid w:val="0"/>
          <w:color w:val="auto"/>
          <w:kern w:val="0"/>
          <w:sz w:val="28"/>
          <w:szCs w:val="28"/>
          <w:highlight w:val="none"/>
          <w:lang w:val="en-US" w:eastAsia="zh-CN" w:bidi="ar-SA"/>
        </w:rPr>
        <w:t>噪声环境影响分析结论</w:t>
      </w:r>
    </w:p>
    <w:p>
      <w:pPr>
        <w:pStyle w:val="28"/>
        <w:spacing w:after="0" w:line="360" w:lineRule="auto"/>
        <w:ind w:left="0" w:leftChars="0" w:firstLine="480"/>
        <w:rPr>
          <w:color w:val="auto"/>
          <w:sz w:val="24"/>
          <w:szCs w:val="24"/>
          <w:highlight w:val="none"/>
        </w:rPr>
      </w:pPr>
      <w:r>
        <w:rPr>
          <w:color w:val="auto"/>
          <w:sz w:val="24"/>
          <w:szCs w:val="24"/>
          <w:highlight w:val="none"/>
        </w:rPr>
        <w:t>根据预测结果表明，</w:t>
      </w:r>
      <w:r>
        <w:rPr>
          <w:color w:val="auto"/>
          <w:sz w:val="24"/>
          <w:szCs w:val="24"/>
          <w:highlight w:val="none"/>
          <w:lang w:val="zh-CN"/>
        </w:rPr>
        <w:t>项目运营后，</w:t>
      </w:r>
      <w:r>
        <w:rPr>
          <w:rFonts w:hint="eastAsia"/>
          <w:color w:val="auto"/>
          <w:sz w:val="24"/>
          <w:szCs w:val="24"/>
          <w:highlight w:val="none"/>
          <w:lang w:val="en-US" w:eastAsia="zh-CN"/>
        </w:rPr>
        <w:t>泵站</w:t>
      </w:r>
      <w:r>
        <w:rPr>
          <w:color w:val="auto"/>
          <w:sz w:val="24"/>
          <w:szCs w:val="24"/>
          <w:highlight w:val="none"/>
        </w:rPr>
        <w:t>厂界噪声昼间、夜间噪声值均可满足</w:t>
      </w:r>
      <w:r>
        <w:rPr>
          <w:rFonts w:hint="default" w:ascii="Times New Roman" w:hAnsi="Times New Roman" w:cs="Times New Roman"/>
          <w:color w:val="auto"/>
          <w:sz w:val="24"/>
          <w:szCs w:val="24"/>
          <w:highlight w:val="none"/>
        </w:rPr>
        <w:t>《工业企业厂界环境噪声排放标准》（GB12348-2008）中2类标准要求。项目周边200m范围内无敏感点，对周围环境的影响较小。本环评建议厂区加强厂界周围绿化，以进一步减少项目噪声对外环境的影响。</w:t>
      </w:r>
    </w:p>
    <w:p>
      <w:pPr>
        <w:pStyle w:val="4"/>
        <w:numPr>
          <w:ilvl w:val="2"/>
          <w:numId w:val="2"/>
        </w:numPr>
        <w:tabs>
          <w:tab w:val="left" w:pos="420"/>
        </w:tabs>
        <w:bidi w:val="0"/>
        <w:rPr>
          <w:rFonts w:hint="eastAsia"/>
          <w:color w:val="auto"/>
          <w:lang w:val="en-US" w:eastAsia="zh-CN"/>
        </w:rPr>
      </w:pPr>
      <w:bookmarkStart w:id="647" w:name="_Toc15855"/>
      <w:bookmarkStart w:id="648" w:name="_Toc21469"/>
      <w:bookmarkStart w:id="649" w:name="_Toc77"/>
      <w:r>
        <w:rPr>
          <w:rFonts w:hint="eastAsia"/>
          <w:color w:val="auto"/>
          <w:lang w:val="en-US" w:eastAsia="zh-CN"/>
        </w:rPr>
        <w:t>固体废物环境影响分析</w:t>
      </w:r>
      <w:bookmarkEnd w:id="647"/>
      <w:bookmarkEnd w:id="648"/>
      <w:bookmarkEnd w:id="649"/>
    </w:p>
    <w:p>
      <w:pPr>
        <w:ind w:firstLine="480" w:firstLineChars="200"/>
        <w:rPr>
          <w:rFonts w:hint="eastAsia"/>
          <w:color w:val="auto"/>
          <w:sz w:val="24"/>
          <w:szCs w:val="24"/>
          <w:lang w:eastAsia="zh-CN"/>
        </w:rPr>
      </w:pPr>
      <w:r>
        <w:rPr>
          <w:rFonts w:hint="eastAsia"/>
          <w:color w:val="auto"/>
          <w:sz w:val="24"/>
          <w:szCs w:val="24"/>
          <w:lang w:eastAsia="zh-CN"/>
        </w:rPr>
        <w:t>运营期固体废物为</w:t>
      </w:r>
      <w:r>
        <w:rPr>
          <w:rFonts w:hint="eastAsia"/>
          <w:color w:val="auto"/>
          <w:sz w:val="24"/>
          <w:szCs w:val="24"/>
          <w:lang w:val="en-US" w:eastAsia="zh-CN"/>
        </w:rPr>
        <w:t>管理所工作人员</w:t>
      </w:r>
      <w:r>
        <w:rPr>
          <w:rFonts w:hint="eastAsia"/>
          <w:color w:val="auto"/>
          <w:sz w:val="24"/>
          <w:szCs w:val="24"/>
          <w:lang w:eastAsia="zh-CN"/>
        </w:rPr>
        <w:t>生活垃圾，产生量</w:t>
      </w:r>
      <w:r>
        <w:rPr>
          <w:rFonts w:hint="eastAsia"/>
          <w:color w:val="auto"/>
          <w:sz w:val="24"/>
          <w:szCs w:val="24"/>
          <w:lang w:val="en-US" w:eastAsia="zh-CN"/>
        </w:rPr>
        <w:t>10</w:t>
      </w:r>
      <w:r>
        <w:rPr>
          <w:rFonts w:hint="eastAsia"/>
          <w:color w:val="auto"/>
          <w:sz w:val="24"/>
          <w:szCs w:val="24"/>
          <w:lang w:eastAsia="zh-CN"/>
        </w:rPr>
        <w:t>kg/d，自行清理至集镇集中处置点处置，对外环境影响较小。</w:t>
      </w:r>
    </w:p>
    <w:p>
      <w:pPr>
        <w:pStyle w:val="28"/>
        <w:spacing w:after="0" w:line="360" w:lineRule="auto"/>
        <w:ind w:left="0" w:leftChars="0" w:firstLine="480"/>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lang w:eastAsia="zh-CN"/>
        </w:rPr>
        <w:t>泵站水泵在产生故障或例行检修时会产生一定的机修废油，产生量约为0.005t/a，</w:t>
      </w:r>
      <w:r>
        <w:rPr>
          <w:rFonts w:hint="default" w:ascii="Times New Roman" w:hAnsi="Times New Roman" w:cs="Times New Roman"/>
          <w:color w:val="auto"/>
          <w:sz w:val="24"/>
          <w:szCs w:val="24"/>
          <w:highlight w:val="none"/>
          <w:lang w:eastAsia="zh-CN"/>
        </w:rPr>
        <w:t>属于《国家危险废物名录（2021年版）》中的 HW08 废矿物油与含矿物油废物，废物代码为900-214-08，</w:t>
      </w:r>
      <w:r>
        <w:rPr>
          <w:rFonts w:hint="eastAsia" w:ascii="Times New Roman" w:hAnsi="Times New Roman" w:cs="Times New Roman"/>
          <w:color w:val="auto"/>
          <w:sz w:val="24"/>
          <w:szCs w:val="24"/>
          <w:highlight w:val="none"/>
          <w:lang w:val="en-US" w:eastAsia="zh-CN"/>
        </w:rPr>
        <w:t>于两个泵站各设置1个5㎡的危废暂存间，废矿物油</w:t>
      </w:r>
      <w:r>
        <w:rPr>
          <w:rFonts w:hint="default" w:ascii="Times New Roman" w:hAnsi="Times New Roman" w:cs="Times New Roman"/>
          <w:color w:val="auto"/>
          <w:sz w:val="24"/>
          <w:szCs w:val="24"/>
          <w:highlight w:val="none"/>
          <w:lang w:eastAsia="zh-CN"/>
        </w:rPr>
        <w:t>暂存于危废暂存间，定期交由有资质单位处置。</w:t>
      </w:r>
    </w:p>
    <w:p>
      <w:pPr>
        <w:pStyle w:val="4"/>
        <w:numPr>
          <w:ilvl w:val="2"/>
          <w:numId w:val="2"/>
        </w:numPr>
        <w:tabs>
          <w:tab w:val="left" w:pos="420"/>
        </w:tabs>
        <w:bidi w:val="0"/>
        <w:rPr>
          <w:rFonts w:hint="eastAsia"/>
          <w:color w:val="auto"/>
          <w:lang w:val="en-US" w:eastAsia="zh-CN"/>
        </w:rPr>
      </w:pPr>
      <w:bookmarkStart w:id="650" w:name="_Toc13911"/>
      <w:bookmarkStart w:id="651" w:name="_Toc12425"/>
      <w:bookmarkStart w:id="652" w:name="_Toc3070"/>
      <w:r>
        <w:rPr>
          <w:rFonts w:hint="eastAsia"/>
          <w:color w:val="auto"/>
          <w:lang w:val="en-US" w:eastAsia="zh-CN"/>
        </w:rPr>
        <w:t>生态环境影响分析</w:t>
      </w:r>
      <w:bookmarkEnd w:id="650"/>
      <w:bookmarkEnd w:id="651"/>
      <w:bookmarkEnd w:id="652"/>
    </w:p>
    <w:p>
      <w:pPr>
        <w:pStyle w:val="5"/>
        <w:numPr>
          <w:ilvl w:val="3"/>
          <w:numId w:val="30"/>
        </w:numPr>
        <w:bidi w:val="0"/>
        <w:ind w:left="480" w:leftChars="0" w:firstLineChars="0"/>
        <w:rPr>
          <w:rFonts w:hint="eastAsia"/>
          <w:color w:val="auto"/>
          <w:lang w:val="en-US" w:eastAsia="zh-CN"/>
        </w:rPr>
      </w:pPr>
      <w:r>
        <w:rPr>
          <w:rFonts w:hint="eastAsia"/>
          <w:color w:val="auto"/>
          <w:lang w:val="en-US" w:eastAsia="zh-CN"/>
        </w:rPr>
        <w:t>对陆生生态的影响</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1、对植物植被的影响</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rFonts w:hint="default" w:ascii="Times New Roman" w:hAnsi="Times New Roman" w:cs="Times New Roman"/>
          <w:color w:val="auto"/>
          <w:lang w:val="en-US" w:eastAsia="zh-CN"/>
        </w:rPr>
      </w:pPr>
      <w:r>
        <w:rPr>
          <w:rFonts w:hint="default" w:ascii="Times New Roman" w:hAnsi="Times New Roman" w:cs="Times New Roman"/>
          <w:color w:val="auto"/>
          <w:highlight w:val="none"/>
          <w:lang w:val="en-US" w:eastAsia="zh-CN"/>
        </w:rPr>
        <w:t>根据调查，</w:t>
      </w:r>
      <w:r>
        <w:rPr>
          <w:rFonts w:hint="default" w:ascii="Times New Roman" w:hAnsi="Times New Roman" w:cs="Times New Roman"/>
          <w:color w:val="auto"/>
          <w:highlight w:val="none"/>
          <w:lang w:val="zh-TW" w:eastAsia="zh-TW"/>
        </w:rPr>
        <w:t>评价区布的维管植物有</w:t>
      </w:r>
      <w:r>
        <w:rPr>
          <w:rFonts w:hint="default" w:ascii="Times New Roman" w:hAnsi="Times New Roman" w:cs="Times New Roman"/>
          <w:color w:val="auto"/>
          <w:highlight w:val="none"/>
          <w:lang w:val="en-US" w:eastAsia="zh-CN"/>
        </w:rPr>
        <w:t>90</w:t>
      </w:r>
      <w:r>
        <w:rPr>
          <w:rFonts w:hint="default" w:ascii="Times New Roman" w:hAnsi="Times New Roman" w:cs="Times New Roman"/>
          <w:color w:val="auto"/>
          <w:highlight w:val="none"/>
          <w:lang w:val="zh-TW" w:eastAsia="zh-TW"/>
        </w:rPr>
        <w:t>科2</w:t>
      </w:r>
      <w:r>
        <w:rPr>
          <w:rFonts w:hint="default" w:ascii="Times New Roman" w:hAnsi="Times New Roman" w:cs="Times New Roman"/>
          <w:color w:val="auto"/>
          <w:highlight w:val="none"/>
          <w:lang w:val="en-US" w:eastAsia="zh-CN"/>
        </w:rPr>
        <w:t>47</w:t>
      </w:r>
      <w:r>
        <w:rPr>
          <w:rFonts w:hint="default" w:ascii="Times New Roman" w:hAnsi="Times New Roman" w:cs="Times New Roman"/>
          <w:color w:val="auto"/>
          <w:highlight w:val="none"/>
          <w:lang w:val="zh-TW" w:eastAsia="zh-TW"/>
        </w:rPr>
        <w:t>属3</w:t>
      </w:r>
      <w:r>
        <w:rPr>
          <w:rFonts w:hint="default" w:ascii="Times New Roman" w:hAnsi="Times New Roman" w:cs="Times New Roman"/>
          <w:color w:val="auto"/>
          <w:highlight w:val="none"/>
          <w:lang w:val="en-US" w:eastAsia="zh-CN"/>
        </w:rPr>
        <w:t>31</w:t>
      </w:r>
      <w:r>
        <w:rPr>
          <w:rFonts w:hint="default" w:ascii="Times New Roman" w:hAnsi="Times New Roman" w:cs="Times New Roman"/>
          <w:color w:val="auto"/>
          <w:highlight w:val="none"/>
          <w:lang w:val="zh-TW" w:eastAsia="zh-TW"/>
        </w:rPr>
        <w:t>种；其中：蕨类植物共1</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zh-TW" w:eastAsia="zh-TW"/>
        </w:rPr>
        <w:t>科1</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lang w:val="zh-TW" w:eastAsia="zh-TW"/>
        </w:rPr>
        <w:t>属</w:t>
      </w:r>
      <w:r>
        <w:rPr>
          <w:rFonts w:hint="default" w:ascii="Times New Roman" w:hAnsi="Times New Roman" w:cs="Times New Roman"/>
          <w:color w:val="auto"/>
          <w:highlight w:val="none"/>
          <w:lang w:val="en-US" w:eastAsia="zh-CN"/>
        </w:rPr>
        <w:t>21</w:t>
      </w:r>
      <w:r>
        <w:rPr>
          <w:rFonts w:hint="default" w:ascii="Times New Roman" w:hAnsi="Times New Roman" w:cs="Times New Roman"/>
          <w:color w:val="auto"/>
          <w:highlight w:val="none"/>
          <w:lang w:val="zh-TW" w:eastAsia="zh-TW"/>
        </w:rPr>
        <w:t>种；裸子植物</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zh-TW" w:eastAsia="zh-TW"/>
        </w:rPr>
        <w:t>科</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zh-TW" w:eastAsia="zh-TW"/>
        </w:rPr>
        <w:t>属</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lang w:val="zh-TW" w:eastAsia="zh-TW"/>
        </w:rPr>
        <w:t>种；被子植物7</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val="zh-TW" w:eastAsia="zh-TW"/>
        </w:rPr>
        <w:t>科2</w:t>
      </w:r>
      <w:r>
        <w:rPr>
          <w:rFonts w:hint="default" w:ascii="Times New Roman" w:hAnsi="Times New Roman" w:cs="Times New Roman"/>
          <w:color w:val="auto"/>
          <w:highlight w:val="none"/>
          <w:lang w:val="en-US" w:eastAsia="zh-CN"/>
        </w:rPr>
        <w:t>25</w:t>
      </w:r>
      <w:r>
        <w:rPr>
          <w:rFonts w:hint="default" w:ascii="Times New Roman" w:hAnsi="Times New Roman" w:cs="Times New Roman"/>
          <w:color w:val="auto"/>
          <w:highlight w:val="none"/>
          <w:lang w:val="zh-TW" w:eastAsia="zh-TW"/>
        </w:rPr>
        <w:t>属</w:t>
      </w:r>
      <w:r>
        <w:rPr>
          <w:rFonts w:hint="default" w:ascii="Times New Roman" w:hAnsi="Times New Roman" w:cs="Times New Roman"/>
          <w:color w:val="auto"/>
          <w:highlight w:val="none"/>
          <w:lang w:val="en-US" w:eastAsia="zh-CN"/>
        </w:rPr>
        <w:t>303</w:t>
      </w:r>
      <w:r>
        <w:rPr>
          <w:rFonts w:hint="default" w:ascii="Times New Roman" w:hAnsi="Times New Roman" w:cs="Times New Roman"/>
          <w:color w:val="auto"/>
          <w:highlight w:val="none"/>
          <w:lang w:val="zh-TW" w:eastAsia="zh-TW"/>
        </w:rPr>
        <w:t>种。</w:t>
      </w:r>
      <w:r>
        <w:rPr>
          <w:rFonts w:hint="default" w:ascii="Times New Roman" w:hAnsi="Times New Roman" w:cs="Times New Roman"/>
          <w:color w:val="auto"/>
          <w:lang w:val="en-US"/>
        </w:rPr>
        <w:t>参考《国家重点保护野生植物名录（国家林业和草原局农业农村部公告2021年第15号）》，《中国生物多样性红色名录一高等植物卷》（2020年），《云南省第一批省级重点保护野生植物名录》（</w:t>
      </w:r>
      <w:r>
        <w:rPr>
          <w:rFonts w:hint="eastAsia" w:ascii="Times New Roman" w:hAnsi="Times New Roman" w:cs="Times New Roman"/>
          <w:color w:val="auto"/>
          <w:lang w:val="en-US" w:eastAsia="zh-CN"/>
        </w:rPr>
        <w:t>2010</w:t>
      </w:r>
      <w:r>
        <w:rPr>
          <w:rFonts w:hint="default" w:ascii="Times New Roman" w:hAnsi="Times New Roman" w:cs="Times New Roman"/>
          <w:color w:val="auto"/>
          <w:lang w:val="en-US"/>
        </w:rPr>
        <w:t>）等资料，评价范围内没有发现国家级及云南省级重点保护植物和各类珍稀濒危植物</w:t>
      </w:r>
      <w:r>
        <w:rPr>
          <w:rFonts w:hint="default" w:ascii="Times New Roman" w:hAnsi="Times New Roman" w:cs="Times New Roman"/>
          <w:color w:val="auto"/>
          <w:lang w:val="en-US" w:eastAsia="zh-CN"/>
        </w:rPr>
        <w:t>；未发现</w:t>
      </w:r>
      <w:r>
        <w:rPr>
          <w:rFonts w:hint="default" w:ascii="Times New Roman" w:hAnsi="Times New Roman" w:cs="Times New Roman"/>
          <w:color w:val="auto"/>
          <w:lang w:val="en-US"/>
        </w:rPr>
        <w:t>名木古树</w:t>
      </w:r>
      <w:r>
        <w:rPr>
          <w:rFonts w:hint="default" w:ascii="Times New Roman" w:hAnsi="Times New Roman" w:cs="Times New Roman"/>
          <w:color w:val="auto"/>
          <w:lang w:val="en-US" w:eastAsia="zh-CN"/>
        </w:rPr>
        <w:t>及</w:t>
      </w:r>
      <w:r>
        <w:rPr>
          <w:rFonts w:hint="default" w:ascii="Times New Roman" w:hAnsi="Times New Roman" w:cs="Times New Roman"/>
          <w:color w:val="auto"/>
          <w:lang w:val="en-US"/>
        </w:rPr>
        <w:t>元谋县的狭域特有植物。</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rFonts w:hint="default" w:ascii="Times New Roman" w:hAnsi="Times New Roman" w:cs="Times New Roman"/>
          <w:color w:val="auto"/>
          <w:lang w:val="en-US" w:eastAsia="zh-CN"/>
        </w:rPr>
      </w:pPr>
      <w:r>
        <w:rPr>
          <w:rFonts w:hint="default" w:ascii="Times New Roman" w:hAnsi="Times New Roman" w:eastAsia="宋体" w:cs="Times New Roman"/>
          <w:color w:val="auto"/>
          <w:kern w:val="0"/>
          <w:sz w:val="24"/>
          <w:szCs w:val="24"/>
          <w:lang w:val="en-US" w:eastAsia="zh-CN" w:bidi="ar"/>
        </w:rPr>
        <w:t>本工程营运期不会新增占地，随着渣场、施工便道等处植被的恢复，本工程对评价区植物及植被的影响将逐渐降低。同时运行期线路输水，沿线向各灌区供水，对植被的影响主要为水分条件改善。</w:t>
      </w:r>
      <w:r>
        <w:rPr>
          <w:rFonts w:hint="default" w:ascii="Times New Roman" w:hAnsi="Times New Roman" w:cs="Times New Roman"/>
          <w:color w:val="auto"/>
          <w:lang w:val="en-US" w:eastAsia="zh-CN"/>
        </w:rPr>
        <w:t>评价区</w:t>
      </w:r>
      <w:r>
        <w:rPr>
          <w:rFonts w:hint="default" w:ascii="Times New Roman" w:hAnsi="Times New Roman" w:cs="Times New Roman"/>
          <w:color w:val="auto"/>
          <w:sz w:val="24"/>
          <w:szCs w:val="24"/>
        </w:rPr>
        <w:t>植被类型在评价区及周边还有广泛分布</w:t>
      </w:r>
      <w:r>
        <w:rPr>
          <w:rFonts w:hint="default" w:ascii="Times New Roman" w:hAnsi="Times New Roman" w:cs="Times New Roman"/>
          <w:color w:val="auto"/>
          <w:lang w:val="en-US" w:eastAsia="zh-CN"/>
        </w:rPr>
        <w:t>，</w:t>
      </w:r>
      <w:r>
        <w:rPr>
          <w:rFonts w:hint="default" w:ascii="Times New Roman" w:hAnsi="Times New Roman" w:cs="Times New Roman"/>
          <w:color w:val="auto"/>
          <w:lang w:val="en-US"/>
        </w:rPr>
        <w:t>不会造成某种植被类型在评价区内消失，不会导致景观的单一化，对评价区内的植被</w:t>
      </w:r>
      <w:r>
        <w:rPr>
          <w:rFonts w:hint="default" w:ascii="Times New Roman" w:hAnsi="Times New Roman" w:cs="Times New Roman"/>
          <w:color w:val="auto"/>
          <w:lang w:val="en-US" w:eastAsia="zh-CN"/>
        </w:rPr>
        <w:t>影响较小。</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此外，本工程的建设目的主要在于灌溉，工程运行后，将增加工程农业区域的灌溉用水，提高灌溉效率，改善区域植被干旱缺水的现状，促进植物的生长发育，对区域的植被发育有利。</w:t>
      </w:r>
    </w:p>
    <w:p>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 xml:space="preserve">2、对陆生脊椎动物的影响 </w:t>
      </w:r>
    </w:p>
    <w:p>
      <w:pPr>
        <w:shd w:val="clear"/>
        <w:bidi w:val="0"/>
        <w:ind w:firstLine="480" w:firstLineChars="200"/>
        <w:rPr>
          <w:rFonts w:hint="default"/>
          <w:color w:val="0000FF"/>
          <w:highlight w:val="none"/>
        </w:rPr>
      </w:pPr>
      <w:r>
        <w:rPr>
          <w:rFonts w:hint="default" w:ascii="Times New Roman" w:hAnsi="Times New Roman" w:cs="Times New Roman"/>
          <w:color w:val="0000FF"/>
          <w:highlight w:val="none"/>
          <w:lang w:val="zh-TW" w:eastAsia="zh-TW"/>
        </w:rPr>
        <w:t>根据实地调查、访谈和查阅相关文献资料，评价区及附近地区分布陆生脊椎动物</w:t>
      </w:r>
      <w:r>
        <w:rPr>
          <w:rFonts w:hint="default"/>
          <w:color w:val="0000FF"/>
          <w:highlight w:val="none"/>
          <w:lang w:val="zh-TW" w:eastAsia="zh-TW"/>
        </w:rPr>
        <w:t>4纲1</w:t>
      </w:r>
      <w:r>
        <w:rPr>
          <w:rFonts w:hint="default"/>
          <w:color w:val="0000FF"/>
          <w:highlight w:val="none"/>
          <w:lang w:val="en-US" w:eastAsia="zh-CN"/>
        </w:rPr>
        <w:t>4</w:t>
      </w:r>
      <w:r>
        <w:rPr>
          <w:rFonts w:hint="default"/>
          <w:color w:val="0000FF"/>
          <w:highlight w:val="none"/>
          <w:lang w:val="zh-TW" w:eastAsia="zh-TW"/>
        </w:rPr>
        <w:t>目</w:t>
      </w:r>
      <w:r>
        <w:rPr>
          <w:rFonts w:hint="eastAsia"/>
          <w:color w:val="0000FF"/>
          <w:highlight w:val="none"/>
          <w:lang w:val="en-US" w:eastAsia="zh-CN"/>
        </w:rPr>
        <w:t>36</w:t>
      </w:r>
      <w:r>
        <w:rPr>
          <w:rFonts w:hint="default"/>
          <w:color w:val="0000FF"/>
          <w:highlight w:val="none"/>
          <w:lang w:val="zh-TW" w:eastAsia="zh-TW"/>
        </w:rPr>
        <w:t>科</w:t>
      </w:r>
      <w:r>
        <w:rPr>
          <w:rFonts w:hint="eastAsia"/>
          <w:color w:val="0000FF"/>
          <w:highlight w:val="none"/>
          <w:lang w:val="en-US" w:eastAsia="zh-CN"/>
        </w:rPr>
        <w:t>53</w:t>
      </w:r>
      <w:r>
        <w:rPr>
          <w:rFonts w:hint="default"/>
          <w:color w:val="0000FF"/>
          <w:highlight w:val="none"/>
          <w:lang w:val="zh-TW" w:eastAsia="zh-TW"/>
        </w:rPr>
        <w:t>属</w:t>
      </w:r>
      <w:r>
        <w:rPr>
          <w:rFonts w:hint="eastAsia"/>
          <w:color w:val="0000FF"/>
          <w:highlight w:val="none"/>
          <w:lang w:val="en-US" w:eastAsia="zh-CN"/>
        </w:rPr>
        <w:t>6</w:t>
      </w:r>
      <w:r>
        <w:rPr>
          <w:rFonts w:hint="default"/>
          <w:color w:val="0000FF"/>
          <w:highlight w:val="none"/>
          <w:lang w:val="en-US" w:eastAsia="zh-CN"/>
        </w:rPr>
        <w:t>6</w:t>
      </w:r>
      <w:r>
        <w:rPr>
          <w:rFonts w:hint="default"/>
          <w:color w:val="0000FF"/>
          <w:highlight w:val="none"/>
          <w:lang w:val="zh-TW" w:eastAsia="zh-TW"/>
        </w:rPr>
        <w:t>种，包括两栖类（纲</w:t>
      </w:r>
      <w:r>
        <w:rPr>
          <w:rFonts w:hint="default"/>
          <w:color w:val="0000FF"/>
          <w:highlight w:val="none"/>
          <w:lang w:val="en-US" w:eastAsia="en-US"/>
        </w:rPr>
        <w:t>）</w:t>
      </w:r>
      <w:r>
        <w:rPr>
          <w:rFonts w:hint="default"/>
          <w:color w:val="0000FF"/>
          <w:highlight w:val="none"/>
          <w:lang w:val="zh-TW" w:eastAsia="zh-TW"/>
        </w:rPr>
        <w:t>1目</w:t>
      </w:r>
      <w:r>
        <w:rPr>
          <w:rFonts w:hint="eastAsia"/>
          <w:color w:val="0000FF"/>
          <w:highlight w:val="none"/>
          <w:lang w:val="en-US" w:eastAsia="zh-CN"/>
        </w:rPr>
        <w:t>3</w:t>
      </w:r>
      <w:r>
        <w:rPr>
          <w:rFonts w:hint="default"/>
          <w:color w:val="0000FF"/>
          <w:highlight w:val="none"/>
          <w:lang w:val="zh-TW" w:eastAsia="zh-TW"/>
        </w:rPr>
        <w:t>科</w:t>
      </w:r>
      <w:r>
        <w:rPr>
          <w:rFonts w:hint="eastAsia"/>
          <w:color w:val="0000FF"/>
          <w:highlight w:val="none"/>
          <w:lang w:val="en-US" w:eastAsia="zh-CN"/>
        </w:rPr>
        <w:t>4</w:t>
      </w:r>
      <w:r>
        <w:rPr>
          <w:rFonts w:hint="default"/>
          <w:color w:val="0000FF"/>
          <w:highlight w:val="none"/>
          <w:lang w:val="zh-TW" w:eastAsia="zh-TW"/>
        </w:rPr>
        <w:t>属</w:t>
      </w:r>
      <w:r>
        <w:rPr>
          <w:rFonts w:hint="eastAsia"/>
          <w:color w:val="0000FF"/>
          <w:highlight w:val="none"/>
          <w:lang w:val="en-US" w:eastAsia="zh-CN"/>
        </w:rPr>
        <w:t>5</w:t>
      </w:r>
      <w:r>
        <w:rPr>
          <w:rFonts w:hint="default"/>
          <w:color w:val="0000FF"/>
          <w:highlight w:val="none"/>
          <w:lang w:val="zh-TW" w:eastAsia="zh-TW"/>
        </w:rPr>
        <w:t>种；爬行类（纲</w:t>
      </w:r>
      <w:r>
        <w:rPr>
          <w:rFonts w:hint="default"/>
          <w:color w:val="0000FF"/>
          <w:highlight w:val="none"/>
          <w:lang w:val="en-US" w:eastAsia="en-US"/>
        </w:rPr>
        <w:t>）</w:t>
      </w:r>
      <w:r>
        <w:rPr>
          <w:rFonts w:hint="eastAsia"/>
          <w:color w:val="0000FF"/>
          <w:highlight w:val="none"/>
          <w:lang w:val="en-US" w:eastAsia="zh-CN"/>
        </w:rPr>
        <w:t>2</w:t>
      </w:r>
      <w:r>
        <w:rPr>
          <w:rFonts w:hint="default"/>
          <w:color w:val="0000FF"/>
          <w:highlight w:val="none"/>
          <w:lang w:val="zh-TW" w:eastAsia="zh-TW"/>
        </w:rPr>
        <w:t>目</w:t>
      </w:r>
      <w:r>
        <w:rPr>
          <w:rFonts w:hint="default"/>
          <w:color w:val="0000FF"/>
          <w:highlight w:val="none"/>
          <w:lang w:val="en-US" w:eastAsia="zh-CN"/>
        </w:rPr>
        <w:t>3</w:t>
      </w:r>
      <w:r>
        <w:rPr>
          <w:rFonts w:hint="default"/>
          <w:color w:val="0000FF"/>
          <w:highlight w:val="none"/>
          <w:lang w:val="zh-TW" w:eastAsia="zh-TW"/>
        </w:rPr>
        <w:t>科</w:t>
      </w:r>
      <w:r>
        <w:rPr>
          <w:rFonts w:hint="eastAsia"/>
          <w:color w:val="0000FF"/>
          <w:highlight w:val="none"/>
          <w:lang w:val="en-US" w:eastAsia="zh-CN"/>
        </w:rPr>
        <w:t>4</w:t>
      </w:r>
      <w:r>
        <w:rPr>
          <w:rFonts w:hint="default"/>
          <w:color w:val="0000FF"/>
          <w:highlight w:val="none"/>
          <w:lang w:val="zh-TW" w:eastAsia="zh-TW"/>
        </w:rPr>
        <w:t>属</w:t>
      </w:r>
      <w:r>
        <w:rPr>
          <w:rFonts w:hint="eastAsia"/>
          <w:color w:val="0000FF"/>
          <w:highlight w:val="none"/>
          <w:lang w:val="en-US" w:eastAsia="zh-CN"/>
        </w:rPr>
        <w:t>4</w:t>
      </w:r>
      <w:r>
        <w:rPr>
          <w:rFonts w:hint="default"/>
          <w:color w:val="0000FF"/>
          <w:highlight w:val="none"/>
          <w:lang w:val="zh-TW" w:eastAsia="zh-TW"/>
        </w:rPr>
        <w:t>种；鸟类（纲</w:t>
      </w:r>
      <w:r>
        <w:rPr>
          <w:rFonts w:hint="default"/>
          <w:color w:val="0000FF"/>
          <w:highlight w:val="none"/>
          <w:lang w:val="en-US" w:eastAsia="en-US"/>
        </w:rPr>
        <w:t>）</w:t>
      </w:r>
      <w:r>
        <w:rPr>
          <w:rFonts w:hint="default"/>
          <w:color w:val="0000FF"/>
          <w:highlight w:val="none"/>
          <w:lang w:val="en-US" w:eastAsia="zh-CN"/>
        </w:rPr>
        <w:t>8</w:t>
      </w:r>
      <w:r>
        <w:rPr>
          <w:rFonts w:hint="default"/>
          <w:color w:val="0000FF"/>
          <w:highlight w:val="none"/>
          <w:lang w:val="zh-TW" w:eastAsia="zh-TW"/>
        </w:rPr>
        <w:t>目2</w:t>
      </w:r>
      <w:r>
        <w:rPr>
          <w:rFonts w:hint="eastAsia"/>
          <w:color w:val="0000FF"/>
          <w:highlight w:val="none"/>
          <w:lang w:val="en-US" w:eastAsia="zh-CN"/>
        </w:rPr>
        <w:t>4</w:t>
      </w:r>
      <w:r>
        <w:rPr>
          <w:rFonts w:hint="default"/>
          <w:color w:val="0000FF"/>
          <w:highlight w:val="none"/>
          <w:lang w:val="zh-TW" w:eastAsia="zh-TW"/>
        </w:rPr>
        <w:t>科</w:t>
      </w:r>
      <w:r>
        <w:rPr>
          <w:rFonts w:hint="eastAsia"/>
          <w:color w:val="0000FF"/>
          <w:highlight w:val="none"/>
          <w:lang w:val="en-US" w:eastAsia="zh-CN"/>
        </w:rPr>
        <w:t>37</w:t>
      </w:r>
      <w:r>
        <w:rPr>
          <w:rFonts w:hint="default"/>
          <w:color w:val="0000FF"/>
          <w:highlight w:val="none"/>
          <w:lang w:val="zh-TW" w:eastAsia="zh-TW"/>
        </w:rPr>
        <w:t>属</w:t>
      </w:r>
      <w:r>
        <w:rPr>
          <w:rFonts w:hint="eastAsia"/>
          <w:color w:val="0000FF"/>
          <w:highlight w:val="none"/>
          <w:lang w:val="en-US" w:eastAsia="zh-CN"/>
        </w:rPr>
        <w:t>4</w:t>
      </w:r>
      <w:r>
        <w:rPr>
          <w:rFonts w:hint="default"/>
          <w:color w:val="0000FF"/>
          <w:highlight w:val="none"/>
          <w:lang w:val="en-US" w:eastAsia="zh-CN"/>
        </w:rPr>
        <w:t>7</w:t>
      </w:r>
      <w:r>
        <w:rPr>
          <w:rFonts w:hint="default"/>
          <w:color w:val="0000FF"/>
          <w:highlight w:val="none"/>
          <w:lang w:val="zh-TW" w:eastAsia="zh-TW"/>
        </w:rPr>
        <w:t>种；哺乳类（纲</w:t>
      </w:r>
      <w:r>
        <w:rPr>
          <w:rFonts w:hint="default"/>
          <w:color w:val="0000FF"/>
          <w:highlight w:val="none"/>
          <w:lang w:val="en-US" w:eastAsia="en-US"/>
        </w:rPr>
        <w:t>）</w:t>
      </w:r>
      <w:r>
        <w:rPr>
          <w:rFonts w:hint="eastAsia"/>
          <w:color w:val="0000FF"/>
          <w:highlight w:val="none"/>
          <w:lang w:val="en-US" w:eastAsia="zh-CN"/>
        </w:rPr>
        <w:t>3</w:t>
      </w:r>
      <w:r>
        <w:rPr>
          <w:rFonts w:hint="default"/>
          <w:color w:val="0000FF"/>
          <w:highlight w:val="none"/>
          <w:lang w:val="zh-TW" w:eastAsia="zh-TW"/>
        </w:rPr>
        <w:t>目</w:t>
      </w:r>
      <w:r>
        <w:rPr>
          <w:rFonts w:hint="eastAsia"/>
          <w:color w:val="0000FF"/>
          <w:highlight w:val="none"/>
          <w:lang w:val="en-US" w:eastAsia="zh-CN"/>
        </w:rPr>
        <w:t>6</w:t>
      </w:r>
      <w:r>
        <w:rPr>
          <w:rFonts w:hint="default"/>
          <w:color w:val="0000FF"/>
          <w:highlight w:val="none"/>
          <w:lang w:val="zh-TW" w:eastAsia="zh-TW"/>
        </w:rPr>
        <w:t>科</w:t>
      </w:r>
      <w:r>
        <w:rPr>
          <w:rFonts w:hint="eastAsia"/>
          <w:color w:val="0000FF"/>
          <w:highlight w:val="none"/>
          <w:lang w:val="en-US" w:eastAsia="zh-CN"/>
        </w:rPr>
        <w:t>8</w:t>
      </w:r>
      <w:r>
        <w:rPr>
          <w:rFonts w:hint="default"/>
          <w:color w:val="0000FF"/>
          <w:highlight w:val="none"/>
          <w:lang w:val="zh-TW" w:eastAsia="zh-TW"/>
        </w:rPr>
        <w:t>属</w:t>
      </w:r>
      <w:r>
        <w:rPr>
          <w:rFonts w:hint="eastAsia"/>
          <w:color w:val="0000FF"/>
          <w:highlight w:val="none"/>
          <w:lang w:val="en-US" w:eastAsia="zh-CN"/>
        </w:rPr>
        <w:t>9</w:t>
      </w:r>
      <w:r>
        <w:rPr>
          <w:rFonts w:hint="default"/>
          <w:color w:val="0000FF"/>
          <w:highlight w:val="none"/>
          <w:lang w:val="zh-TW" w:eastAsia="zh-TW"/>
        </w:rPr>
        <w:t>种。</w:t>
      </w:r>
    </w:p>
    <w:p>
      <w:pPr>
        <w:keepNext w:val="0"/>
        <w:keepLines w:val="0"/>
        <w:pageBreakBefore w:val="0"/>
        <w:widowControl w:val="0"/>
        <w:numPr>
          <w:ilvl w:val="3"/>
          <w:numId w:val="0"/>
        </w:numPr>
        <w:tabs>
          <w:tab w:val="left" w:pos="0"/>
          <w:tab w:val="left" w:pos="283"/>
        </w:tabs>
        <w:kinsoku/>
        <w:wordWrap/>
        <w:overflowPunct/>
        <w:topLinePunct w:val="0"/>
        <w:autoSpaceDE/>
        <w:autoSpaceDN/>
        <w:bidi w:val="0"/>
        <w:adjustRightInd/>
        <w:snapToGrid w:val="0"/>
        <w:ind w:left="0" w:leftChars="0" w:firstLine="480" w:firstLineChars="200"/>
        <w:textAlignment w:val="auto"/>
        <w:outlineLvl w:val="9"/>
        <w:rPr>
          <w:rFonts w:hint="default" w:ascii="Times New Roman" w:hAnsi="Times New Roman" w:cs="Times New Roman"/>
          <w:color w:val="0000FF"/>
          <w:highlight w:val="none"/>
          <w:lang w:val="zh-TW" w:eastAsia="zh-CN"/>
        </w:rPr>
      </w:pPr>
      <w:r>
        <w:rPr>
          <w:rFonts w:hint="default" w:ascii="Times New Roman" w:hAnsi="Times New Roman" w:cs="Times New Roman"/>
          <w:color w:val="auto"/>
          <w:highlight w:val="none"/>
          <w:lang w:val="zh-TW" w:eastAsia="zh-TW"/>
        </w:rPr>
        <w:t>根据《国家重点保护野生动物名录》</w:t>
      </w:r>
      <w:r>
        <w:rPr>
          <w:rFonts w:hint="default" w:ascii="Times New Roman" w:hAnsi="Times New Roman" w:cs="Times New Roman"/>
          <w:color w:val="auto"/>
          <w:highlight w:val="none"/>
          <w:lang w:val="en-US" w:eastAsia="en-US"/>
        </w:rPr>
        <w:t>（2021</w:t>
      </w:r>
      <w:r>
        <w:rPr>
          <w:rFonts w:hint="default" w:ascii="Times New Roman" w:hAnsi="Times New Roman" w:cs="Times New Roman"/>
          <w:color w:val="auto"/>
          <w:highlight w:val="none"/>
          <w:lang w:val="zh-TW" w:eastAsia="zh-TW"/>
        </w:rPr>
        <w:t>年）、《云南省省级重点保护野生动物名录》</w:t>
      </w:r>
      <w:r>
        <w:rPr>
          <w:rFonts w:hint="default" w:ascii="Times New Roman" w:hAnsi="Times New Roman" w:cs="Times New Roman"/>
          <w:color w:val="auto"/>
          <w:highlight w:val="none"/>
          <w:lang w:val="en-US" w:eastAsia="en-US"/>
        </w:rPr>
        <w:t>（1988</w:t>
      </w:r>
      <w:r>
        <w:rPr>
          <w:rFonts w:hint="default" w:ascii="Times New Roman" w:hAnsi="Times New Roman" w:cs="Times New Roman"/>
          <w:color w:val="auto"/>
          <w:highlight w:val="none"/>
          <w:lang w:val="zh-TW" w:eastAsia="zh-TW"/>
        </w:rPr>
        <w:t>年）</w:t>
      </w:r>
      <w:r>
        <w:rPr>
          <w:rFonts w:hint="default" w:ascii="Times New Roman" w:hAnsi="Times New Roman" w:cs="Times New Roman"/>
          <w:color w:val="auto"/>
          <w:highlight w:val="none"/>
          <w:lang w:val="en-US" w:eastAsia="zh-CN"/>
        </w:rPr>
        <w:t>和</w:t>
      </w:r>
      <w:r>
        <w:rPr>
          <w:rFonts w:hint="default" w:ascii="Times New Roman" w:hAnsi="Times New Roman" w:cs="Times New Roman"/>
          <w:color w:val="auto"/>
          <w:highlight w:val="none"/>
          <w:lang w:val="zh-TW" w:eastAsia="zh-TW"/>
        </w:rPr>
        <w:t>《中国生物多样性红色名录一脊椎动物卷》</w:t>
      </w:r>
      <w:r>
        <w:rPr>
          <w:rFonts w:hint="default" w:ascii="Times New Roman" w:hAnsi="Times New Roman" w:cs="Times New Roman"/>
          <w:color w:val="auto"/>
          <w:highlight w:val="none"/>
          <w:lang w:val="en-US" w:eastAsia="en-US"/>
        </w:rPr>
        <w:t>（20</w:t>
      </w:r>
      <w:r>
        <w:rPr>
          <w:rFonts w:hint="default" w:ascii="Times New Roman" w:hAnsi="Times New Roman" w:cs="Times New Roman"/>
          <w:color w:val="auto"/>
          <w:highlight w:val="none"/>
          <w:lang w:val="en-US" w:eastAsia="zh-CN"/>
        </w:rPr>
        <w:t>20</w:t>
      </w:r>
      <w:r>
        <w:rPr>
          <w:rFonts w:hint="default" w:ascii="Times New Roman" w:hAnsi="Times New Roman" w:cs="Times New Roman"/>
          <w:color w:val="auto"/>
          <w:highlight w:val="none"/>
          <w:lang w:val="zh-TW" w:eastAsia="zh-TW"/>
        </w:rPr>
        <w:t>年），调查区共记录珍稀、濒危和保护动物</w:t>
      </w:r>
      <w:r>
        <w:rPr>
          <w:rFonts w:hint="eastAsia" w:cs="Times New Roman"/>
          <w:color w:val="0000FF"/>
          <w:highlight w:val="none"/>
          <w:lang w:val="en-US" w:eastAsia="zh-CN"/>
        </w:rPr>
        <w:t>2</w:t>
      </w:r>
      <w:r>
        <w:rPr>
          <w:rFonts w:hint="default" w:ascii="Times New Roman" w:hAnsi="Times New Roman" w:cs="Times New Roman"/>
          <w:color w:val="0000FF"/>
          <w:highlight w:val="none"/>
          <w:lang w:val="zh-TW" w:eastAsia="zh-TW"/>
        </w:rPr>
        <w:t>种</w:t>
      </w:r>
      <w:r>
        <w:rPr>
          <w:rFonts w:hint="default" w:ascii="Times New Roman" w:hAnsi="Times New Roman" w:cs="Times New Roman"/>
          <w:color w:val="0000FF"/>
          <w:highlight w:val="none"/>
          <w:lang w:val="zh-TW" w:eastAsia="zh-CN"/>
        </w:rPr>
        <w:t>：</w:t>
      </w:r>
      <w:r>
        <w:rPr>
          <w:rFonts w:hint="default" w:ascii="Times New Roman" w:hAnsi="Times New Roman" w:cs="Times New Roman"/>
          <w:color w:val="0000FF"/>
          <w:highlight w:val="none"/>
          <w:lang w:val="zh-TW" w:eastAsia="zh-TW"/>
        </w:rPr>
        <w:t>红隼</w:t>
      </w:r>
      <w:r>
        <w:rPr>
          <w:rFonts w:hint="default" w:ascii="Times New Roman" w:hAnsi="Times New Roman" w:cs="Times New Roman"/>
          <w:color w:val="0000FF"/>
          <w:highlight w:val="none"/>
          <w:lang w:val="en-US" w:eastAsia="zh-CN"/>
        </w:rPr>
        <w:t>、</w:t>
      </w:r>
      <w:r>
        <w:rPr>
          <w:rFonts w:hint="default" w:ascii="Times New Roman" w:hAnsi="Times New Roman" w:cs="Times New Roman"/>
          <w:color w:val="0000FF"/>
          <w:highlight w:val="none"/>
          <w:lang w:val="zh-TW" w:eastAsia="zh-TW"/>
        </w:rPr>
        <w:t>黑翅鸢</w:t>
      </w:r>
      <w:r>
        <w:rPr>
          <w:rFonts w:hint="default" w:ascii="Times New Roman" w:hAnsi="Times New Roman" w:cs="Times New Roman"/>
          <w:color w:val="0000FF"/>
          <w:highlight w:val="none"/>
          <w:lang w:val="en-US" w:eastAsia="zh-CN"/>
        </w:rPr>
        <w:t>均为</w:t>
      </w:r>
      <w:r>
        <w:rPr>
          <w:rFonts w:hint="default" w:ascii="Times New Roman" w:hAnsi="Times New Roman" w:cs="Times New Roman"/>
          <w:color w:val="0000FF"/>
          <w:highlight w:val="none"/>
          <w:lang w:val="zh-TW" w:eastAsia="zh-TW"/>
        </w:rPr>
        <w:t>国家二级保护动物</w:t>
      </w:r>
      <w:r>
        <w:rPr>
          <w:rFonts w:hint="default" w:ascii="Times New Roman" w:hAnsi="Times New Roman" w:cs="Times New Roman"/>
          <w:color w:val="0000FF"/>
          <w:highlight w:val="none"/>
          <w:lang w:val="zh-TW"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default" w:ascii="Times New Roman" w:hAnsi="Times New Roman" w:eastAsia="宋体" w:cs="Times New Roman"/>
          <w:color w:val="auto"/>
          <w:sz w:val="24"/>
          <w:szCs w:val="24"/>
          <w:highlight w:val="none"/>
          <w:lang w:val="en-US" w:eastAsia="en-US"/>
        </w:rPr>
        <w:t>评价区内人类的开发程度高，生境类型简单，交通与人为生产活动频繁，原生的植被己被人为活动严重干扰，植被结构呈现人工农田植被和次生自然植被交错镶嵌格局，不合适大中型野生动物生存。此外，受人工干扰较大，导致评价区内野生动物的种类和数量均较少。</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default" w:ascii="Times New Roman" w:hAnsi="Times New Roman" w:eastAsia="宋体" w:cs="Times New Roman"/>
          <w:color w:val="0000FF"/>
          <w:sz w:val="24"/>
          <w:szCs w:val="24"/>
          <w:highlight w:val="none"/>
          <w:lang w:val="en-US" w:eastAsia="en-US"/>
        </w:rPr>
        <w:t>项目建成后，泵站、</w:t>
      </w:r>
      <w:r>
        <w:rPr>
          <w:rFonts w:hint="default" w:ascii="Times New Roman" w:hAnsi="Times New Roman" w:eastAsia="宋体" w:cs="Times New Roman"/>
          <w:color w:val="0000FF"/>
          <w:sz w:val="24"/>
          <w:szCs w:val="24"/>
          <w:highlight w:val="none"/>
          <w:lang w:val="en-US" w:eastAsia="zh-CN"/>
        </w:rPr>
        <w:t>水池</w:t>
      </w:r>
      <w:r>
        <w:rPr>
          <w:rFonts w:hint="default" w:ascii="Times New Roman" w:hAnsi="Times New Roman" w:eastAsia="宋体" w:cs="Times New Roman"/>
          <w:color w:val="0000FF"/>
          <w:sz w:val="24"/>
          <w:szCs w:val="24"/>
          <w:highlight w:val="none"/>
          <w:lang w:val="en-US" w:eastAsia="en-US"/>
        </w:rPr>
        <w:t>等</w:t>
      </w:r>
      <w:r>
        <w:rPr>
          <w:rFonts w:hint="eastAsia" w:cs="Times New Roman"/>
          <w:color w:val="0000FF"/>
          <w:sz w:val="24"/>
          <w:szCs w:val="24"/>
          <w:highlight w:val="none"/>
          <w:lang w:val="en-US" w:eastAsia="zh-CN"/>
        </w:rPr>
        <w:t>虽</w:t>
      </w:r>
      <w:r>
        <w:rPr>
          <w:rFonts w:hint="default" w:ascii="Times New Roman" w:hAnsi="Times New Roman" w:eastAsia="宋体" w:cs="Times New Roman"/>
          <w:color w:val="0000FF"/>
          <w:sz w:val="24"/>
          <w:szCs w:val="24"/>
          <w:highlight w:val="none"/>
          <w:lang w:val="en-US" w:eastAsia="en-US"/>
        </w:rPr>
        <w:t>为永久性</w:t>
      </w:r>
      <w:r>
        <w:rPr>
          <w:rFonts w:hint="eastAsia" w:cs="Times New Roman"/>
          <w:color w:val="0000FF"/>
          <w:sz w:val="24"/>
          <w:szCs w:val="24"/>
          <w:highlight w:val="none"/>
          <w:lang w:val="en-US" w:eastAsia="zh-CN"/>
        </w:rPr>
        <w:t>构筑物</w:t>
      </w:r>
      <w:r>
        <w:rPr>
          <w:rFonts w:hint="default" w:ascii="Times New Roman" w:hAnsi="Times New Roman" w:eastAsia="宋体" w:cs="Times New Roman"/>
          <w:color w:val="0000FF"/>
          <w:sz w:val="24"/>
          <w:szCs w:val="24"/>
          <w:highlight w:val="none"/>
          <w:lang w:val="en-US" w:eastAsia="en-US"/>
        </w:rPr>
        <w:t>，</w:t>
      </w:r>
      <w:r>
        <w:rPr>
          <w:rFonts w:hint="eastAsia" w:cs="Times New Roman"/>
          <w:color w:val="0000FF"/>
          <w:sz w:val="24"/>
          <w:szCs w:val="24"/>
          <w:highlight w:val="none"/>
          <w:lang w:val="en-US" w:eastAsia="zh-CN"/>
        </w:rPr>
        <w:t>但</w:t>
      </w:r>
      <w:r>
        <w:rPr>
          <w:rFonts w:hint="default" w:ascii="Times New Roman" w:hAnsi="Times New Roman" w:eastAsia="宋体" w:cs="Times New Roman"/>
          <w:color w:val="auto"/>
          <w:sz w:val="24"/>
          <w:szCs w:val="24"/>
          <w:highlight w:val="none"/>
          <w:lang w:val="en-US" w:eastAsia="en-US"/>
        </w:rPr>
        <w:t>对于善于飞行的鸟类动物而言所产生的阻隔效应不明显。但是对于两栖类、爬行类和哺乳类动物而言，由于活动主要在地面进行，项目的建设对其地面的运动将造成一定的障碍。但项目但占地面积较小，工程主要为提水管线但阻隔，并非无法跨越，因此，本项目运营期对于陆生动物的隔离效应较建设前增加不显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FF"/>
          <w:sz w:val="24"/>
          <w:szCs w:val="24"/>
          <w:highlight w:val="none"/>
          <w:lang w:val="en-US" w:eastAsia="en-US"/>
        </w:rPr>
      </w:pPr>
      <w:r>
        <w:rPr>
          <w:rFonts w:hint="default" w:ascii="Times New Roman" w:hAnsi="Times New Roman" w:eastAsia="宋体" w:cs="Times New Roman"/>
          <w:color w:val="0000FF"/>
          <w:sz w:val="24"/>
          <w:szCs w:val="24"/>
          <w:highlight w:val="none"/>
          <w:lang w:val="en-US" w:eastAsia="en-US"/>
        </w:rPr>
        <w:t>项目建成后，施工人员和设备将退出该区域，将不会再有</w:t>
      </w:r>
      <w:r>
        <w:rPr>
          <w:rFonts w:hint="eastAsia" w:cs="Times New Roman"/>
          <w:color w:val="0000FF"/>
          <w:sz w:val="24"/>
          <w:szCs w:val="24"/>
          <w:highlight w:val="none"/>
          <w:lang w:val="en-US" w:eastAsia="zh-CN"/>
        </w:rPr>
        <w:t>施工</w:t>
      </w:r>
      <w:r>
        <w:rPr>
          <w:rFonts w:hint="default" w:ascii="Times New Roman" w:hAnsi="Times New Roman" w:eastAsia="宋体" w:cs="Times New Roman"/>
          <w:color w:val="0000FF"/>
          <w:sz w:val="24"/>
          <w:szCs w:val="24"/>
          <w:highlight w:val="none"/>
          <w:lang w:val="en-US" w:eastAsia="en-US"/>
        </w:rPr>
        <w:t>噪声产生，</w:t>
      </w:r>
      <w:r>
        <w:rPr>
          <w:rFonts w:hint="eastAsia" w:cs="Times New Roman"/>
          <w:color w:val="0000FF"/>
          <w:sz w:val="24"/>
          <w:szCs w:val="24"/>
          <w:highlight w:val="none"/>
          <w:lang w:val="en-US" w:eastAsia="zh-CN"/>
        </w:rPr>
        <w:t>运营期管道为埋管，几乎无噪声产生。水泵运行噪声仅集中在泵房周边，该区域主要为农田，陆生动物分布种类及数量较少且均有趋避能力</w:t>
      </w:r>
      <w:r>
        <w:rPr>
          <w:rFonts w:hint="default" w:ascii="Times New Roman" w:hAnsi="Times New Roman" w:eastAsia="宋体" w:cs="Times New Roman"/>
          <w:color w:val="0000FF"/>
          <w:sz w:val="24"/>
          <w:szCs w:val="24"/>
          <w:highlight w:val="none"/>
          <w:lang w:val="en-US" w:eastAsia="en-US"/>
        </w:rPr>
        <w:t>。</w:t>
      </w:r>
    </w:p>
    <w:p>
      <w:pPr>
        <w:keepNext w:val="0"/>
        <w:keepLines w:val="0"/>
        <w:pageBreakBefore w:val="0"/>
        <w:widowControl w:val="0"/>
        <w:numPr>
          <w:ilvl w:val="3"/>
          <w:numId w:val="0"/>
        </w:numPr>
        <w:tabs>
          <w:tab w:val="left" w:pos="0"/>
          <w:tab w:val="left" w:pos="283"/>
        </w:tabs>
        <w:kinsoku/>
        <w:wordWrap/>
        <w:overflowPunct/>
        <w:topLinePunct w:val="0"/>
        <w:autoSpaceDE/>
        <w:autoSpaceDN/>
        <w:bidi w:val="0"/>
        <w:adjustRightInd/>
        <w:snapToGrid w:val="0"/>
        <w:ind w:left="0" w:leftChars="0" w:firstLine="480" w:firstLineChars="200"/>
        <w:textAlignment w:val="auto"/>
        <w:outlineLvl w:val="9"/>
        <w:rPr>
          <w:color w:val="auto"/>
          <w:sz w:val="24"/>
          <w:highlight w:val="none"/>
        </w:rPr>
      </w:pPr>
      <w:r>
        <w:rPr>
          <w:rFonts w:hint="default" w:ascii="Times New Roman" w:hAnsi="Times New Roman" w:eastAsia="宋体" w:cs="Times New Roman"/>
          <w:color w:val="auto"/>
          <w:sz w:val="24"/>
          <w:szCs w:val="24"/>
          <w:highlight w:val="none"/>
          <w:lang w:val="en-US" w:eastAsia="en-US"/>
        </w:rPr>
        <w:t>上述不良影响对于陆生动物在长期来看不会造成种群数量的下降，其影响的性质并不严重，不会造成动物种类的灭绝，也不会使动物在这一区域绝迹。不利的影响也可以通过采取有针对性的措施而加以减缓、消除。</w:t>
      </w:r>
      <w:r>
        <w:rPr>
          <w:color w:val="auto"/>
          <w:sz w:val="24"/>
          <w:highlight w:val="none"/>
        </w:rPr>
        <w:t>从整体上说，工程建设将使动物的栖息和活动场所</w:t>
      </w:r>
      <w:r>
        <w:rPr>
          <w:rFonts w:hint="eastAsia"/>
          <w:color w:val="auto"/>
          <w:sz w:val="24"/>
          <w:highlight w:val="none"/>
        </w:rPr>
        <w:t>不同程度减小</w:t>
      </w:r>
      <w:r>
        <w:rPr>
          <w:color w:val="auto"/>
          <w:sz w:val="24"/>
          <w:highlight w:val="none"/>
        </w:rPr>
        <w:t>，如小型穴居兽类和爬行类的洞穴、鸟类巢区的生境遭到破坏后，少数动物的繁殖将有可能受到一定影响。结果迫使原栖息在这一带的动物迁往其他生境适宜的地区，但不会导致任何物种的消失。两栖类动物会受到一定影响，种群在一段时间内将会有大的波动，最后随着工程建设的结束，生态环境逐渐恢复，种群又会得以恢复。整个工程的实施对野生动物影响以间接影响为主，对这些动物产生的影响不会导致其在当地的灭绝和</w:t>
      </w:r>
      <w:r>
        <w:rPr>
          <w:rFonts w:hint="eastAsia"/>
          <w:color w:val="auto"/>
          <w:sz w:val="24"/>
          <w:highlight w:val="none"/>
        </w:rPr>
        <w:t>种群</w:t>
      </w:r>
      <w:r>
        <w:rPr>
          <w:color w:val="auto"/>
          <w:sz w:val="24"/>
          <w:highlight w:val="none"/>
        </w:rPr>
        <w:t>密度大幅下降。</w:t>
      </w:r>
    </w:p>
    <w:p>
      <w:pPr>
        <w:pStyle w:val="5"/>
        <w:numPr>
          <w:ilvl w:val="3"/>
          <w:numId w:val="2"/>
        </w:numPr>
        <w:bidi w:val="0"/>
        <w:ind w:left="480" w:leftChars="0" w:firstLineChars="0"/>
        <w:rPr>
          <w:rFonts w:hint="default" w:ascii="Times New Roman" w:hAnsi="Times New Roman" w:cs="Times New Roman"/>
          <w:b/>
          <w:snapToGrid w:val="0"/>
          <w:color w:val="auto"/>
          <w:kern w:val="0"/>
          <w:sz w:val="28"/>
          <w:szCs w:val="28"/>
          <w:highlight w:val="none"/>
          <w:lang w:val="en-US" w:eastAsia="zh-CN" w:bidi="ar-SA"/>
        </w:rPr>
      </w:pPr>
      <w:r>
        <w:rPr>
          <w:rFonts w:hint="eastAsia" w:ascii="Times New Roman" w:hAnsi="Times New Roman" w:cs="Times New Roman"/>
          <w:b/>
          <w:snapToGrid w:val="0"/>
          <w:color w:val="auto"/>
          <w:kern w:val="0"/>
          <w:sz w:val="28"/>
          <w:szCs w:val="28"/>
          <w:highlight w:val="none"/>
          <w:lang w:val="en-US" w:eastAsia="zh-CN" w:bidi="ar-SA"/>
        </w:rPr>
        <w:t>水生生态环境影响</w:t>
      </w:r>
    </w:p>
    <w:p>
      <w:pPr>
        <w:keepNext w:val="0"/>
        <w:keepLines w:val="0"/>
        <w:pageBreakBefore w:val="0"/>
        <w:widowControl/>
        <w:suppressLineNumbers w:val="0"/>
        <w:kinsoku/>
        <w:wordWrap/>
        <w:overflowPunct/>
        <w:topLinePunct w:val="0"/>
        <w:autoSpaceDE/>
        <w:autoSpaceDN/>
        <w:bidi w:val="0"/>
        <w:adjustRightInd/>
        <w:snapToGrid w:val="0"/>
        <w:ind w:firstLine="482" w:firstLineChars="200"/>
        <w:jc w:val="left"/>
        <w:textAlignment w:val="auto"/>
        <w:rPr>
          <w:rFonts w:hint="default" w:ascii="宋体" w:hAnsi="宋体" w:eastAsia="宋体" w:cs="宋体"/>
          <w:b/>
          <w:bCs/>
          <w:color w:val="0000FF"/>
          <w:kern w:val="0"/>
          <w:sz w:val="24"/>
          <w:szCs w:val="24"/>
          <w:lang w:val="en-US" w:eastAsia="zh-CN" w:bidi="ar"/>
        </w:rPr>
      </w:pPr>
      <w:r>
        <w:rPr>
          <w:rFonts w:hint="eastAsia" w:ascii="宋体" w:hAnsi="宋体" w:cs="宋体"/>
          <w:b/>
          <w:bCs/>
          <w:color w:val="0000FF"/>
          <w:kern w:val="0"/>
          <w:sz w:val="24"/>
          <w:szCs w:val="24"/>
          <w:lang w:val="en-US" w:eastAsia="zh-CN" w:bidi="ar"/>
        </w:rPr>
        <w:t>1、受水区水生态环境影响</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就目前调查情况，项目区水资源开发历史悠久，水库建设较密集，多建于山间</w:t>
      </w:r>
      <w:r>
        <w:rPr>
          <w:rFonts w:hint="eastAsia" w:ascii="宋体" w:hAnsi="宋体" w:eastAsia="宋体" w:cs="宋体"/>
          <w:color w:val="auto"/>
          <w:kern w:val="0"/>
          <w:sz w:val="24"/>
          <w:szCs w:val="24"/>
          <w:highlight w:val="none"/>
          <w:lang w:val="en-US" w:eastAsia="zh-CN" w:bidi="ar"/>
        </w:rPr>
        <w:t>溪流上，旱季因水库闭闸基本呈脱水或少量流水状态，基本无鱼类分布。评价区调查到</w:t>
      </w:r>
      <w:r>
        <w:rPr>
          <w:rFonts w:hint="default"/>
          <w:color w:val="auto"/>
          <w:highlight w:val="none"/>
          <w:lang w:val="zh-TW" w:eastAsia="zh-TW"/>
        </w:rPr>
        <w:t>有3科8属9种鱼类</w:t>
      </w:r>
      <w:r>
        <w:rPr>
          <w:rFonts w:hint="eastAsia" w:ascii="宋体" w:hAnsi="宋体" w:eastAsia="宋体" w:cs="宋体"/>
          <w:color w:val="auto"/>
          <w:kern w:val="0"/>
          <w:sz w:val="24"/>
          <w:szCs w:val="24"/>
          <w:highlight w:val="none"/>
          <w:lang w:val="en-US" w:eastAsia="zh-CN" w:bidi="ar"/>
        </w:rPr>
        <w:t>，主要分布于受水区水库库区及退水区域河流范围内</w:t>
      </w:r>
      <w:r>
        <w:rPr>
          <w:rFonts w:hint="eastAsia" w:ascii="宋体" w:hAnsi="宋体" w:eastAsia="宋体" w:cs="宋体"/>
          <w:color w:val="auto"/>
          <w:kern w:val="0"/>
          <w:sz w:val="24"/>
          <w:szCs w:val="24"/>
          <w:lang w:val="en-US" w:eastAsia="zh-CN" w:bidi="ar"/>
        </w:rPr>
        <w:t>，</w:t>
      </w:r>
      <w:r>
        <w:rPr>
          <w:rFonts w:hint="eastAsia" w:ascii="宋体" w:hAnsi="宋体" w:cs="宋体"/>
          <w:color w:val="auto"/>
          <w:kern w:val="0"/>
          <w:sz w:val="24"/>
          <w:szCs w:val="24"/>
          <w:lang w:val="en-US" w:eastAsia="zh-CN" w:bidi="ar"/>
        </w:rPr>
        <w:t>受水</w:t>
      </w:r>
      <w:r>
        <w:rPr>
          <w:rFonts w:hint="eastAsia" w:ascii="宋体" w:hAnsi="宋体" w:eastAsia="宋体" w:cs="宋体"/>
          <w:color w:val="auto"/>
          <w:kern w:val="0"/>
          <w:sz w:val="24"/>
          <w:szCs w:val="24"/>
          <w:lang w:val="en-US" w:eastAsia="zh-CN" w:bidi="ar"/>
        </w:rPr>
        <w:t>水库内以人工放养的鲢、鲤、鲫、草鱼等喜缓流型常见鱼类为主，河流中多见喜湍流鱼类为主，均未调查到珍稀鱼类、特有鱼类、长距离洄游性鱼类及鱼类</w:t>
      </w:r>
      <w:r>
        <w:rPr>
          <w:rFonts w:hint="eastAsia"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三场</w:t>
      </w:r>
      <w:r>
        <w:rPr>
          <w:rFonts w:hint="eastAsia"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（越冬场、产卵场、索饵场）分布。工程退水对受水区河流水文情势的影响不大，对受水区鱼类生存环境的影响较为有限。</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Times New Roman" w:hAnsi="Times New Roman" w:eastAsia="宋体" w:cs="Times New Roman"/>
          <w:color w:val="0000FF"/>
          <w:sz w:val="24"/>
          <w:highlight w:val="none"/>
          <w:lang w:val="en-US" w:eastAsia="zh-CN"/>
        </w:rPr>
        <w:t>运行期对河道的水文情势影响（如水深、水位）不明显，所以对生物种类和资源量影响也较小；相反由于下泄生态流量的增加，使枯水年、特枯水年的原脱水、减水河段不再断流，对沿线河道水生态环境起到较好的保护作用，可以大大减少河道沿岸带生长的挺水植物、沉水植物生物量的损失，对水生生物多样性带来有利影响。</w:t>
      </w:r>
    </w:p>
    <w:p>
      <w:pPr>
        <w:keepNext w:val="0"/>
        <w:keepLines w:val="0"/>
        <w:pageBreakBefore w:val="0"/>
        <w:widowControl/>
        <w:suppressLineNumbers w:val="0"/>
        <w:kinsoku/>
        <w:wordWrap/>
        <w:overflowPunct/>
        <w:topLinePunct w:val="0"/>
        <w:autoSpaceDE/>
        <w:autoSpaceDN/>
        <w:bidi w:val="0"/>
        <w:adjustRightInd/>
        <w:snapToGrid w:val="0"/>
        <w:ind w:firstLine="482" w:firstLineChars="200"/>
        <w:jc w:val="left"/>
        <w:textAlignment w:val="auto"/>
        <w:rPr>
          <w:rFonts w:hint="default" w:cs="Times New Roman"/>
          <w:b/>
          <w:bCs/>
          <w:color w:val="0000FF"/>
          <w:sz w:val="24"/>
          <w:highlight w:val="none"/>
          <w:lang w:val="en-US" w:eastAsia="zh-CN"/>
        </w:rPr>
      </w:pPr>
      <w:r>
        <w:rPr>
          <w:rFonts w:hint="eastAsia" w:cs="Times New Roman"/>
          <w:b/>
          <w:bCs/>
          <w:color w:val="0000FF"/>
          <w:sz w:val="24"/>
          <w:highlight w:val="none"/>
          <w:lang w:val="en-US" w:eastAsia="zh-CN"/>
        </w:rPr>
        <w:t>2、跨河段水文情势影响分析</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rFonts w:hint="default" w:ascii="Times New Roman" w:hAnsi="Times New Roman" w:eastAsia="宋体" w:cs="Times New Roman"/>
          <w:color w:val="0000FF"/>
          <w:sz w:val="24"/>
          <w:highlight w:val="none"/>
          <w:lang w:val="en-US" w:eastAsia="zh-CN"/>
        </w:rPr>
      </w:pPr>
      <w:r>
        <w:rPr>
          <w:rFonts w:hint="eastAsia" w:cs="Times New Roman"/>
          <w:color w:val="0000FF"/>
          <w:sz w:val="24"/>
          <w:highlight w:val="none"/>
          <w:lang w:val="en-US" w:eastAsia="zh-CN"/>
        </w:rPr>
        <w:t>本项目管道共有2处跨越河流：北干管K7+845~K7+855管段跨姜驿河；金马分干管K1+711~K1+720段跨沙沟箐。根据施工计划：北干管于</w:t>
      </w:r>
      <w:r>
        <w:rPr>
          <w:rFonts w:hint="eastAsia" w:ascii="Times New Roman" w:hAnsi="Times New Roman" w:eastAsia="宋体" w:cs="Times New Roman"/>
          <w:color w:val="0000FF"/>
          <w:sz w:val="24"/>
          <w:highlight w:val="none"/>
          <w:lang w:val="en-US" w:eastAsia="zh-CN"/>
        </w:rPr>
        <w:t>第一年11月开始</w:t>
      </w:r>
      <w:r>
        <w:rPr>
          <w:rFonts w:hint="eastAsia" w:cs="Times New Roman"/>
          <w:color w:val="0000FF"/>
          <w:sz w:val="24"/>
          <w:highlight w:val="none"/>
          <w:lang w:val="en-US" w:eastAsia="zh-CN"/>
        </w:rPr>
        <w:t>施工</w:t>
      </w:r>
      <w:r>
        <w:rPr>
          <w:rFonts w:hint="eastAsia" w:ascii="Times New Roman" w:hAnsi="Times New Roman" w:eastAsia="宋体" w:cs="Times New Roman"/>
          <w:color w:val="0000FF"/>
          <w:sz w:val="24"/>
          <w:highlight w:val="none"/>
          <w:lang w:val="en-US" w:eastAsia="zh-CN"/>
        </w:rPr>
        <w:t>，第三年1月底完成管道铺设施工</w:t>
      </w:r>
      <w:r>
        <w:rPr>
          <w:rFonts w:hint="eastAsia" w:cs="Times New Roman"/>
          <w:color w:val="0000FF"/>
          <w:sz w:val="24"/>
          <w:highlight w:val="none"/>
          <w:lang w:val="en-US" w:eastAsia="zh-CN"/>
        </w:rPr>
        <w:t>；</w:t>
      </w:r>
      <w:r>
        <w:rPr>
          <w:rFonts w:hint="eastAsia" w:ascii="Times New Roman" w:hAnsi="Times New Roman" w:eastAsia="宋体" w:cs="Times New Roman"/>
          <w:color w:val="0000FF"/>
          <w:sz w:val="24"/>
          <w:highlight w:val="none"/>
          <w:lang w:val="en-US" w:eastAsia="zh-CN"/>
        </w:rPr>
        <w:t>金马分干管</w:t>
      </w:r>
      <w:r>
        <w:rPr>
          <w:rFonts w:hint="eastAsia" w:cs="Times New Roman"/>
          <w:color w:val="0000FF"/>
          <w:sz w:val="24"/>
          <w:highlight w:val="none"/>
          <w:lang w:val="en-US" w:eastAsia="zh-CN"/>
        </w:rPr>
        <w:t>于</w:t>
      </w:r>
      <w:r>
        <w:rPr>
          <w:rFonts w:hint="eastAsia" w:ascii="Times New Roman" w:hAnsi="Times New Roman" w:eastAsia="宋体" w:cs="Times New Roman"/>
          <w:color w:val="0000FF"/>
          <w:sz w:val="24"/>
          <w:highlight w:val="none"/>
          <w:lang w:val="en-US" w:eastAsia="zh-CN"/>
        </w:rPr>
        <w:t>第一年11月开始</w:t>
      </w:r>
      <w:r>
        <w:rPr>
          <w:rFonts w:hint="eastAsia" w:cs="Times New Roman"/>
          <w:color w:val="0000FF"/>
          <w:sz w:val="24"/>
          <w:highlight w:val="none"/>
          <w:lang w:val="en-US" w:eastAsia="zh-CN"/>
        </w:rPr>
        <w:t>施工</w:t>
      </w:r>
      <w:r>
        <w:rPr>
          <w:rFonts w:hint="eastAsia" w:ascii="Times New Roman" w:hAnsi="Times New Roman" w:eastAsia="宋体" w:cs="Times New Roman"/>
          <w:color w:val="0000FF"/>
          <w:sz w:val="24"/>
          <w:highlight w:val="none"/>
          <w:lang w:val="en-US" w:eastAsia="zh-CN"/>
        </w:rPr>
        <w:t>，第二年9月底完成管道铺设施工。</w:t>
      </w:r>
      <w:r>
        <w:rPr>
          <w:rFonts w:hint="eastAsia" w:cs="Times New Roman"/>
          <w:color w:val="0000FF"/>
          <w:sz w:val="24"/>
          <w:highlight w:val="none"/>
          <w:lang w:val="en-US" w:eastAsia="zh-CN"/>
        </w:rPr>
        <w:t>北干管整个施工期为枯期，金马分干管跨一个枯期及训期，但跨河段施工选择在枯期进行。根据现场踏勘，枯期沙沟箐、姜驿河呈干涸状态，枯期施工后不影响汛期河道水文情势。</w:t>
      </w:r>
    </w:p>
    <w:p>
      <w:pPr>
        <w:pStyle w:val="5"/>
        <w:numPr>
          <w:ilvl w:val="3"/>
          <w:numId w:val="2"/>
        </w:numPr>
        <w:bidi w:val="0"/>
        <w:ind w:left="480" w:leftChars="0" w:firstLineChars="0"/>
        <w:rPr>
          <w:rFonts w:hint="default"/>
          <w:color w:val="auto"/>
          <w:lang w:val="en-US" w:eastAsia="zh-CN"/>
        </w:rPr>
      </w:pPr>
      <w:r>
        <w:rPr>
          <w:rFonts w:hint="default"/>
          <w:color w:val="auto"/>
          <w:lang w:val="en-US" w:eastAsia="zh-CN"/>
        </w:rPr>
        <w:t xml:space="preserve">对土地利用的影响 </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工程建设总占地面积为</w:t>
      </w:r>
      <w:r>
        <w:rPr>
          <w:rFonts w:hint="eastAsia" w:ascii="Times New Roman" w:hAnsi="Times New Roman" w:eastAsia="宋体" w:cs="Times New Roman"/>
          <w:color w:val="auto"/>
          <w:kern w:val="0"/>
          <w:sz w:val="24"/>
          <w:szCs w:val="24"/>
          <w:lang w:val="en-US" w:eastAsia="zh-CN" w:bidi="ar"/>
        </w:rPr>
        <w:t>49.7848</w:t>
      </w:r>
      <w:r>
        <w:rPr>
          <w:rFonts w:hint="default" w:ascii="Times New Roman" w:hAnsi="Times New Roman" w:eastAsia="宋体" w:cs="Times New Roman"/>
          <w:color w:val="auto"/>
          <w:kern w:val="0"/>
          <w:sz w:val="24"/>
          <w:szCs w:val="24"/>
          <w:lang w:val="en-US" w:eastAsia="zh-CN" w:bidi="ar"/>
        </w:rPr>
        <w:t>hm²，其中永久占地2.4632hm²，临时占地47.3216hm²。具体占用土地类型数据见下表。</w:t>
      </w:r>
    </w:p>
    <w:p>
      <w:pPr>
        <w:keepNext w:val="0"/>
        <w:keepLines w:val="0"/>
        <w:widowControl/>
        <w:suppressLineNumbers w:val="0"/>
        <w:spacing w:line="240" w:lineRule="auto"/>
        <w:jc w:val="center"/>
        <w:rPr>
          <w:color w:val="auto"/>
        </w:rPr>
      </w:pPr>
      <w:r>
        <w:rPr>
          <w:rFonts w:hint="eastAsia" w:ascii="宋体" w:hAnsi="宋体" w:eastAsia="宋体" w:cs="宋体"/>
          <w:b/>
          <w:bCs/>
          <w:color w:val="auto"/>
          <w:kern w:val="0"/>
          <w:sz w:val="24"/>
          <w:szCs w:val="24"/>
          <w:lang w:val="en-US" w:eastAsia="zh-CN" w:bidi="ar"/>
        </w:rPr>
        <w:t xml:space="preserve">表 </w:t>
      </w:r>
      <w:r>
        <w:rPr>
          <w:rFonts w:hint="default" w:ascii="Times New Roman" w:hAnsi="Times New Roman" w:eastAsia="宋体" w:cs="Times New Roman"/>
          <w:b/>
          <w:bCs/>
          <w:color w:val="auto"/>
          <w:kern w:val="0"/>
          <w:sz w:val="24"/>
          <w:szCs w:val="24"/>
          <w:lang w:val="en-US" w:eastAsia="zh-CN" w:bidi="ar"/>
        </w:rPr>
        <w:t>5.</w:t>
      </w:r>
      <w:r>
        <w:rPr>
          <w:rFonts w:hint="eastAsia" w:ascii="Times New Roman" w:hAnsi="Times New Roman" w:eastAsia="宋体" w:cs="Times New Roman"/>
          <w:b/>
          <w:bCs/>
          <w:color w:val="auto"/>
          <w:kern w:val="0"/>
          <w:sz w:val="24"/>
          <w:szCs w:val="24"/>
          <w:lang w:val="en-US" w:eastAsia="zh-CN" w:bidi="ar"/>
        </w:rPr>
        <w:t>2.7</w:t>
      </w:r>
      <w:r>
        <w:rPr>
          <w:rFonts w:hint="default" w:ascii="Times New Roman" w:hAnsi="Times New Roman" w:eastAsia="宋体" w:cs="Times New Roman"/>
          <w:b/>
          <w:bCs/>
          <w:color w:val="auto"/>
          <w:kern w:val="0"/>
          <w:sz w:val="24"/>
          <w:szCs w:val="24"/>
          <w:lang w:val="en-US" w:eastAsia="zh-CN" w:bidi="ar"/>
        </w:rPr>
        <w:t>-</w:t>
      </w:r>
      <w:r>
        <w:rPr>
          <w:rFonts w:hint="eastAsia" w:ascii="Times New Roman" w:hAnsi="Times New Roman" w:eastAsia="宋体" w:cs="Times New Roman"/>
          <w:b/>
          <w:bCs/>
          <w:color w:val="auto"/>
          <w:kern w:val="0"/>
          <w:sz w:val="24"/>
          <w:szCs w:val="24"/>
          <w:lang w:val="en-US" w:eastAsia="zh-CN" w:bidi="ar"/>
        </w:rPr>
        <w:t>1</w:t>
      </w:r>
      <w:r>
        <w:rPr>
          <w:rFonts w:hint="default" w:ascii="Times New Roman" w:hAnsi="Times New Roman" w:eastAsia="宋体" w:cs="Times New Roman"/>
          <w:b/>
          <w:bCs/>
          <w:color w:val="auto"/>
          <w:kern w:val="0"/>
          <w:sz w:val="24"/>
          <w:szCs w:val="24"/>
          <w:lang w:val="en-US" w:eastAsia="zh-CN" w:bidi="ar"/>
        </w:rPr>
        <w:t xml:space="preserve"> </w:t>
      </w:r>
      <w:r>
        <w:rPr>
          <w:rFonts w:hint="eastAsia" w:ascii="宋体" w:hAnsi="宋体" w:eastAsia="宋体" w:cs="宋体"/>
          <w:b/>
          <w:bCs/>
          <w:color w:val="auto"/>
          <w:kern w:val="0"/>
          <w:sz w:val="24"/>
          <w:szCs w:val="24"/>
          <w:lang w:val="en-US" w:eastAsia="zh-CN" w:bidi="ar"/>
        </w:rPr>
        <w:t>工程占用土地利用类型情况表</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3044"/>
        <w:gridCol w:w="1440"/>
        <w:gridCol w:w="1907"/>
        <w:gridCol w:w="21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786"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一级类</w:t>
            </w:r>
          </w:p>
        </w:tc>
        <w:tc>
          <w:tcPr>
            <w:tcW w:w="844"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二级类</w:t>
            </w:r>
          </w:p>
        </w:tc>
        <w:tc>
          <w:tcPr>
            <w:tcW w:w="1119"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ascii="宋" w:hAnsi="宋" w:eastAsia="宋" w:cs="宋"/>
                <w:i w:val="0"/>
                <w:iCs w:val="0"/>
                <w:color w:val="auto"/>
                <w:sz w:val="21"/>
                <w:szCs w:val="21"/>
                <w:u w:val="none"/>
              </w:rPr>
            </w:pPr>
            <w:r>
              <w:rPr>
                <w:rFonts w:hint="default" w:ascii="宋" w:hAnsi="宋" w:eastAsia="宋" w:cs="宋"/>
                <w:i w:val="0"/>
                <w:iCs w:val="0"/>
                <w:color w:val="auto"/>
                <w:kern w:val="0"/>
                <w:sz w:val="21"/>
                <w:szCs w:val="21"/>
                <w:u w:val="none"/>
                <w:lang w:val="en-US" w:eastAsia="zh-CN" w:bidi="ar"/>
              </w:rPr>
              <w:t>永久征地汇总</w:t>
            </w:r>
          </w:p>
        </w:tc>
        <w:tc>
          <w:tcPr>
            <w:tcW w:w="1248"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宋" w:hAnsi="宋" w:eastAsia="宋" w:cs="宋"/>
                <w:i w:val="0"/>
                <w:iCs w:val="0"/>
                <w:color w:val="auto"/>
                <w:sz w:val="21"/>
                <w:szCs w:val="21"/>
                <w:u w:val="none"/>
              </w:rPr>
            </w:pPr>
            <w:r>
              <w:rPr>
                <w:rFonts w:hint="default" w:ascii="宋" w:hAnsi="宋" w:eastAsia="宋" w:cs="宋"/>
                <w:i w:val="0"/>
                <w:iCs w:val="0"/>
                <w:color w:val="auto"/>
                <w:kern w:val="0"/>
                <w:sz w:val="21"/>
                <w:szCs w:val="21"/>
                <w:u w:val="none"/>
                <w:lang w:val="en-US" w:eastAsia="zh-CN" w:bidi="ar"/>
              </w:rPr>
              <w:t>临时用地汇总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0" w:hRule="atLeast"/>
          <w:jc w:val="center"/>
        </w:trPr>
        <w:tc>
          <w:tcPr>
            <w:tcW w:w="178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auto"/>
                <w:sz w:val="21"/>
                <w:szCs w:val="21"/>
                <w:u w:val="none"/>
              </w:rPr>
            </w:pPr>
          </w:p>
        </w:tc>
        <w:tc>
          <w:tcPr>
            <w:tcW w:w="844" w:type="pct"/>
            <w:vMerge w:val="continue"/>
            <w:shd w:val="clear" w:color="auto" w:fill="auto"/>
            <w:vAlign w:val="top"/>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auto"/>
                <w:sz w:val="21"/>
                <w:szCs w:val="21"/>
                <w:u w:val="none"/>
              </w:rPr>
            </w:pPr>
          </w:p>
        </w:tc>
        <w:tc>
          <w:tcPr>
            <w:tcW w:w="111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宋" w:hAnsi="宋" w:eastAsia="宋" w:cs="宋"/>
                <w:i w:val="0"/>
                <w:iCs w:val="0"/>
                <w:color w:val="auto"/>
                <w:sz w:val="21"/>
                <w:szCs w:val="21"/>
                <w:u w:val="none"/>
              </w:rPr>
            </w:pPr>
          </w:p>
        </w:tc>
        <w:tc>
          <w:tcPr>
            <w:tcW w:w="124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宋" w:hAnsi="宋" w:eastAsia="宋" w:cs="宋"/>
                <w:i w:val="0"/>
                <w:iCs w:val="0"/>
                <w:color w:val="auto"/>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5" w:hRule="atLeast"/>
          <w:jc w:val="center"/>
        </w:trPr>
        <w:tc>
          <w:tcPr>
            <w:tcW w:w="1786"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耕地</w:t>
            </w:r>
          </w:p>
        </w:tc>
        <w:tc>
          <w:tcPr>
            <w:tcW w:w="844" w:type="pct"/>
            <w:shd w:val="clear" w:color="auto" w:fill="auto"/>
            <w:vAlign w:val="top"/>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水田</w:t>
            </w:r>
          </w:p>
        </w:tc>
        <w:tc>
          <w:tcPr>
            <w:tcW w:w="111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124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5" w:hRule="atLeast"/>
          <w:jc w:val="center"/>
        </w:trPr>
        <w:tc>
          <w:tcPr>
            <w:tcW w:w="178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auto"/>
                <w:sz w:val="21"/>
                <w:szCs w:val="21"/>
                <w:u w:val="none"/>
              </w:rPr>
            </w:pPr>
          </w:p>
        </w:tc>
        <w:tc>
          <w:tcPr>
            <w:tcW w:w="844" w:type="pct"/>
            <w:shd w:val="clear" w:color="auto" w:fill="auto"/>
            <w:vAlign w:val="top"/>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旱地</w:t>
            </w:r>
          </w:p>
        </w:tc>
        <w:tc>
          <w:tcPr>
            <w:tcW w:w="111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0.0780</w:t>
            </w:r>
          </w:p>
        </w:tc>
        <w:tc>
          <w:tcPr>
            <w:tcW w:w="124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16.4289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5" w:hRule="atLeast"/>
          <w:jc w:val="center"/>
        </w:trPr>
        <w:tc>
          <w:tcPr>
            <w:tcW w:w="178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auto"/>
                <w:sz w:val="21"/>
                <w:szCs w:val="21"/>
                <w:u w:val="none"/>
              </w:rPr>
            </w:pPr>
          </w:p>
        </w:tc>
        <w:tc>
          <w:tcPr>
            <w:tcW w:w="844" w:type="pct"/>
            <w:shd w:val="clear" w:color="auto" w:fill="auto"/>
            <w:vAlign w:val="top"/>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果园</w:t>
            </w:r>
          </w:p>
        </w:tc>
        <w:tc>
          <w:tcPr>
            <w:tcW w:w="111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0.4396</w:t>
            </w:r>
          </w:p>
        </w:tc>
        <w:tc>
          <w:tcPr>
            <w:tcW w:w="124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5.3814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5" w:hRule="atLeast"/>
          <w:jc w:val="center"/>
        </w:trPr>
        <w:tc>
          <w:tcPr>
            <w:tcW w:w="1786"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林地</w:t>
            </w:r>
          </w:p>
        </w:tc>
        <w:tc>
          <w:tcPr>
            <w:tcW w:w="844" w:type="pct"/>
            <w:shd w:val="clear" w:color="auto" w:fill="auto"/>
            <w:vAlign w:val="top"/>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乔木林地</w:t>
            </w:r>
          </w:p>
        </w:tc>
        <w:tc>
          <w:tcPr>
            <w:tcW w:w="111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0.0334</w:t>
            </w:r>
          </w:p>
        </w:tc>
        <w:tc>
          <w:tcPr>
            <w:tcW w:w="124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2.7100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5" w:hRule="atLeast"/>
          <w:jc w:val="center"/>
        </w:trPr>
        <w:tc>
          <w:tcPr>
            <w:tcW w:w="178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auto"/>
                <w:sz w:val="21"/>
                <w:szCs w:val="21"/>
                <w:u w:val="none"/>
              </w:rPr>
            </w:pPr>
          </w:p>
        </w:tc>
        <w:tc>
          <w:tcPr>
            <w:tcW w:w="844" w:type="pct"/>
            <w:shd w:val="clear" w:color="auto" w:fill="auto"/>
            <w:vAlign w:val="top"/>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灌木林地</w:t>
            </w:r>
          </w:p>
        </w:tc>
        <w:tc>
          <w:tcPr>
            <w:tcW w:w="111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1.8436</w:t>
            </w:r>
          </w:p>
        </w:tc>
        <w:tc>
          <w:tcPr>
            <w:tcW w:w="124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13.7649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5" w:hRule="atLeast"/>
          <w:jc w:val="center"/>
        </w:trPr>
        <w:tc>
          <w:tcPr>
            <w:tcW w:w="178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auto"/>
                <w:sz w:val="21"/>
                <w:szCs w:val="21"/>
                <w:u w:val="none"/>
              </w:rPr>
            </w:pPr>
          </w:p>
        </w:tc>
        <w:tc>
          <w:tcPr>
            <w:tcW w:w="844" w:type="pct"/>
            <w:shd w:val="clear" w:color="auto" w:fill="auto"/>
            <w:vAlign w:val="top"/>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公益林</w:t>
            </w:r>
          </w:p>
        </w:tc>
        <w:tc>
          <w:tcPr>
            <w:tcW w:w="111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0</w:t>
            </w:r>
          </w:p>
        </w:tc>
        <w:tc>
          <w:tcPr>
            <w:tcW w:w="124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4.9051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5" w:hRule="atLeast"/>
          <w:jc w:val="center"/>
        </w:trPr>
        <w:tc>
          <w:tcPr>
            <w:tcW w:w="1786"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交通运输用地</w:t>
            </w:r>
          </w:p>
        </w:tc>
        <w:tc>
          <w:tcPr>
            <w:tcW w:w="844" w:type="pct"/>
            <w:shd w:val="clear" w:color="auto" w:fill="auto"/>
            <w:vAlign w:val="top"/>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农村道路</w:t>
            </w:r>
          </w:p>
        </w:tc>
        <w:tc>
          <w:tcPr>
            <w:tcW w:w="111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0.0467</w:t>
            </w:r>
          </w:p>
        </w:tc>
        <w:tc>
          <w:tcPr>
            <w:tcW w:w="124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5" w:hRule="atLeast"/>
          <w:jc w:val="center"/>
        </w:trPr>
        <w:tc>
          <w:tcPr>
            <w:tcW w:w="178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eastAsia" w:ascii="宋体" w:hAnsi="宋体" w:eastAsia="宋体" w:cs="宋体"/>
                <w:i w:val="0"/>
                <w:iCs w:val="0"/>
                <w:color w:val="auto"/>
                <w:sz w:val="21"/>
                <w:szCs w:val="21"/>
                <w:u w:val="none"/>
              </w:rPr>
            </w:pPr>
          </w:p>
        </w:tc>
        <w:tc>
          <w:tcPr>
            <w:tcW w:w="844" w:type="pct"/>
            <w:shd w:val="clear" w:color="auto" w:fill="auto"/>
            <w:vAlign w:val="top"/>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公路用地</w:t>
            </w:r>
          </w:p>
        </w:tc>
        <w:tc>
          <w:tcPr>
            <w:tcW w:w="111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0.0107</w:t>
            </w:r>
          </w:p>
        </w:tc>
        <w:tc>
          <w:tcPr>
            <w:tcW w:w="124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0.3695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78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水域及水利</w:t>
            </w:r>
          </w:p>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设施用地</w:t>
            </w:r>
          </w:p>
        </w:tc>
        <w:tc>
          <w:tcPr>
            <w:tcW w:w="844" w:type="pct"/>
            <w:shd w:val="clear" w:color="auto" w:fill="auto"/>
            <w:vAlign w:val="top"/>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河流水面</w:t>
            </w:r>
          </w:p>
        </w:tc>
        <w:tc>
          <w:tcPr>
            <w:tcW w:w="111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124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0.1261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5" w:hRule="atLeast"/>
          <w:jc w:val="center"/>
        </w:trPr>
        <w:tc>
          <w:tcPr>
            <w:tcW w:w="1786"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eastAsia" w:ascii="宋体" w:hAnsi="宋体" w:eastAsia="宋体" w:cs="宋体"/>
                <w:i w:val="0"/>
                <w:iCs w:val="0"/>
                <w:color w:val="auto"/>
                <w:sz w:val="21"/>
                <w:szCs w:val="21"/>
                <w:u w:val="none"/>
              </w:rPr>
            </w:pPr>
          </w:p>
        </w:tc>
        <w:tc>
          <w:tcPr>
            <w:tcW w:w="844" w:type="pct"/>
            <w:shd w:val="clear" w:color="auto" w:fill="auto"/>
            <w:vAlign w:val="top"/>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坑塘水面</w:t>
            </w:r>
          </w:p>
        </w:tc>
        <w:tc>
          <w:tcPr>
            <w:tcW w:w="111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0.0113</w:t>
            </w:r>
          </w:p>
        </w:tc>
        <w:tc>
          <w:tcPr>
            <w:tcW w:w="124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0.1788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5" w:hRule="atLeast"/>
          <w:jc w:val="center"/>
        </w:trPr>
        <w:tc>
          <w:tcPr>
            <w:tcW w:w="1786"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rPr>
                <w:rFonts w:hint="eastAsia" w:ascii="宋体" w:hAnsi="宋体" w:eastAsia="宋体" w:cs="宋体"/>
                <w:i w:val="0"/>
                <w:iCs w:val="0"/>
                <w:color w:val="auto"/>
                <w:sz w:val="21"/>
                <w:szCs w:val="21"/>
                <w:u w:val="none"/>
              </w:rPr>
            </w:pPr>
          </w:p>
        </w:tc>
        <w:tc>
          <w:tcPr>
            <w:tcW w:w="844" w:type="pct"/>
            <w:shd w:val="clear" w:color="auto" w:fill="auto"/>
            <w:vAlign w:val="top"/>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沟渠</w:t>
            </w:r>
          </w:p>
        </w:tc>
        <w:tc>
          <w:tcPr>
            <w:tcW w:w="111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eastAsia" w:ascii="Times New Roman" w:hAnsi="Times New Roman" w:eastAsia="宋体" w:cs="Times New Roman"/>
                <w:i w:val="0"/>
                <w:iCs w:val="0"/>
                <w:color w:val="auto"/>
                <w:kern w:val="0"/>
                <w:sz w:val="21"/>
                <w:szCs w:val="21"/>
                <w:u w:val="none"/>
                <w:lang w:val="en-US" w:eastAsia="zh-CN" w:bidi="ar"/>
              </w:rPr>
              <w:t>0</w:t>
            </w:r>
          </w:p>
        </w:tc>
        <w:tc>
          <w:tcPr>
            <w:tcW w:w="124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0.0107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5" w:hRule="atLeast"/>
          <w:jc w:val="center"/>
        </w:trPr>
        <w:tc>
          <w:tcPr>
            <w:tcW w:w="2631" w:type="pct"/>
            <w:gridSpan w:val="2"/>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总计</w:t>
            </w:r>
          </w:p>
        </w:tc>
        <w:tc>
          <w:tcPr>
            <w:tcW w:w="111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2.4632</w:t>
            </w:r>
          </w:p>
        </w:tc>
        <w:tc>
          <w:tcPr>
            <w:tcW w:w="124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47.3216</w:t>
            </w:r>
          </w:p>
        </w:tc>
      </w:tr>
    </w:tbl>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eastAsia" w:ascii="Times New Roman" w:hAnsi="Times New Roman" w:eastAsia="宋体" w:cs="Times New Roman"/>
          <w:color w:val="auto"/>
          <w:kern w:val="0"/>
          <w:sz w:val="24"/>
          <w:szCs w:val="24"/>
          <w:lang w:val="en-US" w:eastAsia="zh-CN" w:bidi="ar"/>
        </w:rPr>
      </w:pPr>
      <w:r>
        <w:rPr>
          <w:rFonts w:hint="eastAsia" w:ascii="宋体" w:hAnsi="宋体" w:eastAsia="宋体" w:cs="宋体"/>
          <w:color w:val="auto"/>
          <w:kern w:val="0"/>
          <w:sz w:val="24"/>
          <w:szCs w:val="24"/>
          <w:lang w:val="en-US" w:eastAsia="zh-CN" w:bidi="ar"/>
        </w:rPr>
        <w:t>工程建成后，永久占地区土地利用类型发生变化。临时占地区将进行植被恢复，区域土地资源的影响将得到恢复。工程建设前后土地利用类型变化情况</w:t>
      </w:r>
      <w:r>
        <w:rPr>
          <w:rFonts w:hint="eastAsia" w:ascii="宋体" w:hAnsi="宋体" w:cs="宋体"/>
          <w:color w:val="auto"/>
          <w:kern w:val="0"/>
          <w:sz w:val="24"/>
          <w:szCs w:val="24"/>
          <w:lang w:val="en-US" w:eastAsia="zh-CN" w:bidi="ar"/>
        </w:rPr>
        <w:t>见</w:t>
      </w:r>
      <w:r>
        <w:rPr>
          <w:rFonts w:hint="eastAsia" w:ascii="Times New Roman" w:hAnsi="Times New Roman" w:eastAsia="宋体" w:cs="Times New Roman"/>
          <w:color w:val="auto"/>
          <w:kern w:val="0"/>
          <w:sz w:val="24"/>
          <w:szCs w:val="24"/>
          <w:lang w:val="en-US" w:eastAsia="zh-CN" w:bidi="ar"/>
        </w:rPr>
        <w:t>下表：</w:t>
      </w:r>
    </w:p>
    <w:p>
      <w:pPr>
        <w:keepNext w:val="0"/>
        <w:keepLines w:val="0"/>
        <w:widowControl/>
        <w:suppressLineNumbers w:val="0"/>
        <w:spacing w:line="240" w:lineRule="auto"/>
        <w:jc w:val="center"/>
        <w:rPr>
          <w:color w:val="auto"/>
        </w:rPr>
      </w:pPr>
      <w:r>
        <w:rPr>
          <w:rFonts w:hint="eastAsia" w:ascii="宋体" w:hAnsi="宋体" w:eastAsia="宋体" w:cs="宋体"/>
          <w:b/>
          <w:bCs/>
          <w:color w:val="auto"/>
          <w:kern w:val="0"/>
          <w:sz w:val="24"/>
          <w:szCs w:val="24"/>
          <w:lang w:val="en-US" w:eastAsia="zh-CN" w:bidi="ar"/>
        </w:rPr>
        <w:t xml:space="preserve">表 </w:t>
      </w:r>
      <w:r>
        <w:rPr>
          <w:rFonts w:hint="default" w:ascii="Times New Roman" w:hAnsi="Times New Roman" w:eastAsia="宋体" w:cs="Times New Roman"/>
          <w:b/>
          <w:bCs/>
          <w:color w:val="auto"/>
          <w:kern w:val="0"/>
          <w:sz w:val="24"/>
          <w:szCs w:val="24"/>
          <w:lang w:val="en-US" w:eastAsia="zh-CN" w:bidi="ar"/>
        </w:rPr>
        <w:t>5.</w:t>
      </w:r>
      <w:r>
        <w:rPr>
          <w:rFonts w:hint="eastAsia" w:ascii="Times New Roman" w:hAnsi="Times New Roman" w:eastAsia="宋体" w:cs="Times New Roman"/>
          <w:b/>
          <w:bCs/>
          <w:color w:val="auto"/>
          <w:kern w:val="0"/>
          <w:sz w:val="24"/>
          <w:szCs w:val="24"/>
          <w:lang w:val="en-US" w:eastAsia="zh-CN" w:bidi="ar"/>
        </w:rPr>
        <w:t>2.7</w:t>
      </w:r>
      <w:r>
        <w:rPr>
          <w:rFonts w:hint="default" w:ascii="Times New Roman" w:hAnsi="Times New Roman" w:eastAsia="宋体" w:cs="Times New Roman"/>
          <w:b/>
          <w:bCs/>
          <w:color w:val="auto"/>
          <w:kern w:val="0"/>
          <w:sz w:val="24"/>
          <w:szCs w:val="24"/>
          <w:lang w:val="en-US" w:eastAsia="zh-CN" w:bidi="ar"/>
        </w:rPr>
        <w:t>-</w:t>
      </w:r>
      <w:r>
        <w:rPr>
          <w:rFonts w:hint="eastAsia" w:ascii="Times New Roman" w:hAnsi="Times New Roman" w:eastAsia="宋体" w:cs="Times New Roman"/>
          <w:b/>
          <w:bCs/>
          <w:color w:val="auto"/>
          <w:kern w:val="0"/>
          <w:sz w:val="24"/>
          <w:szCs w:val="24"/>
          <w:lang w:val="en-US" w:eastAsia="zh-CN" w:bidi="ar"/>
        </w:rPr>
        <w:t xml:space="preserve">2   </w:t>
      </w:r>
      <w:r>
        <w:rPr>
          <w:rFonts w:hint="eastAsia" w:ascii="宋体" w:hAnsi="宋体" w:eastAsia="宋体" w:cs="宋体"/>
          <w:b/>
          <w:bCs/>
          <w:color w:val="auto"/>
          <w:kern w:val="0"/>
          <w:sz w:val="24"/>
          <w:szCs w:val="24"/>
          <w:lang w:val="en-US" w:eastAsia="zh-CN" w:bidi="ar"/>
        </w:rPr>
        <w:t>工程建设前后土地利用类型变化情况表</w:t>
      </w:r>
    </w:p>
    <w:tbl>
      <w:tblPr>
        <w:tblStyle w:val="29"/>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77"/>
        <w:gridCol w:w="1095"/>
        <w:gridCol w:w="954"/>
        <w:gridCol w:w="1266"/>
        <w:gridCol w:w="1364"/>
        <w:gridCol w:w="750"/>
        <w:gridCol w:w="890"/>
        <w:gridCol w:w="92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7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一级类</w:t>
            </w:r>
          </w:p>
        </w:tc>
        <w:tc>
          <w:tcPr>
            <w:tcW w:w="64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二级类</w:t>
            </w:r>
          </w:p>
        </w:tc>
        <w:tc>
          <w:tcPr>
            <w:tcW w:w="13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建设前</w:t>
            </w:r>
          </w:p>
        </w:tc>
        <w:tc>
          <w:tcPr>
            <w:tcW w:w="124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建设后</w:t>
            </w:r>
          </w:p>
        </w:tc>
        <w:tc>
          <w:tcPr>
            <w:tcW w:w="106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变化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 w:hRule="atLeast"/>
        </w:trPr>
        <w:tc>
          <w:tcPr>
            <w:tcW w:w="7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2"/>
                <w:szCs w:val="22"/>
                <w:u w:val="none"/>
              </w:rPr>
            </w:pPr>
          </w:p>
        </w:tc>
        <w:tc>
          <w:tcPr>
            <w:tcW w:w="64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面积</w:t>
            </w:r>
            <w:r>
              <w:rPr>
                <w:rFonts w:hint="default" w:ascii="Times New Roman" w:hAnsi="Times New Roman" w:cs="Times New Roman"/>
                <w:i w:val="0"/>
                <w:iCs w:val="0"/>
                <w:color w:val="auto"/>
                <w:kern w:val="0"/>
                <w:sz w:val="21"/>
                <w:szCs w:val="21"/>
                <w:u w:val="none"/>
                <w:lang w:val="en-US" w:eastAsia="zh-CN" w:bidi="ar"/>
              </w:rPr>
              <w:t>（hm</w:t>
            </w:r>
            <w:r>
              <w:rPr>
                <w:rFonts w:hint="default" w:ascii="Times New Roman" w:hAnsi="Times New Roman" w:cs="Times New Roman"/>
                <w:i w:val="0"/>
                <w:iCs w:val="0"/>
                <w:color w:val="auto"/>
                <w:kern w:val="0"/>
                <w:sz w:val="21"/>
                <w:szCs w:val="21"/>
                <w:u w:val="none"/>
                <w:vertAlign w:val="superscript"/>
                <w:lang w:val="en-US" w:eastAsia="zh-CN" w:bidi="ar"/>
              </w:rPr>
              <w:t>2</w:t>
            </w:r>
            <w:r>
              <w:rPr>
                <w:rFonts w:hint="default" w:ascii="Times New Roman" w:hAnsi="Times New Roman" w:cs="Times New Roman"/>
                <w:i w:val="0"/>
                <w:iCs w:val="0"/>
                <w:color w:val="auto"/>
                <w:kern w:val="0"/>
                <w:sz w:val="21"/>
                <w:szCs w:val="21"/>
                <w:u w:val="none"/>
                <w:lang w:val="en-US" w:eastAsia="zh-CN" w:bidi="ar"/>
              </w:rPr>
              <w:t>）</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比例（％）</w:t>
            </w:r>
          </w:p>
        </w:tc>
        <w:tc>
          <w:tcPr>
            <w:tcW w:w="8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面积</w:t>
            </w:r>
            <w:r>
              <w:rPr>
                <w:rFonts w:hint="default" w:ascii="Times New Roman" w:hAnsi="Times New Roman" w:cs="Times New Roman"/>
                <w:i w:val="0"/>
                <w:iCs w:val="0"/>
                <w:color w:val="auto"/>
                <w:kern w:val="0"/>
                <w:sz w:val="21"/>
                <w:szCs w:val="21"/>
                <w:u w:val="none"/>
                <w:lang w:val="en-US" w:eastAsia="zh-CN" w:bidi="ar"/>
              </w:rPr>
              <w:t>（hm</w:t>
            </w:r>
            <w:r>
              <w:rPr>
                <w:rFonts w:hint="default" w:ascii="Times New Roman" w:hAnsi="Times New Roman" w:cs="Times New Roman"/>
                <w:i w:val="0"/>
                <w:iCs w:val="0"/>
                <w:color w:val="auto"/>
                <w:kern w:val="0"/>
                <w:sz w:val="21"/>
                <w:szCs w:val="21"/>
                <w:u w:val="none"/>
                <w:vertAlign w:val="superscript"/>
                <w:lang w:val="en-US" w:eastAsia="zh-CN" w:bidi="ar"/>
              </w:rPr>
              <w:t>2</w:t>
            </w:r>
            <w:r>
              <w:rPr>
                <w:rFonts w:hint="default" w:ascii="Times New Roman" w:hAnsi="Times New Roman" w:cs="Times New Roman"/>
                <w:i w:val="0"/>
                <w:iCs w:val="0"/>
                <w:color w:val="auto"/>
                <w:kern w:val="0"/>
                <w:sz w:val="21"/>
                <w:szCs w:val="21"/>
                <w:u w:val="none"/>
                <w:lang w:val="en-US" w:eastAsia="zh-CN" w:bidi="ar"/>
              </w:rPr>
              <w:t>）</w:t>
            </w:r>
          </w:p>
        </w:tc>
        <w:tc>
          <w:tcPr>
            <w:tcW w:w="4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比例（％）</w:t>
            </w:r>
          </w:p>
        </w:tc>
        <w:tc>
          <w:tcPr>
            <w:tcW w:w="5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面积</w:t>
            </w:r>
            <w:r>
              <w:rPr>
                <w:rFonts w:hint="default" w:ascii="Times New Roman" w:hAnsi="Times New Roman" w:cs="Times New Roman"/>
                <w:i w:val="0"/>
                <w:iCs w:val="0"/>
                <w:color w:val="auto"/>
                <w:kern w:val="0"/>
                <w:sz w:val="21"/>
                <w:szCs w:val="21"/>
                <w:u w:val="none"/>
                <w:lang w:val="en-US" w:eastAsia="zh-CN" w:bidi="ar"/>
              </w:rPr>
              <w:t>（hm</w:t>
            </w:r>
            <w:r>
              <w:rPr>
                <w:rFonts w:hint="default" w:ascii="Times New Roman" w:hAnsi="Times New Roman" w:cs="Times New Roman"/>
                <w:i w:val="0"/>
                <w:iCs w:val="0"/>
                <w:color w:val="auto"/>
                <w:kern w:val="0"/>
                <w:sz w:val="21"/>
                <w:szCs w:val="21"/>
                <w:u w:val="none"/>
                <w:vertAlign w:val="superscript"/>
                <w:lang w:val="en-US" w:eastAsia="zh-CN" w:bidi="ar"/>
              </w:rPr>
              <w:t>2</w:t>
            </w:r>
            <w:r>
              <w:rPr>
                <w:rFonts w:hint="default" w:ascii="Times New Roman" w:hAnsi="Times New Roman" w:cs="Times New Roman"/>
                <w:i w:val="0"/>
                <w:iCs w:val="0"/>
                <w:color w:val="auto"/>
                <w:kern w:val="0"/>
                <w:sz w:val="21"/>
                <w:szCs w:val="21"/>
                <w:u w:val="none"/>
                <w:lang w:val="en-US" w:eastAsia="zh-CN" w:bidi="ar"/>
              </w:rPr>
              <w:t>）</w:t>
            </w:r>
          </w:p>
        </w:tc>
        <w:tc>
          <w:tcPr>
            <w:tcW w:w="54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比例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0" w:hRule="atLeast"/>
        </w:trPr>
        <w:tc>
          <w:tcPr>
            <w:tcW w:w="7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耕地</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水田</w:t>
            </w:r>
          </w:p>
        </w:tc>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69.38</w:t>
            </w:r>
          </w:p>
        </w:tc>
        <w:tc>
          <w:tcPr>
            <w:tcW w:w="7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1.61</w:t>
            </w:r>
          </w:p>
        </w:tc>
        <w:tc>
          <w:tcPr>
            <w:tcW w:w="8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69.38</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1.61</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0</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5" w:hRule="atLeast"/>
        </w:trPr>
        <w:tc>
          <w:tcPr>
            <w:tcW w:w="7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2"/>
                <w:szCs w:val="22"/>
                <w:u w:val="none"/>
              </w:rPr>
            </w:pP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旱地</w:t>
            </w:r>
          </w:p>
        </w:tc>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1056.52</w:t>
            </w:r>
          </w:p>
        </w:tc>
        <w:tc>
          <w:tcPr>
            <w:tcW w:w="7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24.52</w:t>
            </w:r>
          </w:p>
        </w:tc>
        <w:tc>
          <w:tcPr>
            <w:tcW w:w="8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1056.44</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24.52</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-0.08</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-0.0018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5" w:hRule="atLeast"/>
        </w:trPr>
        <w:tc>
          <w:tcPr>
            <w:tcW w:w="7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2"/>
                <w:szCs w:val="22"/>
                <w:u w:val="none"/>
              </w:rPr>
            </w:pP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果园</w:t>
            </w:r>
          </w:p>
        </w:tc>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287.04</w:t>
            </w:r>
          </w:p>
        </w:tc>
        <w:tc>
          <w:tcPr>
            <w:tcW w:w="7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6.66</w:t>
            </w:r>
          </w:p>
        </w:tc>
        <w:tc>
          <w:tcPr>
            <w:tcW w:w="8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286.60</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6.65</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-0.44</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-0.0102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5" w:hRule="atLeast"/>
        </w:trPr>
        <w:tc>
          <w:tcPr>
            <w:tcW w:w="7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林地</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乔木林地</w:t>
            </w:r>
          </w:p>
        </w:tc>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678.64</w:t>
            </w:r>
          </w:p>
        </w:tc>
        <w:tc>
          <w:tcPr>
            <w:tcW w:w="7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15.75</w:t>
            </w:r>
          </w:p>
        </w:tc>
        <w:tc>
          <w:tcPr>
            <w:tcW w:w="8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678.61</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15.75</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-0.03</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-0.0008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5" w:hRule="atLeast"/>
        </w:trPr>
        <w:tc>
          <w:tcPr>
            <w:tcW w:w="7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2"/>
                <w:szCs w:val="22"/>
                <w:u w:val="none"/>
              </w:rPr>
            </w:pP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灌木林地</w:t>
            </w:r>
          </w:p>
        </w:tc>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1042.29</w:t>
            </w:r>
          </w:p>
        </w:tc>
        <w:tc>
          <w:tcPr>
            <w:tcW w:w="7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24.19</w:t>
            </w:r>
          </w:p>
        </w:tc>
        <w:tc>
          <w:tcPr>
            <w:tcW w:w="8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1040.45</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24.15</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-1.84</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-0.0428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5" w:hRule="atLeast"/>
        </w:trPr>
        <w:tc>
          <w:tcPr>
            <w:tcW w:w="7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2"/>
                <w:szCs w:val="22"/>
                <w:u w:val="none"/>
              </w:rPr>
            </w:pP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其他林地</w:t>
            </w:r>
          </w:p>
        </w:tc>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164.04</w:t>
            </w:r>
          </w:p>
        </w:tc>
        <w:tc>
          <w:tcPr>
            <w:tcW w:w="7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3.81</w:t>
            </w:r>
          </w:p>
        </w:tc>
        <w:tc>
          <w:tcPr>
            <w:tcW w:w="8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164.04</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3.81</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cs="Times New Roman"/>
                <w:i w:val="0"/>
                <w:iCs w:val="0"/>
                <w:color w:val="auto"/>
                <w:kern w:val="0"/>
                <w:sz w:val="21"/>
                <w:szCs w:val="21"/>
                <w:u w:val="none"/>
                <w:lang w:val="en-US" w:eastAsia="zh-CN" w:bidi="ar"/>
              </w:rPr>
              <w:t>0</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cs="Times New Roman"/>
                <w:i w:val="0"/>
                <w:iCs w:val="0"/>
                <w:color w:val="auto"/>
                <w:sz w:val="21"/>
                <w:szCs w:val="21"/>
                <w:u w:val="none"/>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5" w:hRule="atLeast"/>
        </w:trPr>
        <w:tc>
          <w:tcPr>
            <w:tcW w:w="74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交通运输用地</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农村道路</w:t>
            </w:r>
          </w:p>
        </w:tc>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35.78</w:t>
            </w:r>
          </w:p>
        </w:tc>
        <w:tc>
          <w:tcPr>
            <w:tcW w:w="7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0.83</w:t>
            </w:r>
          </w:p>
        </w:tc>
        <w:tc>
          <w:tcPr>
            <w:tcW w:w="8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35.73</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0.83</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-0.05</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-0.0011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5" w:hRule="atLeast"/>
        </w:trPr>
        <w:tc>
          <w:tcPr>
            <w:tcW w:w="74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2"/>
                <w:szCs w:val="22"/>
                <w:u w:val="none"/>
              </w:rPr>
            </w:pP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公路用地</w:t>
            </w:r>
          </w:p>
        </w:tc>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21.76</w:t>
            </w:r>
          </w:p>
        </w:tc>
        <w:tc>
          <w:tcPr>
            <w:tcW w:w="7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w:t>
            </w:r>
          </w:p>
        </w:tc>
        <w:tc>
          <w:tcPr>
            <w:tcW w:w="8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21.75</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0.50</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8" w:hRule="atLeast"/>
        </w:trPr>
        <w:tc>
          <w:tcPr>
            <w:tcW w:w="749"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2"/>
                <w:szCs w:val="22"/>
                <w:u w:val="none"/>
              </w:rPr>
            </w:pPr>
            <w:r>
              <w:rPr>
                <w:rFonts w:hint="default" w:ascii="Times New Roman" w:hAnsi="Times New Roman" w:eastAsia="宋体" w:cs="Times New Roman"/>
                <w:i w:val="0"/>
                <w:iCs w:val="0"/>
                <w:color w:val="auto"/>
                <w:kern w:val="0"/>
                <w:sz w:val="22"/>
                <w:szCs w:val="22"/>
                <w:u w:val="none"/>
                <w:lang w:val="en-US" w:eastAsia="zh-CN" w:bidi="ar"/>
              </w:rPr>
              <w:t>水域及水利设施用地</w:t>
            </w: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河流水面</w:t>
            </w:r>
          </w:p>
        </w:tc>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23.44</w:t>
            </w:r>
          </w:p>
        </w:tc>
        <w:tc>
          <w:tcPr>
            <w:tcW w:w="7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0.54</w:t>
            </w:r>
          </w:p>
        </w:tc>
        <w:tc>
          <w:tcPr>
            <w:tcW w:w="8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23.44</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0.54</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0</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5" w:hRule="atLeast"/>
        </w:trPr>
        <w:tc>
          <w:tcPr>
            <w:tcW w:w="749" w:type="pct"/>
            <w:vMerge w:val="continue"/>
            <w:tcBorders>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2"/>
                <w:szCs w:val="22"/>
                <w:u w:val="none"/>
              </w:rPr>
            </w:pP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坑塘水面</w:t>
            </w:r>
          </w:p>
        </w:tc>
        <w:tc>
          <w:tcPr>
            <w:tcW w:w="5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19.13</w:t>
            </w:r>
          </w:p>
        </w:tc>
        <w:tc>
          <w:tcPr>
            <w:tcW w:w="7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0.44</w:t>
            </w:r>
          </w:p>
        </w:tc>
        <w:tc>
          <w:tcPr>
            <w:tcW w:w="8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19.12</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0.44</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-0.01</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-0.0003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5" w:hRule="atLeast"/>
        </w:trPr>
        <w:tc>
          <w:tcPr>
            <w:tcW w:w="7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rPr>
                <w:rFonts w:hint="default" w:ascii="Times New Roman" w:hAnsi="Times New Roman" w:eastAsia="宋体" w:cs="Times New Roman"/>
                <w:i w:val="0"/>
                <w:iCs w:val="0"/>
                <w:color w:val="auto"/>
                <w:sz w:val="22"/>
                <w:szCs w:val="22"/>
                <w:u w:val="none"/>
              </w:rPr>
            </w:pPr>
          </w:p>
        </w:tc>
        <w:tc>
          <w:tcPr>
            <w:tcW w:w="6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沟渠</w:t>
            </w:r>
          </w:p>
        </w:tc>
        <w:tc>
          <w:tcPr>
            <w:tcW w:w="5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2.39</w:t>
            </w:r>
          </w:p>
        </w:tc>
        <w:tc>
          <w:tcPr>
            <w:tcW w:w="7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0.06</w:t>
            </w:r>
          </w:p>
        </w:tc>
        <w:tc>
          <w:tcPr>
            <w:tcW w:w="80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2.39</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0.06</w:t>
            </w:r>
          </w:p>
        </w:tc>
        <w:tc>
          <w:tcPr>
            <w:tcW w:w="5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0</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0</w:t>
            </w:r>
          </w:p>
        </w:tc>
      </w:tr>
    </w:tbl>
    <w:p>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由上表可知，项目建成后区域各土地类型面积及比例变化较小，因此，工程建设对土地利用格局的影响较小。</w:t>
      </w:r>
    </w:p>
    <w:p>
      <w:pPr>
        <w:pStyle w:val="5"/>
        <w:numPr>
          <w:ilvl w:val="3"/>
          <w:numId w:val="2"/>
        </w:numPr>
        <w:bidi w:val="0"/>
        <w:ind w:left="480" w:leftChars="0" w:firstLineChars="0"/>
        <w:rPr>
          <w:rFonts w:hint="default"/>
          <w:color w:val="auto"/>
          <w:lang w:val="en-US" w:eastAsia="zh-CN"/>
        </w:rPr>
      </w:pPr>
      <w:bookmarkStart w:id="653" w:name="_Toc23312"/>
      <w:bookmarkStart w:id="654" w:name="_Toc28292"/>
      <w:r>
        <w:rPr>
          <w:rFonts w:hint="default"/>
          <w:color w:val="auto"/>
          <w:lang w:val="en-US" w:eastAsia="zh-CN"/>
        </w:rPr>
        <w:t>生物多样性影响评价</w:t>
      </w:r>
      <w:bookmarkEnd w:id="653"/>
      <w:bookmarkEnd w:id="654"/>
    </w:p>
    <w:p>
      <w:pPr>
        <w:keepNext w:val="0"/>
        <w:keepLines w:val="0"/>
        <w:pageBreakBefore w:val="0"/>
        <w:widowControl w:val="0"/>
        <w:numPr>
          <w:ilvl w:val="3"/>
          <w:numId w:val="0"/>
        </w:numPr>
        <w:tabs>
          <w:tab w:val="left" w:pos="0"/>
          <w:tab w:val="left" w:pos="283"/>
        </w:tabs>
        <w:kinsoku/>
        <w:wordWrap/>
        <w:overflowPunct/>
        <w:topLinePunct w:val="0"/>
        <w:autoSpaceDE/>
        <w:autoSpaceDN/>
        <w:bidi w:val="0"/>
        <w:adjustRightInd/>
        <w:ind w:leftChars="0" w:firstLine="482" w:firstLineChars="200"/>
        <w:textAlignment w:val="auto"/>
        <w:outlineLvl w:val="9"/>
        <w:rPr>
          <w:rFonts w:hint="eastAsia"/>
          <w:b/>
          <w:bCs/>
          <w:color w:val="auto"/>
          <w:highlight w:val="none"/>
          <w:lang w:val="en-US" w:eastAsia="zh-CN"/>
        </w:rPr>
      </w:pPr>
      <w:r>
        <w:rPr>
          <w:rFonts w:hint="eastAsia"/>
          <w:b/>
          <w:bCs/>
          <w:color w:val="auto"/>
          <w:highlight w:val="none"/>
          <w:lang w:val="en-US" w:eastAsia="zh-CN"/>
        </w:rPr>
        <w:t>1、生物多样性现状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en-US"/>
        </w:rPr>
        <w:t>群落/栖息地类型多样性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default" w:ascii="Times New Roman" w:hAnsi="Times New Roman" w:eastAsia="宋体" w:cs="Times New Roman"/>
          <w:color w:val="auto"/>
          <w:sz w:val="24"/>
          <w:szCs w:val="24"/>
          <w:highlight w:val="none"/>
          <w:lang w:val="en-US" w:eastAsia="en-US"/>
        </w:rPr>
        <w:t>属亚热带常绿阔叶林区（II）西部半湿润常绿阔叶林亚区（IIA）高原亚热带北部常绿阔叶林地带（IIAii）滇中、滇东高原半湿润常绿阔叶林、云南松林区（IIAii-1）滇中、北中山峡谷云南松林、高山栎类林亚区（IIAii-1b），地带性植被是半湿润常绿阔叶林，并伴有常绿硬叶阔叶林分布。从实地调查的情况看，因年雨量少而干季漫长，且大部分地区受到人为活动的长期影响，干热性稀树灌木草丛、干热灌丛和暖温性针叶林形成的灌木草丛植被发达。实地调查表明，目前评价区的自然植被类型包括3个植被型、3个植被亚型、3个群系、4个</w:t>
      </w:r>
      <w:r>
        <w:rPr>
          <w:rFonts w:hint="eastAsia" w:ascii="Times New Roman" w:hAnsi="Times New Roman" w:eastAsia="宋体" w:cs="Times New Roman"/>
          <w:color w:val="auto"/>
          <w:sz w:val="24"/>
          <w:szCs w:val="24"/>
          <w:highlight w:val="none"/>
          <w:lang w:val="en-US" w:eastAsia="zh-CN"/>
        </w:rPr>
        <w:t>群系</w:t>
      </w:r>
      <w:r>
        <w:rPr>
          <w:rFonts w:hint="default" w:ascii="Times New Roman" w:hAnsi="Times New Roman" w:eastAsia="宋体" w:cs="Times New Roman"/>
          <w:color w:val="auto"/>
          <w:sz w:val="24"/>
          <w:szCs w:val="24"/>
          <w:highlight w:val="none"/>
          <w:lang w:val="en-US" w:eastAsia="en-US"/>
        </w:rPr>
        <w:t>。包括了本区主要的植被类型，干热性稀树灌木草丛和干热灌丛植被发育较好，有一定的代表性，具体有干热性稀树灌木草丛、干热河谷灌丛和</w:t>
      </w:r>
      <w:r>
        <w:rPr>
          <w:rFonts w:hint="default" w:ascii="Times New Roman" w:hAnsi="Times New Roman" w:eastAsia="宋体" w:cs="Times New Roman"/>
          <w:color w:val="auto"/>
          <w:sz w:val="24"/>
          <w:szCs w:val="24"/>
          <w:highlight w:val="none"/>
          <w:lang w:val="en-US" w:eastAsia="zh-CN"/>
        </w:rPr>
        <w:t>暖温性针叶林</w:t>
      </w:r>
      <w:r>
        <w:rPr>
          <w:rFonts w:hint="default" w:ascii="Times New Roman" w:hAnsi="Times New Roman" w:eastAsia="宋体" w:cs="Times New Roman"/>
          <w:color w:val="auto"/>
          <w:sz w:val="24"/>
          <w:szCs w:val="24"/>
          <w:highlight w:val="none"/>
          <w:lang w:val="en-US" w:eastAsia="en-US"/>
        </w:rPr>
        <w:t>3种植被亚型，评价区的人工植被包括桉树林、花椒园、水田和旱地等多种类型。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en-US"/>
        </w:rPr>
        <w:t>植物种类多样性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default" w:ascii="Times New Roman" w:hAnsi="Times New Roman" w:eastAsia="宋体" w:cs="Times New Roman"/>
          <w:color w:val="auto"/>
          <w:sz w:val="24"/>
          <w:szCs w:val="24"/>
          <w:highlight w:val="none"/>
          <w:lang w:val="en-US" w:eastAsia="en-US"/>
        </w:rPr>
        <w:t>评价区共记录到影响评价区布的维管植物有</w:t>
      </w:r>
      <w:r>
        <w:rPr>
          <w:rStyle w:val="78"/>
          <w:rFonts w:hint="default" w:ascii="Times New Roman" w:hAnsi="Times New Roman" w:eastAsia="宋体" w:cs="Times New Roman"/>
          <w:b w:val="0"/>
          <w:color w:val="auto"/>
          <w:sz w:val="24"/>
          <w:szCs w:val="24"/>
          <w:highlight w:val="none"/>
          <w:lang w:val="en-US" w:eastAsia="zh-CN"/>
        </w:rPr>
        <w:t>90</w:t>
      </w:r>
      <w:r>
        <w:rPr>
          <w:rStyle w:val="78"/>
          <w:rFonts w:hint="default" w:ascii="Times New Roman" w:hAnsi="Times New Roman" w:eastAsia="宋体" w:cs="Times New Roman"/>
          <w:b w:val="0"/>
          <w:color w:val="auto"/>
          <w:sz w:val="24"/>
          <w:szCs w:val="24"/>
          <w:highlight w:val="none"/>
          <w:lang w:val="zh-TW" w:eastAsia="zh-TW"/>
        </w:rPr>
        <w:t>科2</w:t>
      </w:r>
      <w:r>
        <w:rPr>
          <w:rStyle w:val="78"/>
          <w:rFonts w:hint="default" w:ascii="Times New Roman" w:hAnsi="Times New Roman" w:eastAsia="宋体" w:cs="Times New Roman"/>
          <w:b w:val="0"/>
          <w:color w:val="auto"/>
          <w:sz w:val="24"/>
          <w:szCs w:val="24"/>
          <w:highlight w:val="none"/>
          <w:lang w:val="en-US" w:eastAsia="zh-CN"/>
        </w:rPr>
        <w:t>47</w:t>
      </w:r>
      <w:r>
        <w:rPr>
          <w:rStyle w:val="78"/>
          <w:rFonts w:hint="default" w:ascii="Times New Roman" w:hAnsi="Times New Roman" w:eastAsia="宋体" w:cs="Times New Roman"/>
          <w:b w:val="0"/>
          <w:color w:val="auto"/>
          <w:sz w:val="24"/>
          <w:szCs w:val="24"/>
          <w:highlight w:val="none"/>
          <w:lang w:val="zh-TW" w:eastAsia="zh-TW"/>
        </w:rPr>
        <w:t>属3</w:t>
      </w:r>
      <w:r>
        <w:rPr>
          <w:rStyle w:val="78"/>
          <w:rFonts w:hint="default" w:ascii="Times New Roman" w:hAnsi="Times New Roman" w:eastAsia="宋体" w:cs="Times New Roman"/>
          <w:b w:val="0"/>
          <w:color w:val="auto"/>
          <w:sz w:val="24"/>
          <w:szCs w:val="24"/>
          <w:highlight w:val="none"/>
          <w:lang w:val="en-US" w:eastAsia="zh-CN"/>
        </w:rPr>
        <w:t>31</w:t>
      </w:r>
      <w:r>
        <w:rPr>
          <w:rStyle w:val="78"/>
          <w:rFonts w:hint="default" w:ascii="Times New Roman" w:hAnsi="Times New Roman" w:eastAsia="宋体" w:cs="Times New Roman"/>
          <w:b w:val="0"/>
          <w:color w:val="auto"/>
          <w:sz w:val="24"/>
          <w:szCs w:val="24"/>
          <w:highlight w:val="none"/>
          <w:lang w:val="zh-TW" w:eastAsia="zh-TW"/>
        </w:rPr>
        <w:t>种；其中：蕨类植物共1</w:t>
      </w:r>
      <w:r>
        <w:rPr>
          <w:rStyle w:val="78"/>
          <w:rFonts w:hint="default" w:ascii="Times New Roman" w:hAnsi="Times New Roman" w:eastAsia="宋体" w:cs="Times New Roman"/>
          <w:b w:val="0"/>
          <w:color w:val="auto"/>
          <w:sz w:val="24"/>
          <w:szCs w:val="24"/>
          <w:highlight w:val="none"/>
          <w:lang w:val="en-US" w:eastAsia="zh-CN"/>
        </w:rPr>
        <w:t>3</w:t>
      </w:r>
      <w:r>
        <w:rPr>
          <w:rStyle w:val="78"/>
          <w:rFonts w:hint="default" w:ascii="Times New Roman" w:hAnsi="Times New Roman" w:eastAsia="宋体" w:cs="Times New Roman"/>
          <w:b w:val="0"/>
          <w:color w:val="auto"/>
          <w:sz w:val="24"/>
          <w:szCs w:val="24"/>
          <w:highlight w:val="none"/>
          <w:lang w:val="zh-TW" w:eastAsia="zh-TW"/>
        </w:rPr>
        <w:t>科1</w:t>
      </w:r>
      <w:r>
        <w:rPr>
          <w:rStyle w:val="78"/>
          <w:rFonts w:hint="default" w:ascii="Times New Roman" w:hAnsi="Times New Roman" w:eastAsia="宋体" w:cs="Times New Roman"/>
          <w:b w:val="0"/>
          <w:color w:val="auto"/>
          <w:sz w:val="24"/>
          <w:szCs w:val="24"/>
          <w:highlight w:val="none"/>
          <w:lang w:val="en-US" w:eastAsia="zh-CN"/>
        </w:rPr>
        <w:t>7</w:t>
      </w:r>
      <w:r>
        <w:rPr>
          <w:rStyle w:val="78"/>
          <w:rFonts w:hint="default" w:ascii="Times New Roman" w:hAnsi="Times New Roman" w:eastAsia="宋体" w:cs="Times New Roman"/>
          <w:b w:val="0"/>
          <w:color w:val="auto"/>
          <w:sz w:val="24"/>
          <w:szCs w:val="24"/>
          <w:highlight w:val="none"/>
          <w:lang w:val="zh-TW" w:eastAsia="zh-TW"/>
        </w:rPr>
        <w:t>属</w:t>
      </w:r>
      <w:r>
        <w:rPr>
          <w:rStyle w:val="78"/>
          <w:rFonts w:hint="default" w:ascii="Times New Roman" w:hAnsi="Times New Roman" w:eastAsia="宋体" w:cs="Times New Roman"/>
          <w:b w:val="0"/>
          <w:color w:val="auto"/>
          <w:sz w:val="24"/>
          <w:szCs w:val="24"/>
          <w:highlight w:val="none"/>
          <w:lang w:val="en-US" w:eastAsia="zh-CN"/>
        </w:rPr>
        <w:t>21</w:t>
      </w:r>
      <w:r>
        <w:rPr>
          <w:rStyle w:val="78"/>
          <w:rFonts w:hint="default" w:ascii="Times New Roman" w:hAnsi="Times New Roman" w:eastAsia="宋体" w:cs="Times New Roman"/>
          <w:b w:val="0"/>
          <w:color w:val="auto"/>
          <w:sz w:val="24"/>
          <w:szCs w:val="24"/>
          <w:highlight w:val="none"/>
          <w:lang w:val="zh-TW" w:eastAsia="zh-TW"/>
        </w:rPr>
        <w:t>种；裸子植物</w:t>
      </w:r>
      <w:r>
        <w:rPr>
          <w:rStyle w:val="78"/>
          <w:rFonts w:hint="default" w:ascii="Times New Roman" w:hAnsi="Times New Roman" w:eastAsia="宋体" w:cs="Times New Roman"/>
          <w:b w:val="0"/>
          <w:color w:val="auto"/>
          <w:sz w:val="24"/>
          <w:szCs w:val="24"/>
          <w:highlight w:val="none"/>
          <w:lang w:val="en-US" w:eastAsia="zh-CN"/>
        </w:rPr>
        <w:t>3</w:t>
      </w:r>
      <w:r>
        <w:rPr>
          <w:rStyle w:val="78"/>
          <w:rFonts w:hint="default" w:ascii="Times New Roman" w:hAnsi="Times New Roman" w:eastAsia="宋体" w:cs="Times New Roman"/>
          <w:b w:val="0"/>
          <w:color w:val="auto"/>
          <w:sz w:val="24"/>
          <w:szCs w:val="24"/>
          <w:highlight w:val="none"/>
          <w:lang w:val="zh-TW" w:eastAsia="zh-TW"/>
        </w:rPr>
        <w:t>科</w:t>
      </w:r>
      <w:r>
        <w:rPr>
          <w:rStyle w:val="78"/>
          <w:rFonts w:hint="default" w:ascii="Times New Roman" w:hAnsi="Times New Roman" w:eastAsia="宋体" w:cs="Times New Roman"/>
          <w:b w:val="0"/>
          <w:color w:val="auto"/>
          <w:sz w:val="24"/>
          <w:szCs w:val="24"/>
          <w:highlight w:val="none"/>
          <w:lang w:val="en-US" w:eastAsia="zh-CN"/>
        </w:rPr>
        <w:t>5</w:t>
      </w:r>
      <w:r>
        <w:rPr>
          <w:rStyle w:val="78"/>
          <w:rFonts w:hint="default" w:ascii="Times New Roman" w:hAnsi="Times New Roman" w:eastAsia="宋体" w:cs="Times New Roman"/>
          <w:b w:val="0"/>
          <w:color w:val="auto"/>
          <w:sz w:val="24"/>
          <w:szCs w:val="24"/>
          <w:highlight w:val="none"/>
          <w:lang w:val="zh-TW" w:eastAsia="zh-TW"/>
        </w:rPr>
        <w:t>属</w:t>
      </w:r>
      <w:r>
        <w:rPr>
          <w:rStyle w:val="78"/>
          <w:rFonts w:hint="default" w:ascii="Times New Roman" w:hAnsi="Times New Roman" w:eastAsia="宋体" w:cs="Times New Roman"/>
          <w:b w:val="0"/>
          <w:color w:val="auto"/>
          <w:sz w:val="24"/>
          <w:szCs w:val="24"/>
          <w:highlight w:val="none"/>
          <w:lang w:val="en-US" w:eastAsia="zh-CN"/>
        </w:rPr>
        <w:t>7</w:t>
      </w:r>
      <w:r>
        <w:rPr>
          <w:rStyle w:val="78"/>
          <w:rFonts w:hint="default" w:ascii="Times New Roman" w:hAnsi="Times New Roman" w:eastAsia="宋体" w:cs="Times New Roman"/>
          <w:b w:val="0"/>
          <w:color w:val="auto"/>
          <w:sz w:val="24"/>
          <w:szCs w:val="24"/>
          <w:highlight w:val="none"/>
          <w:lang w:val="zh-TW" w:eastAsia="zh-TW"/>
        </w:rPr>
        <w:t>种；被子植物7</w:t>
      </w:r>
      <w:r>
        <w:rPr>
          <w:rStyle w:val="78"/>
          <w:rFonts w:hint="default" w:ascii="Times New Roman" w:hAnsi="Times New Roman" w:eastAsia="宋体" w:cs="Times New Roman"/>
          <w:b w:val="0"/>
          <w:color w:val="auto"/>
          <w:sz w:val="24"/>
          <w:szCs w:val="24"/>
          <w:highlight w:val="none"/>
          <w:lang w:val="en-US" w:eastAsia="zh-CN"/>
        </w:rPr>
        <w:t>4</w:t>
      </w:r>
      <w:r>
        <w:rPr>
          <w:rStyle w:val="78"/>
          <w:rFonts w:hint="default" w:ascii="Times New Roman" w:hAnsi="Times New Roman" w:eastAsia="宋体" w:cs="Times New Roman"/>
          <w:b w:val="0"/>
          <w:color w:val="auto"/>
          <w:sz w:val="24"/>
          <w:szCs w:val="24"/>
          <w:highlight w:val="none"/>
          <w:lang w:val="zh-TW" w:eastAsia="zh-TW"/>
        </w:rPr>
        <w:t>科2</w:t>
      </w:r>
      <w:r>
        <w:rPr>
          <w:rStyle w:val="78"/>
          <w:rFonts w:hint="default" w:ascii="Times New Roman" w:hAnsi="Times New Roman" w:eastAsia="宋体" w:cs="Times New Roman"/>
          <w:b w:val="0"/>
          <w:color w:val="auto"/>
          <w:sz w:val="24"/>
          <w:szCs w:val="24"/>
          <w:highlight w:val="none"/>
          <w:lang w:val="en-US" w:eastAsia="zh-CN"/>
        </w:rPr>
        <w:t>25</w:t>
      </w:r>
      <w:r>
        <w:rPr>
          <w:rStyle w:val="78"/>
          <w:rFonts w:hint="default" w:ascii="Times New Roman" w:hAnsi="Times New Roman" w:eastAsia="宋体" w:cs="Times New Roman"/>
          <w:b w:val="0"/>
          <w:color w:val="auto"/>
          <w:sz w:val="24"/>
          <w:szCs w:val="24"/>
          <w:highlight w:val="none"/>
          <w:lang w:val="zh-TW" w:eastAsia="zh-TW"/>
        </w:rPr>
        <w:t>属</w:t>
      </w:r>
      <w:r>
        <w:rPr>
          <w:rStyle w:val="78"/>
          <w:rFonts w:hint="default" w:ascii="Times New Roman" w:hAnsi="Times New Roman" w:eastAsia="宋体" w:cs="Times New Roman"/>
          <w:b w:val="0"/>
          <w:color w:val="auto"/>
          <w:sz w:val="24"/>
          <w:szCs w:val="24"/>
          <w:highlight w:val="none"/>
          <w:lang w:val="en-US" w:eastAsia="zh-CN"/>
        </w:rPr>
        <w:t>303</w:t>
      </w:r>
      <w:r>
        <w:rPr>
          <w:rStyle w:val="78"/>
          <w:rFonts w:hint="default" w:ascii="Times New Roman" w:hAnsi="Times New Roman" w:eastAsia="宋体" w:cs="Times New Roman"/>
          <w:b w:val="0"/>
          <w:color w:val="auto"/>
          <w:sz w:val="24"/>
          <w:szCs w:val="24"/>
          <w:highlight w:val="none"/>
          <w:lang w:val="zh-TW" w:eastAsia="zh-TW"/>
        </w:rPr>
        <w:t>种。</w:t>
      </w:r>
      <w:r>
        <w:rPr>
          <w:rFonts w:hint="default" w:ascii="Times New Roman" w:hAnsi="Times New Roman" w:eastAsia="宋体" w:cs="Times New Roman"/>
          <w:color w:val="auto"/>
          <w:sz w:val="24"/>
          <w:szCs w:val="24"/>
          <w:highlight w:val="none"/>
          <w:lang w:val="en-US" w:eastAsia="en-US"/>
        </w:rPr>
        <w:t>。根据现场调查，本项目评价区范围内未发现国家级重点保护植物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en-US"/>
        </w:rPr>
        <w:t>动物种类多样性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olor w:val="0000FF"/>
          <w:highlight w:val="none"/>
          <w:lang w:val="en-US" w:eastAsia="zh-CN"/>
        </w:rPr>
      </w:pPr>
      <w:r>
        <w:rPr>
          <w:rFonts w:hint="default" w:ascii="Times New Roman" w:hAnsi="Times New Roman" w:eastAsia="宋体" w:cs="Times New Roman"/>
          <w:color w:val="0000FF"/>
          <w:sz w:val="24"/>
          <w:szCs w:val="24"/>
          <w:highlight w:val="none"/>
          <w:lang w:val="en-US" w:eastAsia="en-US"/>
        </w:rPr>
        <w:t>评价区及附近地区分布有</w:t>
      </w:r>
      <w:r>
        <w:rPr>
          <w:rStyle w:val="78"/>
          <w:rFonts w:hint="default" w:ascii="Times New Roman" w:hAnsi="Times New Roman" w:eastAsia="宋体" w:cs="Times New Roman"/>
          <w:b w:val="0"/>
          <w:color w:val="0000FF"/>
          <w:sz w:val="24"/>
          <w:szCs w:val="24"/>
          <w:highlight w:val="none"/>
          <w:lang w:val="zh-TW" w:eastAsia="zh-TW"/>
        </w:rPr>
        <w:t>陆生脊椎动物</w:t>
      </w:r>
      <w:r>
        <w:rPr>
          <w:rFonts w:hint="default"/>
          <w:color w:val="0000FF"/>
          <w:highlight w:val="none"/>
          <w:lang w:val="zh-TW" w:eastAsia="zh-TW"/>
        </w:rPr>
        <w:t>4纲1</w:t>
      </w:r>
      <w:r>
        <w:rPr>
          <w:rFonts w:hint="default"/>
          <w:color w:val="0000FF"/>
          <w:highlight w:val="none"/>
          <w:lang w:val="en-US" w:eastAsia="zh-CN"/>
        </w:rPr>
        <w:t>4</w:t>
      </w:r>
      <w:r>
        <w:rPr>
          <w:rFonts w:hint="default"/>
          <w:color w:val="0000FF"/>
          <w:highlight w:val="none"/>
          <w:lang w:val="zh-TW" w:eastAsia="zh-TW"/>
        </w:rPr>
        <w:t>目</w:t>
      </w:r>
      <w:r>
        <w:rPr>
          <w:rFonts w:hint="eastAsia"/>
          <w:color w:val="0000FF"/>
          <w:highlight w:val="none"/>
          <w:lang w:val="en-US" w:eastAsia="zh-CN"/>
        </w:rPr>
        <w:t>36</w:t>
      </w:r>
      <w:r>
        <w:rPr>
          <w:rFonts w:hint="default"/>
          <w:color w:val="0000FF"/>
          <w:highlight w:val="none"/>
          <w:lang w:val="zh-TW" w:eastAsia="zh-TW"/>
        </w:rPr>
        <w:t>科</w:t>
      </w:r>
      <w:r>
        <w:rPr>
          <w:rFonts w:hint="eastAsia"/>
          <w:color w:val="0000FF"/>
          <w:highlight w:val="none"/>
          <w:lang w:val="en-US" w:eastAsia="zh-CN"/>
        </w:rPr>
        <w:t>53</w:t>
      </w:r>
      <w:r>
        <w:rPr>
          <w:rFonts w:hint="default"/>
          <w:color w:val="0000FF"/>
          <w:highlight w:val="none"/>
          <w:lang w:val="zh-TW" w:eastAsia="zh-TW"/>
        </w:rPr>
        <w:t>属</w:t>
      </w:r>
      <w:r>
        <w:rPr>
          <w:rFonts w:hint="eastAsia"/>
          <w:color w:val="0000FF"/>
          <w:highlight w:val="none"/>
          <w:lang w:val="en-US" w:eastAsia="zh-CN"/>
        </w:rPr>
        <w:t>6</w:t>
      </w:r>
      <w:r>
        <w:rPr>
          <w:rFonts w:hint="default"/>
          <w:color w:val="0000FF"/>
          <w:highlight w:val="none"/>
          <w:lang w:val="en-US" w:eastAsia="zh-CN"/>
        </w:rPr>
        <w:t>6</w:t>
      </w:r>
      <w:r>
        <w:rPr>
          <w:rFonts w:hint="default"/>
          <w:color w:val="0000FF"/>
          <w:highlight w:val="none"/>
          <w:lang w:val="zh-TW" w:eastAsia="zh-TW"/>
        </w:rPr>
        <w:t>种，包括两栖类（纲</w:t>
      </w:r>
      <w:r>
        <w:rPr>
          <w:rFonts w:hint="default"/>
          <w:color w:val="0000FF"/>
          <w:highlight w:val="none"/>
          <w:lang w:val="en-US" w:eastAsia="en-US"/>
        </w:rPr>
        <w:t>）</w:t>
      </w:r>
      <w:r>
        <w:rPr>
          <w:rFonts w:hint="default"/>
          <w:color w:val="0000FF"/>
          <w:highlight w:val="none"/>
          <w:lang w:val="zh-TW" w:eastAsia="zh-TW"/>
        </w:rPr>
        <w:t>1目</w:t>
      </w:r>
      <w:r>
        <w:rPr>
          <w:rFonts w:hint="eastAsia"/>
          <w:color w:val="0000FF"/>
          <w:highlight w:val="none"/>
          <w:lang w:val="en-US" w:eastAsia="zh-CN"/>
        </w:rPr>
        <w:t>3</w:t>
      </w:r>
      <w:r>
        <w:rPr>
          <w:rFonts w:hint="default"/>
          <w:color w:val="0000FF"/>
          <w:highlight w:val="none"/>
          <w:lang w:val="zh-TW" w:eastAsia="zh-TW"/>
        </w:rPr>
        <w:t>科</w:t>
      </w:r>
      <w:r>
        <w:rPr>
          <w:rFonts w:hint="eastAsia"/>
          <w:color w:val="0000FF"/>
          <w:highlight w:val="none"/>
          <w:lang w:val="en-US" w:eastAsia="zh-CN"/>
        </w:rPr>
        <w:t>4</w:t>
      </w:r>
      <w:r>
        <w:rPr>
          <w:rFonts w:hint="default"/>
          <w:color w:val="0000FF"/>
          <w:highlight w:val="none"/>
          <w:lang w:val="zh-TW" w:eastAsia="zh-TW"/>
        </w:rPr>
        <w:t>属</w:t>
      </w:r>
      <w:r>
        <w:rPr>
          <w:rFonts w:hint="eastAsia"/>
          <w:color w:val="0000FF"/>
          <w:highlight w:val="none"/>
          <w:lang w:val="en-US" w:eastAsia="zh-CN"/>
        </w:rPr>
        <w:t>5</w:t>
      </w:r>
      <w:r>
        <w:rPr>
          <w:rFonts w:hint="default"/>
          <w:color w:val="0000FF"/>
          <w:highlight w:val="none"/>
          <w:lang w:val="zh-TW" w:eastAsia="zh-TW"/>
        </w:rPr>
        <w:t>种；爬行类（纲</w:t>
      </w:r>
      <w:r>
        <w:rPr>
          <w:rFonts w:hint="default"/>
          <w:color w:val="0000FF"/>
          <w:highlight w:val="none"/>
          <w:lang w:val="en-US" w:eastAsia="en-US"/>
        </w:rPr>
        <w:t>）</w:t>
      </w:r>
      <w:r>
        <w:rPr>
          <w:rFonts w:hint="eastAsia"/>
          <w:color w:val="0000FF"/>
          <w:highlight w:val="none"/>
          <w:lang w:val="en-US" w:eastAsia="zh-CN"/>
        </w:rPr>
        <w:t>2</w:t>
      </w:r>
      <w:r>
        <w:rPr>
          <w:rFonts w:hint="default"/>
          <w:color w:val="0000FF"/>
          <w:highlight w:val="none"/>
          <w:lang w:val="zh-TW" w:eastAsia="zh-TW"/>
        </w:rPr>
        <w:t>目</w:t>
      </w:r>
      <w:r>
        <w:rPr>
          <w:rFonts w:hint="default"/>
          <w:color w:val="0000FF"/>
          <w:highlight w:val="none"/>
          <w:lang w:val="en-US" w:eastAsia="zh-CN"/>
        </w:rPr>
        <w:t>3</w:t>
      </w:r>
      <w:r>
        <w:rPr>
          <w:rFonts w:hint="default"/>
          <w:color w:val="0000FF"/>
          <w:highlight w:val="none"/>
          <w:lang w:val="zh-TW" w:eastAsia="zh-TW"/>
        </w:rPr>
        <w:t>科</w:t>
      </w:r>
      <w:r>
        <w:rPr>
          <w:rFonts w:hint="eastAsia"/>
          <w:color w:val="0000FF"/>
          <w:highlight w:val="none"/>
          <w:lang w:val="en-US" w:eastAsia="zh-CN"/>
        </w:rPr>
        <w:t>4</w:t>
      </w:r>
      <w:r>
        <w:rPr>
          <w:rFonts w:hint="default"/>
          <w:color w:val="0000FF"/>
          <w:highlight w:val="none"/>
          <w:lang w:val="zh-TW" w:eastAsia="zh-TW"/>
        </w:rPr>
        <w:t>属</w:t>
      </w:r>
      <w:r>
        <w:rPr>
          <w:rFonts w:hint="eastAsia"/>
          <w:color w:val="0000FF"/>
          <w:highlight w:val="none"/>
          <w:lang w:val="en-US" w:eastAsia="zh-CN"/>
        </w:rPr>
        <w:t>4</w:t>
      </w:r>
      <w:r>
        <w:rPr>
          <w:rFonts w:hint="default"/>
          <w:color w:val="0000FF"/>
          <w:highlight w:val="none"/>
          <w:lang w:val="zh-TW" w:eastAsia="zh-TW"/>
        </w:rPr>
        <w:t>种；鸟类（纲</w:t>
      </w:r>
      <w:r>
        <w:rPr>
          <w:rFonts w:hint="default"/>
          <w:color w:val="0000FF"/>
          <w:highlight w:val="none"/>
          <w:lang w:val="en-US" w:eastAsia="en-US"/>
        </w:rPr>
        <w:t>）</w:t>
      </w:r>
      <w:r>
        <w:rPr>
          <w:rFonts w:hint="default"/>
          <w:color w:val="0000FF"/>
          <w:highlight w:val="none"/>
          <w:lang w:val="en-US" w:eastAsia="zh-CN"/>
        </w:rPr>
        <w:t>8</w:t>
      </w:r>
      <w:r>
        <w:rPr>
          <w:rFonts w:hint="default"/>
          <w:color w:val="0000FF"/>
          <w:highlight w:val="none"/>
          <w:lang w:val="zh-TW" w:eastAsia="zh-TW"/>
        </w:rPr>
        <w:t>目2</w:t>
      </w:r>
      <w:r>
        <w:rPr>
          <w:rFonts w:hint="eastAsia"/>
          <w:color w:val="0000FF"/>
          <w:highlight w:val="none"/>
          <w:lang w:val="en-US" w:eastAsia="zh-CN"/>
        </w:rPr>
        <w:t>4</w:t>
      </w:r>
      <w:r>
        <w:rPr>
          <w:rFonts w:hint="default"/>
          <w:color w:val="0000FF"/>
          <w:highlight w:val="none"/>
          <w:lang w:val="zh-TW" w:eastAsia="zh-TW"/>
        </w:rPr>
        <w:t>科</w:t>
      </w:r>
      <w:r>
        <w:rPr>
          <w:rFonts w:hint="eastAsia"/>
          <w:color w:val="0000FF"/>
          <w:highlight w:val="none"/>
          <w:lang w:val="en-US" w:eastAsia="zh-CN"/>
        </w:rPr>
        <w:t>37</w:t>
      </w:r>
      <w:r>
        <w:rPr>
          <w:rFonts w:hint="default"/>
          <w:color w:val="0000FF"/>
          <w:highlight w:val="none"/>
          <w:lang w:val="zh-TW" w:eastAsia="zh-TW"/>
        </w:rPr>
        <w:t>属</w:t>
      </w:r>
      <w:r>
        <w:rPr>
          <w:rFonts w:hint="eastAsia"/>
          <w:color w:val="0000FF"/>
          <w:highlight w:val="none"/>
          <w:lang w:val="en-US" w:eastAsia="zh-CN"/>
        </w:rPr>
        <w:t>4</w:t>
      </w:r>
      <w:r>
        <w:rPr>
          <w:rFonts w:hint="default"/>
          <w:color w:val="0000FF"/>
          <w:highlight w:val="none"/>
          <w:lang w:val="en-US" w:eastAsia="zh-CN"/>
        </w:rPr>
        <w:t>7</w:t>
      </w:r>
      <w:r>
        <w:rPr>
          <w:rFonts w:hint="default"/>
          <w:color w:val="0000FF"/>
          <w:highlight w:val="none"/>
          <w:lang w:val="zh-TW" w:eastAsia="zh-TW"/>
        </w:rPr>
        <w:t>种；哺乳类（纲</w:t>
      </w:r>
      <w:r>
        <w:rPr>
          <w:rFonts w:hint="default"/>
          <w:color w:val="0000FF"/>
          <w:highlight w:val="none"/>
          <w:lang w:val="en-US" w:eastAsia="en-US"/>
        </w:rPr>
        <w:t>）</w:t>
      </w:r>
      <w:r>
        <w:rPr>
          <w:rFonts w:hint="eastAsia"/>
          <w:color w:val="0000FF"/>
          <w:highlight w:val="none"/>
          <w:lang w:val="en-US" w:eastAsia="zh-CN"/>
        </w:rPr>
        <w:t>3</w:t>
      </w:r>
      <w:r>
        <w:rPr>
          <w:rFonts w:hint="default"/>
          <w:color w:val="0000FF"/>
          <w:highlight w:val="none"/>
          <w:lang w:val="zh-TW" w:eastAsia="zh-TW"/>
        </w:rPr>
        <w:t>目</w:t>
      </w:r>
      <w:r>
        <w:rPr>
          <w:rFonts w:hint="eastAsia"/>
          <w:color w:val="0000FF"/>
          <w:highlight w:val="none"/>
          <w:lang w:val="en-US" w:eastAsia="zh-CN"/>
        </w:rPr>
        <w:t>6</w:t>
      </w:r>
      <w:r>
        <w:rPr>
          <w:rFonts w:hint="default"/>
          <w:color w:val="0000FF"/>
          <w:highlight w:val="none"/>
          <w:lang w:val="zh-TW" w:eastAsia="zh-TW"/>
        </w:rPr>
        <w:t>科</w:t>
      </w:r>
      <w:r>
        <w:rPr>
          <w:rFonts w:hint="eastAsia"/>
          <w:color w:val="0000FF"/>
          <w:highlight w:val="none"/>
          <w:lang w:val="en-US" w:eastAsia="zh-CN"/>
        </w:rPr>
        <w:t>8</w:t>
      </w:r>
      <w:r>
        <w:rPr>
          <w:rFonts w:hint="default"/>
          <w:color w:val="0000FF"/>
          <w:highlight w:val="none"/>
          <w:lang w:val="zh-TW" w:eastAsia="zh-TW"/>
        </w:rPr>
        <w:t>属</w:t>
      </w:r>
      <w:r>
        <w:rPr>
          <w:rFonts w:hint="eastAsia"/>
          <w:color w:val="0000FF"/>
          <w:highlight w:val="none"/>
          <w:lang w:val="en-US" w:eastAsia="zh-CN"/>
        </w:rPr>
        <w:t>9</w:t>
      </w:r>
      <w:r>
        <w:rPr>
          <w:rFonts w:hint="default"/>
          <w:color w:val="0000FF"/>
          <w:highlight w:val="none"/>
          <w:lang w:val="zh-TW" w:eastAsia="zh-TW"/>
        </w:rPr>
        <w:t>种。</w:t>
      </w:r>
      <w:r>
        <w:rPr>
          <w:rFonts w:hint="default" w:ascii="Times New Roman" w:hAnsi="Times New Roman" w:eastAsia="宋体" w:cs="Times New Roman"/>
          <w:color w:val="0000FF"/>
          <w:sz w:val="24"/>
          <w:szCs w:val="24"/>
          <w:highlight w:val="none"/>
          <w:lang w:val="en-US" w:eastAsia="en-US"/>
        </w:rPr>
        <w:t>根据现场调查和资料查阅，评价区记录了国家</w:t>
      </w:r>
      <w:r>
        <w:rPr>
          <w:rFonts w:hint="eastAsia" w:cs="Times New Roman"/>
          <w:color w:val="0000FF"/>
          <w:sz w:val="24"/>
          <w:szCs w:val="24"/>
          <w:highlight w:val="none"/>
          <w:lang w:val="en-US" w:eastAsia="zh-CN"/>
        </w:rPr>
        <w:t>Ⅱ级</w:t>
      </w:r>
      <w:r>
        <w:rPr>
          <w:rFonts w:hint="default" w:ascii="Times New Roman" w:hAnsi="Times New Roman" w:eastAsia="宋体" w:cs="Times New Roman"/>
          <w:color w:val="0000FF"/>
          <w:sz w:val="24"/>
          <w:szCs w:val="24"/>
          <w:highlight w:val="none"/>
          <w:lang w:val="en-US" w:eastAsia="en-US"/>
        </w:rPr>
        <w:t>重点保护动物</w:t>
      </w:r>
      <w:r>
        <w:rPr>
          <w:rFonts w:hint="eastAsia" w:cs="Times New Roman"/>
          <w:color w:val="0000FF"/>
          <w:sz w:val="24"/>
          <w:szCs w:val="24"/>
          <w:highlight w:val="none"/>
          <w:lang w:val="en-US" w:eastAsia="zh-CN"/>
        </w:rPr>
        <w:t>2</w:t>
      </w:r>
      <w:r>
        <w:rPr>
          <w:rFonts w:hint="default" w:ascii="Times New Roman" w:hAnsi="Times New Roman" w:eastAsia="宋体" w:cs="Times New Roman"/>
          <w:color w:val="0000FF"/>
          <w:sz w:val="24"/>
          <w:szCs w:val="24"/>
          <w:highlight w:val="none"/>
          <w:lang w:val="en-US" w:eastAsia="en-US"/>
        </w:rPr>
        <w:t>种，均为鸟类，分别为红隼、黑翅鸢</w:t>
      </w:r>
      <w:r>
        <w:rPr>
          <w:rFonts w:hint="eastAsia" w:cs="Times New Roman"/>
          <w:color w:val="0000FF"/>
          <w:sz w:val="24"/>
          <w:szCs w:val="24"/>
          <w:highlight w:val="none"/>
          <w:lang w:val="en-US" w:eastAsia="zh-CN"/>
        </w:rPr>
        <w:t>。</w:t>
      </w:r>
    </w:p>
    <w:p>
      <w:pPr>
        <w:keepNext w:val="0"/>
        <w:keepLines w:val="0"/>
        <w:pageBreakBefore w:val="0"/>
        <w:widowControl w:val="0"/>
        <w:numPr>
          <w:ilvl w:val="3"/>
          <w:numId w:val="0"/>
        </w:numPr>
        <w:tabs>
          <w:tab w:val="left" w:pos="0"/>
          <w:tab w:val="left" w:pos="283"/>
        </w:tabs>
        <w:kinsoku/>
        <w:wordWrap/>
        <w:overflowPunct/>
        <w:topLinePunct w:val="0"/>
        <w:autoSpaceDE/>
        <w:autoSpaceDN/>
        <w:bidi w:val="0"/>
        <w:adjustRightInd/>
        <w:ind w:leftChars="0" w:firstLine="482" w:firstLineChars="200"/>
        <w:textAlignment w:val="auto"/>
        <w:outlineLvl w:val="9"/>
        <w:rPr>
          <w:rFonts w:hint="eastAsia" w:ascii="Times New Roman" w:hAnsi="Times New Roman" w:eastAsia="宋体" w:cs="Times New Roman"/>
          <w:b/>
          <w:bCs/>
          <w:color w:val="auto"/>
          <w:highlight w:val="none"/>
          <w:lang w:val="en-US" w:eastAsia="zh-CN"/>
        </w:rPr>
      </w:pPr>
      <w:bookmarkStart w:id="655" w:name="_Toc3146"/>
      <w:r>
        <w:rPr>
          <w:rFonts w:hint="eastAsia" w:ascii="Times New Roman" w:hAnsi="Times New Roman" w:eastAsia="宋体" w:cs="Times New Roman"/>
          <w:b/>
          <w:bCs/>
          <w:color w:val="auto"/>
          <w:highlight w:val="none"/>
          <w:lang w:val="en-US" w:eastAsia="zh-CN"/>
        </w:rPr>
        <w:t>2、生物多样性影响分析</w:t>
      </w:r>
      <w:bookmarkEnd w:id="655"/>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24"/>
          <w:highlight w:val="none"/>
          <w:lang w:val="en-US" w:eastAsia="en-US"/>
        </w:rPr>
      </w:pPr>
      <w:r>
        <w:rPr>
          <w:rFonts w:hint="eastAsia"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val="en-US" w:eastAsia="en-US"/>
        </w:rPr>
        <w:t>对生物群落的影响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eastAsia" w:ascii="Times New Roman" w:hAnsi="Times New Roman" w:eastAsia="宋体" w:cs="Times New Roman"/>
          <w:color w:val="auto"/>
          <w:sz w:val="24"/>
          <w:szCs w:val="24"/>
          <w:highlight w:val="none"/>
          <w:lang w:val="en-US" w:eastAsia="zh-CN"/>
        </w:rPr>
        <w:t>①</w:t>
      </w:r>
      <w:r>
        <w:rPr>
          <w:rFonts w:hint="default" w:ascii="Times New Roman" w:hAnsi="Times New Roman" w:eastAsia="宋体" w:cs="Times New Roman"/>
          <w:color w:val="auto"/>
          <w:sz w:val="24"/>
          <w:szCs w:val="24"/>
          <w:highlight w:val="none"/>
          <w:lang w:val="en-US" w:eastAsia="en-US"/>
        </w:rPr>
        <w:t>受影响群落（栖息地）类型的特有性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default" w:ascii="Times New Roman" w:hAnsi="Times New Roman" w:eastAsia="宋体" w:cs="Times New Roman"/>
          <w:color w:val="auto"/>
          <w:sz w:val="24"/>
          <w:szCs w:val="24"/>
          <w:highlight w:val="none"/>
          <w:lang w:val="en-US" w:eastAsia="en-US"/>
        </w:rPr>
        <w:t>评价区只涉及3种植被亚型：稀树灌木草丛植被发育较好，有一定的代表性，</w:t>
      </w:r>
      <w:r>
        <w:rPr>
          <w:rFonts w:hint="default" w:ascii="Times New Roman" w:hAnsi="Times New Roman" w:eastAsia="宋体" w:cs="Times New Roman"/>
          <w:color w:val="auto"/>
          <w:sz w:val="24"/>
          <w:szCs w:val="24"/>
          <w:highlight w:val="none"/>
          <w:lang w:val="en-US" w:eastAsia="zh-CN"/>
        </w:rPr>
        <w:t>云南松、滇油杉</w:t>
      </w:r>
      <w:r>
        <w:rPr>
          <w:rFonts w:hint="default" w:ascii="Times New Roman" w:hAnsi="Times New Roman" w:eastAsia="宋体" w:cs="Times New Roman"/>
          <w:color w:val="auto"/>
          <w:sz w:val="24"/>
          <w:szCs w:val="24"/>
          <w:highlight w:val="none"/>
          <w:lang w:val="en-US" w:eastAsia="en-US"/>
        </w:rPr>
        <w:t>林</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en-US"/>
        </w:rPr>
        <w:t>含</w:t>
      </w:r>
      <w:r>
        <w:rPr>
          <w:rFonts w:hint="default" w:ascii="Times New Roman" w:hAnsi="Times New Roman" w:eastAsia="宋体" w:cs="Times New Roman"/>
          <w:color w:val="auto"/>
          <w:sz w:val="24"/>
          <w:szCs w:val="24"/>
          <w:highlight w:val="none"/>
          <w:lang w:val="en-US" w:eastAsia="zh-CN"/>
        </w:rPr>
        <w:t>余甘子、牛</w:t>
      </w:r>
      <w:r>
        <w:rPr>
          <w:rFonts w:hint="eastAsia" w:cs="Times New Roman"/>
          <w:color w:val="auto"/>
          <w:sz w:val="24"/>
          <w:szCs w:val="24"/>
          <w:highlight w:val="none"/>
          <w:lang w:val="en-US" w:eastAsia="zh-CN"/>
        </w:rPr>
        <w:t>黄麻</w:t>
      </w:r>
      <w:r>
        <w:rPr>
          <w:rFonts w:hint="default" w:ascii="Times New Roman" w:hAnsi="Times New Roman" w:eastAsia="宋体" w:cs="Times New Roman"/>
          <w:color w:val="auto"/>
          <w:sz w:val="24"/>
          <w:szCs w:val="24"/>
          <w:highlight w:val="none"/>
          <w:lang w:val="en-US" w:eastAsia="en-US"/>
        </w:rPr>
        <w:t>的中草草丛</w:t>
      </w:r>
      <w:r>
        <w:rPr>
          <w:rFonts w:hint="default" w:ascii="Times New Roman" w:hAnsi="Times New Roman" w:eastAsia="宋体" w:cs="Times New Roman"/>
          <w:color w:val="auto"/>
          <w:sz w:val="24"/>
          <w:szCs w:val="24"/>
          <w:highlight w:val="none"/>
          <w:lang w:val="en-US" w:eastAsia="zh-CN"/>
        </w:rPr>
        <w:t>，锥连栎、光叶高山栎</w:t>
      </w:r>
      <w:r>
        <w:rPr>
          <w:rFonts w:hint="default" w:ascii="Times New Roman" w:hAnsi="Times New Roman" w:eastAsia="宋体" w:cs="Times New Roman"/>
          <w:color w:val="auto"/>
          <w:sz w:val="24"/>
          <w:szCs w:val="24"/>
          <w:highlight w:val="none"/>
          <w:lang w:val="en-US" w:eastAsia="en-US"/>
        </w:rPr>
        <w:t>灌丛</w:t>
      </w:r>
      <w:r>
        <w:rPr>
          <w:rFonts w:hint="default" w:ascii="Times New Roman" w:hAnsi="Times New Roman" w:eastAsia="宋体" w:cs="Times New Roman"/>
          <w:color w:val="auto"/>
          <w:sz w:val="24"/>
          <w:szCs w:val="24"/>
          <w:highlight w:val="none"/>
          <w:lang w:val="en-US" w:eastAsia="zh-CN"/>
        </w:rPr>
        <w:t>，华西小石积、车桑子灌丛</w:t>
      </w:r>
      <w:r>
        <w:rPr>
          <w:rFonts w:hint="default" w:ascii="Times New Roman" w:hAnsi="Times New Roman" w:eastAsia="宋体" w:cs="Times New Roman"/>
          <w:color w:val="auto"/>
          <w:sz w:val="24"/>
          <w:szCs w:val="24"/>
          <w:highlight w:val="none"/>
          <w:lang w:val="en-US" w:eastAsia="en-US"/>
        </w:rPr>
        <w:t>4个群系。这几个植被类型在本区分布的群落类型除在项目区的元谋县有广泛分布外，在整个金沙江流域以及其他干热河谷地区也广泛分布，为非特有植被类型。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eastAsia" w:ascii="Times New Roman" w:hAnsi="Times New Roman" w:eastAsia="宋体" w:cs="Times New Roman"/>
          <w:color w:val="auto"/>
          <w:sz w:val="24"/>
          <w:szCs w:val="24"/>
          <w:highlight w:val="none"/>
          <w:lang w:val="en-US" w:eastAsia="zh-CN"/>
        </w:rPr>
        <w:t>②</w:t>
      </w:r>
      <w:r>
        <w:rPr>
          <w:rFonts w:hint="default" w:ascii="Times New Roman" w:hAnsi="Times New Roman" w:eastAsia="宋体" w:cs="Times New Roman"/>
          <w:color w:val="auto"/>
          <w:sz w:val="24"/>
          <w:szCs w:val="24"/>
          <w:highlight w:val="none"/>
          <w:lang w:val="en-US" w:eastAsia="en-US"/>
        </w:rPr>
        <w:t>对生物群落（栖息地）面积的影响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eastAsia" w:ascii="Times New Roman" w:hAnsi="Times New Roman" w:eastAsia="宋体" w:cs="Times New Roman"/>
          <w:color w:val="auto"/>
          <w:sz w:val="24"/>
          <w:szCs w:val="24"/>
          <w:highlight w:val="none"/>
          <w:lang w:val="en-US" w:eastAsia="zh-CN"/>
        </w:rPr>
        <w:t>因工程</w:t>
      </w:r>
      <w:r>
        <w:rPr>
          <w:rFonts w:hint="default" w:ascii="Times New Roman" w:hAnsi="Times New Roman" w:eastAsia="宋体" w:cs="Times New Roman"/>
          <w:color w:val="auto"/>
          <w:sz w:val="24"/>
          <w:szCs w:val="24"/>
          <w:highlight w:val="none"/>
          <w:lang w:val="en-US" w:eastAsia="en-US"/>
        </w:rPr>
        <w:t>永久占用而消失的自然植被的面积与评价区该植被类型相比，减少的面积极小。综合评定工程建设对评价区生物群落面积的影响很小。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eastAsia" w:ascii="Times New Roman" w:hAnsi="Times New Roman" w:eastAsia="宋体" w:cs="Times New Roman"/>
          <w:color w:val="auto"/>
          <w:sz w:val="24"/>
          <w:szCs w:val="24"/>
          <w:highlight w:val="none"/>
          <w:lang w:val="en-US" w:eastAsia="zh-CN"/>
        </w:rPr>
        <w:t>③</w:t>
      </w:r>
      <w:r>
        <w:rPr>
          <w:rFonts w:hint="default" w:ascii="Times New Roman" w:hAnsi="Times New Roman" w:eastAsia="宋体" w:cs="Times New Roman"/>
          <w:color w:val="auto"/>
          <w:sz w:val="24"/>
          <w:szCs w:val="24"/>
          <w:highlight w:val="none"/>
          <w:lang w:val="en-US" w:eastAsia="en-US"/>
        </w:rPr>
        <w:t>对栖息地连通性的影响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default" w:ascii="Times New Roman" w:hAnsi="Times New Roman" w:eastAsia="宋体" w:cs="Times New Roman"/>
          <w:color w:val="auto"/>
          <w:sz w:val="24"/>
          <w:szCs w:val="24"/>
          <w:highlight w:val="none"/>
          <w:lang w:val="en-US" w:eastAsia="en-US"/>
        </w:rPr>
        <w:t>维持植被的连通性有利于野生动物种群的迁移、扩散和繁衍。当栖息地连通性好时，动物的生存和繁衍顺畅，受到阻力小；反之，运动阻力大，不利于其生存和繁衍。因此保持栖息地的连通性对生物多样性保护意义重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default" w:ascii="Times New Roman" w:hAnsi="Times New Roman" w:eastAsia="宋体" w:cs="Times New Roman"/>
          <w:color w:val="auto"/>
          <w:sz w:val="24"/>
          <w:szCs w:val="24"/>
          <w:highlight w:val="none"/>
          <w:lang w:val="en-US" w:eastAsia="en-US"/>
        </w:rPr>
        <w:t>本工程建设对栖息地的影响主要是工程开挖对自然生境的破坏。由于评价区所处长期受人为影响大，气候炎热干旱，动物种类较为贫乏，且多为环境适应能力强的物种，在评价区及其周边地区分布较广，而工程项目对动物栖息地的分割程度小，因此对动物栖息地连通性的影响不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eastAsia" w:ascii="Times New Roman" w:hAnsi="Times New Roman" w:eastAsia="宋体" w:cs="Times New Roman"/>
          <w:color w:val="auto"/>
          <w:sz w:val="24"/>
          <w:szCs w:val="24"/>
          <w:highlight w:val="none"/>
          <w:lang w:val="en-US" w:eastAsia="zh-CN"/>
        </w:rPr>
        <w:t>④</w:t>
      </w:r>
      <w:r>
        <w:rPr>
          <w:rFonts w:hint="default" w:ascii="Times New Roman" w:hAnsi="Times New Roman" w:eastAsia="宋体" w:cs="Times New Roman"/>
          <w:color w:val="auto"/>
          <w:sz w:val="24"/>
          <w:szCs w:val="24"/>
          <w:highlight w:val="none"/>
          <w:lang w:val="en-US" w:eastAsia="en-US"/>
        </w:rPr>
        <w:t>对生物群落关键种类的影响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default" w:ascii="Times New Roman" w:hAnsi="Times New Roman" w:eastAsia="宋体" w:cs="Times New Roman"/>
          <w:color w:val="auto"/>
          <w:sz w:val="24"/>
          <w:szCs w:val="24"/>
          <w:highlight w:val="none"/>
          <w:lang w:val="en-US" w:eastAsia="en-US"/>
        </w:rPr>
        <w:t>对植物而言，评价区的生物群落重要种类即为群落的建群（优势）种：锥连栎、疏序黄荆、多种羊蹄甲、余甘子、狭叶山黄麻、车桑子、马桑、牛角瓜、余甘子、滇刺枣、黄茅、丛毛羊胡子草、滇油杉、西南笐子稍、华西小石积等。这些物种在评价区及云南干热河谷地区都有广泛分布，且工程建设只占用评价区天然植被面积的2.58%，因此对评价区而言，工程建设对这3种植被类亚型重要种类的构成及丰富度影响都极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default" w:ascii="Times New Roman" w:hAnsi="Times New Roman" w:eastAsia="宋体" w:cs="Times New Roman"/>
          <w:color w:val="auto"/>
          <w:sz w:val="24"/>
          <w:szCs w:val="24"/>
          <w:highlight w:val="none"/>
          <w:lang w:val="en-US" w:eastAsia="en-US"/>
        </w:rPr>
        <w:t>动物群落中的关键物种主要为处于食物链顶端的猛禽。由于猛禽活动范围较大，而本项目建设对这些关键群落栖息地造成的影响较少，工程的开发可能会减少红隼、黑翅鸢的觅食地面积，但对其种类和数量的影响较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eastAsia" w:ascii="Times New Roman" w:hAnsi="Times New Roman" w:eastAsia="宋体" w:cs="Times New Roman"/>
          <w:color w:val="auto"/>
          <w:sz w:val="24"/>
          <w:szCs w:val="24"/>
          <w:highlight w:val="none"/>
          <w:lang w:val="en-US" w:eastAsia="zh-CN"/>
        </w:rPr>
        <w:t>⑤</w:t>
      </w:r>
      <w:r>
        <w:rPr>
          <w:rFonts w:hint="default" w:ascii="Times New Roman" w:hAnsi="Times New Roman" w:eastAsia="宋体" w:cs="Times New Roman"/>
          <w:color w:val="auto"/>
          <w:sz w:val="24"/>
          <w:szCs w:val="24"/>
          <w:highlight w:val="none"/>
          <w:lang w:val="en-US" w:eastAsia="en-US"/>
        </w:rPr>
        <w:t>生物群落结构的影响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default" w:ascii="Times New Roman" w:hAnsi="Times New Roman" w:eastAsia="宋体" w:cs="Times New Roman"/>
          <w:color w:val="auto"/>
          <w:sz w:val="24"/>
          <w:szCs w:val="24"/>
          <w:highlight w:val="none"/>
          <w:lang w:val="en-US" w:eastAsia="en-US"/>
        </w:rPr>
        <w:t>本工程建设在开挖、淹没地段局部会造成植物群落物种及结构的变化，甚至会导致群落的消失，但一方面是工程建设占用评价区植被面积极小，二是占用的植被类型在评价区及云南广泛分布，所以对于这3种植被亚型及在本区分布的4种群落而言，工程建设不会对其群落结构和物种组成产生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default" w:ascii="Times New Roman" w:hAnsi="Times New Roman" w:eastAsia="宋体" w:cs="Times New Roman"/>
          <w:color w:val="auto"/>
          <w:sz w:val="24"/>
          <w:szCs w:val="24"/>
          <w:highlight w:val="none"/>
          <w:lang w:val="en-US" w:eastAsia="en-US"/>
        </w:rPr>
        <w:t>植被面积的减少在一定程度上压缩了依赖该类型植被生存的动物的栖息地面积，使得原本分布于该区域的动物的分布面积减少，甚至减少该区域的动物种类。但是由于受影响的植被类型在评价区内分布广泛且受影响面积较小，加之动物群落结构较为简单，且为人为活动高度干扰的伴生群落，多为适应能力较强的物种，跨生境分布的现象明显，因此该工程建设对评价区生物群落中动物的群落结构影响不大。</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en-US"/>
        </w:rPr>
      </w:pP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en-US"/>
        </w:rPr>
        <w:t>对景观生态体系的影响分析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en-US"/>
        </w:rPr>
      </w:pPr>
      <w:r>
        <w:rPr>
          <w:rFonts w:hint="default" w:ascii="Times New Roman" w:hAnsi="Times New Roman" w:eastAsia="宋体" w:cs="Times New Roman"/>
          <w:color w:val="auto"/>
          <w:sz w:val="24"/>
          <w:szCs w:val="24"/>
          <w:highlight w:val="none"/>
          <w:lang w:val="en-US" w:eastAsia="en-US"/>
        </w:rPr>
        <w:t>评价范围内景观结构以林地景观为主体，景观类型较单一。可能受到拟建项目影响的景观/生态系统类型为草地景观，也是评价区的地带性植被类型。由于评价区地处干热河谷地区，评价区内的草地原本的物种多样性较低，群落结构也较为简单。该景观在当地较普遍，从全球分布范围来看，非本区和中国特有，不属于特有景观类型。且项目建设直接占用评价区景观面积较小，项目建设对评价区内自然景观美学价值和景观类型的连续性产生一定影响，并可能加剧土壤侵蚀，增加滑坡、泥石流等地质灾害的风险；对自然植被覆盖率局部造成直接影响，但不会导致某种天然生物群落在评价区或保护区内消失，对生物群落结构和关键种类的影响轻微。因此，工程建设对评价区景观生态体系的影响较小。</w:t>
      </w:r>
    </w:p>
    <w:p>
      <w:pPr>
        <w:pStyle w:val="5"/>
        <w:numPr>
          <w:ilvl w:val="3"/>
          <w:numId w:val="2"/>
        </w:numPr>
        <w:bidi w:val="0"/>
        <w:ind w:left="480" w:leftChars="0" w:firstLineChars="0"/>
        <w:rPr>
          <w:rFonts w:hint="default"/>
          <w:color w:val="auto"/>
          <w:lang w:val="en-US" w:eastAsia="zh-CN"/>
        </w:rPr>
      </w:pPr>
      <w:r>
        <w:rPr>
          <w:rFonts w:hint="eastAsia"/>
          <w:color w:val="auto"/>
          <w:lang w:val="en-US" w:eastAsia="zh-CN"/>
        </w:rPr>
        <w:t>生态环境影响分析小结</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从整个区域来讲，占地影响不大，临时占用耕地采取管道深埋以及复垦的方式，恢复原有利用；临时占用林地采取植被恢复；临时用交通设施用地恢复原有交通使用功能，永久占用的区域主要影响路肩及边缘区域。随着施工结束，恢复措施完成后，对土地利用功能的影响大部分得以恢复，永久用地等地通过补偿等方式替代其原有价值。总体而言，采取补偿措施的前提下，项目对土地利用的影响有限；鉴于管道沿线地区土壤与气候利于农田植物生长，被施工直接扰动区域若非冬季将很快被浅根系植物覆盖，生物量虽然比建设前有一定程度减少，但从整体来看对区域生态环境的影响不大；工程施工将对陆生动物生存造成一定不利影响，不会导致其物种灭绝.临时征地区域的植被恢复后，陆生动物生活栖息等活动将不会受到干扰。</w:t>
      </w:r>
    </w:p>
    <w:p>
      <w:pPr>
        <w:pStyle w:val="4"/>
        <w:numPr>
          <w:ilvl w:val="2"/>
          <w:numId w:val="2"/>
        </w:numPr>
        <w:tabs>
          <w:tab w:val="left" w:pos="420"/>
        </w:tabs>
        <w:bidi w:val="0"/>
        <w:rPr>
          <w:rFonts w:hint="eastAsia"/>
          <w:color w:val="auto"/>
          <w:lang w:val="en-US" w:eastAsia="zh-CN"/>
        </w:rPr>
      </w:pPr>
      <w:bookmarkStart w:id="656" w:name="_Toc13801"/>
      <w:bookmarkStart w:id="657" w:name="_Toc15868"/>
      <w:bookmarkStart w:id="658" w:name="_Toc17984"/>
      <w:r>
        <w:rPr>
          <w:rFonts w:hint="eastAsia"/>
          <w:color w:val="auto"/>
          <w:lang w:val="en-US" w:eastAsia="zh-CN"/>
        </w:rPr>
        <w:t>环境风险影响分析</w:t>
      </w:r>
      <w:bookmarkEnd w:id="656"/>
      <w:bookmarkEnd w:id="657"/>
      <w:bookmarkEnd w:id="658"/>
    </w:p>
    <w:p>
      <w:pPr>
        <w:pStyle w:val="5"/>
        <w:numPr>
          <w:ilvl w:val="3"/>
          <w:numId w:val="31"/>
        </w:numPr>
        <w:bidi w:val="0"/>
        <w:ind w:left="480" w:leftChars="0" w:firstLineChars="0"/>
        <w:rPr>
          <w:rFonts w:hint="default"/>
          <w:color w:val="auto"/>
          <w:lang w:val="en-US" w:eastAsia="zh-CN"/>
        </w:rPr>
      </w:pPr>
      <w:r>
        <w:rPr>
          <w:rFonts w:hint="default"/>
          <w:color w:val="auto"/>
          <w:lang w:val="en-US" w:eastAsia="zh-CN"/>
        </w:rPr>
        <w:t>环境风险评价目的</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color w:val="auto"/>
          <w:lang w:val="en-US" w:eastAsia="zh-CN"/>
        </w:rPr>
      </w:pPr>
      <w:r>
        <w:rPr>
          <w:rFonts w:hint="default"/>
          <w:color w:val="auto"/>
          <w:lang w:val="en-US" w:eastAsia="zh-CN"/>
        </w:rPr>
        <w:t>环境风险评价是对项目建设和运行期间发生的可预测突发事件或事故（一般不包括人为破坏及自然灾害）引起有毒有害、</w:t>
      </w:r>
      <w:r>
        <w:rPr>
          <w:rFonts w:hint="eastAsia"/>
          <w:color w:val="auto"/>
          <w:lang w:val="en-US" w:eastAsia="zh-CN"/>
        </w:rPr>
        <w:t>易燃易爆</w:t>
      </w:r>
      <w:r>
        <w:rPr>
          <w:rFonts w:hint="default"/>
          <w:color w:val="auto"/>
          <w:lang w:val="en-US" w:eastAsia="zh-CN"/>
        </w:rPr>
        <w:t>等物质泄漏，或突发事件产生新的有毒有害物质，所造成的对人身安全与环境的影响和损害提出防范，应急与减缓措施。</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color w:val="auto"/>
          <w:lang w:val="en-US" w:eastAsia="zh-CN"/>
        </w:rPr>
      </w:pPr>
      <w:r>
        <w:rPr>
          <w:rFonts w:hint="default"/>
          <w:color w:val="auto"/>
          <w:lang w:val="en-US" w:eastAsia="zh-CN"/>
        </w:rPr>
        <w:t>本项目尽管设计上采取了若干保护措施，采用成熟、先进的工艺，设备运行可靠，最大限度地避免了工艺上灾难性突发事件的发生，但是，由于运营时间的长期性、风险源项的多样性及管理的复杂性，仍有可能发生灾难性突发事故。本章就其影响程度进行简要分析，有针对性地提出预防和应急措施，将风险的可能性和危害性降低到可接受水平。</w:t>
      </w:r>
    </w:p>
    <w:p>
      <w:pPr>
        <w:pStyle w:val="5"/>
        <w:numPr>
          <w:ilvl w:val="3"/>
          <w:numId w:val="2"/>
        </w:numPr>
        <w:bidi w:val="0"/>
        <w:ind w:left="480" w:leftChars="0" w:firstLineChars="0"/>
        <w:rPr>
          <w:rFonts w:hint="eastAsia" w:ascii="Times New Roman" w:hAnsi="Times New Roman" w:cs="Times New Roman"/>
          <w:b/>
          <w:snapToGrid w:val="0"/>
          <w:color w:val="auto"/>
          <w:kern w:val="0"/>
          <w:sz w:val="28"/>
          <w:szCs w:val="28"/>
          <w:highlight w:val="none"/>
          <w:lang w:val="en-US" w:eastAsia="zh-CN" w:bidi="ar-SA"/>
        </w:rPr>
      </w:pPr>
      <w:bookmarkStart w:id="659" w:name="_Toc28306"/>
      <w:r>
        <w:rPr>
          <w:rFonts w:hint="eastAsia" w:ascii="Times New Roman" w:hAnsi="Times New Roman" w:cs="Times New Roman"/>
          <w:b/>
          <w:snapToGrid w:val="0"/>
          <w:color w:val="auto"/>
          <w:kern w:val="0"/>
          <w:sz w:val="28"/>
          <w:szCs w:val="28"/>
          <w:highlight w:val="none"/>
          <w:lang w:val="en-US" w:eastAsia="zh-CN" w:bidi="ar-SA"/>
        </w:rPr>
        <w:t>风险调查</w:t>
      </w:r>
      <w:bookmarkEnd w:id="659"/>
    </w:p>
    <w:p>
      <w:pPr>
        <w:ind w:firstLine="480" w:firstLineChars="200"/>
        <w:rPr>
          <w:rFonts w:hint="eastAsia"/>
          <w:color w:val="auto"/>
          <w:highlight w:val="none"/>
          <w:lang w:eastAsia="zh-CN"/>
        </w:rPr>
      </w:pPr>
      <w:r>
        <w:rPr>
          <w:rFonts w:hint="eastAsia"/>
          <w:color w:val="auto"/>
          <w:highlight w:val="none"/>
        </w:rPr>
        <w:t>运行期环境风险主要为工程输水线路发生破裂、损坏，以及油料运输车辆途径工程充蓄水库等水体时发生事故，造成有毒有害物质泄漏污染水体。其次为废机油，储存量0.005t，泄露对泄露区域局部地表水及地下水产生影响</w:t>
      </w:r>
      <w:r>
        <w:rPr>
          <w:rFonts w:hint="eastAsia"/>
          <w:color w:val="auto"/>
          <w:highlight w:val="none"/>
          <w:lang w:eastAsia="zh-CN"/>
        </w:rPr>
        <w:t>。</w:t>
      </w:r>
    </w:p>
    <w:p>
      <w:pPr>
        <w:pStyle w:val="5"/>
        <w:numPr>
          <w:ilvl w:val="3"/>
          <w:numId w:val="2"/>
        </w:numPr>
        <w:bidi w:val="0"/>
        <w:ind w:left="480" w:leftChars="0" w:firstLineChars="0"/>
        <w:rPr>
          <w:rFonts w:hint="eastAsia"/>
          <w:color w:val="auto"/>
          <w:lang w:val="en-US" w:eastAsia="zh-CN"/>
        </w:rPr>
      </w:pPr>
      <w:bookmarkStart w:id="660" w:name="_Toc3111"/>
      <w:r>
        <w:rPr>
          <w:rFonts w:hint="eastAsia"/>
          <w:color w:val="auto"/>
          <w:lang w:val="en-US" w:eastAsia="zh-CN"/>
        </w:rPr>
        <w:t>风险源分析</w:t>
      </w:r>
      <w:bookmarkEnd w:id="660"/>
    </w:p>
    <w:p>
      <w:pPr>
        <w:ind w:firstLine="480" w:firstLineChars="200"/>
        <w:rPr>
          <w:rFonts w:hint="eastAsia"/>
          <w:color w:val="auto"/>
          <w:highlight w:val="none"/>
          <w:lang w:eastAsia="zh-CN"/>
        </w:rPr>
      </w:pPr>
      <w:r>
        <w:rPr>
          <w:rFonts w:hint="eastAsia"/>
          <w:color w:val="auto"/>
          <w:highlight w:val="none"/>
          <w:lang w:eastAsia="zh-CN"/>
        </w:rPr>
        <w:t>运行期风险源为</w:t>
      </w:r>
      <w:r>
        <w:rPr>
          <w:rFonts w:hint="eastAsia"/>
          <w:color w:val="auto"/>
          <w:highlight w:val="none"/>
        </w:rPr>
        <w:t>废机油，储存量0.005t，泄露对泄露区域局部地表水及地下水产生影响</w:t>
      </w:r>
      <w:r>
        <w:rPr>
          <w:rFonts w:hint="eastAsia"/>
          <w:color w:val="auto"/>
          <w:highlight w:val="none"/>
          <w:lang w:eastAsia="zh-CN"/>
        </w:rPr>
        <w:t>。</w:t>
      </w:r>
    </w:p>
    <w:p>
      <w:pPr>
        <w:bidi w:val="0"/>
        <w:ind w:firstLine="480" w:firstLineChars="200"/>
        <w:rPr>
          <w:rFonts w:hint="eastAsia"/>
          <w:color w:val="auto"/>
          <w:highlight w:val="none"/>
        </w:rPr>
      </w:pPr>
      <w:r>
        <w:rPr>
          <w:rFonts w:hint="eastAsia"/>
          <w:color w:val="auto"/>
          <w:highlight w:val="none"/>
        </w:rPr>
        <w:t>本工程提水、输水线路较长，但大部分输水管道为封闭式输水管线，因此在输水过程中的水污染风险较小，但在运行期间，有可能由于雨季山洪、突发公共卫生事件或气温等自然灾害原因，导致供本工程水源</w:t>
      </w:r>
      <w:r>
        <w:rPr>
          <w:rFonts w:hint="eastAsia"/>
          <w:color w:val="auto"/>
          <w:highlight w:val="none"/>
          <w:lang w:eastAsia="zh-CN"/>
        </w:rPr>
        <w:t>出现</w:t>
      </w:r>
      <w:r>
        <w:rPr>
          <w:rFonts w:hint="eastAsia"/>
          <w:color w:val="auto"/>
          <w:highlight w:val="none"/>
        </w:rPr>
        <w:t>局部污染或大量面源污染的爆发而影响供水水质。</w:t>
      </w:r>
    </w:p>
    <w:p>
      <w:pPr>
        <w:pStyle w:val="5"/>
        <w:numPr>
          <w:ilvl w:val="3"/>
          <w:numId w:val="2"/>
        </w:numPr>
        <w:bidi w:val="0"/>
        <w:ind w:left="480" w:leftChars="0" w:firstLineChars="0"/>
        <w:rPr>
          <w:rFonts w:hint="eastAsia"/>
          <w:color w:val="auto"/>
          <w:lang w:val="en-US" w:eastAsia="zh-CN"/>
        </w:rPr>
      </w:pPr>
      <w:bookmarkStart w:id="661" w:name="_Toc5696"/>
      <w:r>
        <w:rPr>
          <w:rFonts w:hint="eastAsia"/>
          <w:color w:val="auto"/>
          <w:lang w:val="en-US" w:eastAsia="zh-CN"/>
        </w:rPr>
        <w:t>环境风险评价等级</w:t>
      </w:r>
      <w:bookmarkEnd w:id="661"/>
    </w:p>
    <w:p>
      <w:pPr>
        <w:ind w:firstLine="480" w:firstLineChars="200"/>
        <w:rPr>
          <w:rFonts w:hint="eastAsia"/>
          <w:color w:val="auto"/>
          <w:highlight w:val="none"/>
        </w:rPr>
      </w:pPr>
      <w:r>
        <w:rPr>
          <w:rFonts w:hint="eastAsia"/>
          <w:color w:val="auto"/>
          <w:highlight w:val="none"/>
        </w:rPr>
        <w:t>根据《建设项目环境风险评价技术导则》（HJ169-2018）</w:t>
      </w:r>
      <w:r>
        <w:rPr>
          <w:rFonts w:hint="eastAsia"/>
          <w:color w:val="auto"/>
          <w:highlight w:val="none"/>
          <w:lang w:eastAsia="zh-CN"/>
        </w:rPr>
        <w:t>“</w:t>
      </w:r>
      <w:r>
        <w:rPr>
          <w:rFonts w:hint="eastAsia"/>
          <w:color w:val="auto"/>
          <w:highlight w:val="none"/>
        </w:rPr>
        <w:t>1.5.6环境风险评价等级与评价范围</w:t>
      </w:r>
      <w:r>
        <w:rPr>
          <w:rFonts w:hint="eastAsia"/>
          <w:color w:val="auto"/>
          <w:highlight w:val="none"/>
          <w:lang w:eastAsia="zh-CN"/>
        </w:rPr>
        <w:t>”</w:t>
      </w:r>
      <w:r>
        <w:rPr>
          <w:rFonts w:hint="eastAsia"/>
          <w:color w:val="auto"/>
          <w:highlight w:val="none"/>
        </w:rPr>
        <w:t>判定，本项目环境风险评价工作等级为简单分析</w:t>
      </w:r>
      <w:r>
        <w:rPr>
          <w:rFonts w:hint="eastAsia"/>
          <w:color w:val="auto"/>
          <w:highlight w:val="none"/>
          <w:lang w:eastAsia="zh-CN"/>
        </w:rPr>
        <w:t>，</w:t>
      </w:r>
      <w:r>
        <w:rPr>
          <w:rFonts w:hint="eastAsia"/>
          <w:color w:val="auto"/>
          <w:highlight w:val="none"/>
        </w:rPr>
        <w:t>不设风险评价范围。</w:t>
      </w:r>
    </w:p>
    <w:p>
      <w:pPr>
        <w:pStyle w:val="5"/>
        <w:numPr>
          <w:ilvl w:val="3"/>
          <w:numId w:val="2"/>
        </w:numPr>
        <w:bidi w:val="0"/>
        <w:ind w:left="480" w:leftChars="0" w:firstLineChars="0"/>
        <w:rPr>
          <w:rFonts w:hint="eastAsia"/>
          <w:color w:val="auto"/>
          <w:lang w:val="en-US" w:eastAsia="zh-CN"/>
        </w:rPr>
      </w:pPr>
      <w:bookmarkStart w:id="662" w:name="_Toc29569"/>
      <w:r>
        <w:rPr>
          <w:rFonts w:hint="eastAsia"/>
          <w:color w:val="auto"/>
          <w:lang w:val="en-US" w:eastAsia="zh-CN"/>
        </w:rPr>
        <w:t>风险防范措施及应急要求</w:t>
      </w:r>
      <w:bookmarkEnd w:id="662"/>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）加强管理，加强宣传教育，在取水口设置警示牌；</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）制定风险事故应急管理计划。计划包括指挥机构的职责和任务；应急技术和处理步骤的选择；设备、器材的配置和布局；人力、物力的保证和调配；事故的动态监测制度等。</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）建设单位应制定事故风险溃坝应急计划，并按计划中的步骤执行；</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）加强雨季挡渣墙和排水沟巡视，发现问题及时处置。</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eastAsia"/>
          <w:color w:val="auto"/>
          <w:highlight w:val="none"/>
          <w:lang w:eastAsia="zh-CN"/>
        </w:rPr>
      </w:pPr>
      <w:r>
        <w:rPr>
          <w:rFonts w:hint="eastAsia"/>
          <w:color w:val="auto"/>
          <w:highlight w:val="none"/>
          <w:lang w:eastAsia="zh-CN"/>
        </w:rPr>
        <w:t>根据《建设项目环境风险评价技术导则》（HJ169-2018），编制主要风险源的应急预案并加强演练，应急预案应包括的内容见下表。</w:t>
      </w:r>
    </w:p>
    <w:p>
      <w:pPr>
        <w:pStyle w:val="40"/>
        <w:bidi w:val="0"/>
        <w:rPr>
          <w:rFonts w:hint="eastAsia"/>
          <w:color w:val="auto"/>
          <w:highlight w:val="none"/>
          <w:lang w:eastAsia="zh-CN"/>
        </w:rPr>
      </w:pPr>
      <w:r>
        <w:rPr>
          <w:rFonts w:hint="eastAsia"/>
          <w:color w:val="auto"/>
          <w:highlight w:val="none"/>
          <w:lang w:eastAsia="zh-CN"/>
        </w:rPr>
        <w:t>表</w:t>
      </w:r>
      <w:r>
        <w:rPr>
          <w:rFonts w:hint="eastAsia"/>
          <w:color w:val="auto"/>
          <w:highlight w:val="none"/>
          <w:lang w:val="en-US" w:eastAsia="zh-CN"/>
        </w:rPr>
        <w:t>5.2.8</w:t>
      </w:r>
      <w:r>
        <w:rPr>
          <w:rFonts w:hint="eastAsia"/>
          <w:color w:val="auto"/>
          <w:highlight w:val="none"/>
          <w:lang w:eastAsia="zh-CN"/>
        </w:rPr>
        <w:t>-1  事故应急预案内容</w:t>
      </w:r>
    </w:p>
    <w:tbl>
      <w:tblPr>
        <w:tblStyle w:val="57"/>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35"/>
        <w:gridCol w:w="2168"/>
        <w:gridCol w:w="5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序号</w:t>
            </w:r>
          </w:p>
        </w:tc>
        <w:tc>
          <w:tcPr>
            <w:tcW w:w="216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项目</w:t>
            </w:r>
          </w:p>
        </w:tc>
        <w:tc>
          <w:tcPr>
            <w:tcW w:w="541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内容及要求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1</w:t>
            </w:r>
          </w:p>
        </w:tc>
        <w:tc>
          <w:tcPr>
            <w:tcW w:w="216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应急计划区</w:t>
            </w:r>
          </w:p>
        </w:tc>
        <w:tc>
          <w:tcPr>
            <w:tcW w:w="541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下游区域，</w:t>
            </w:r>
            <w:r>
              <w:rPr>
                <w:rFonts w:hint="eastAsia"/>
                <w:color w:val="auto"/>
                <w:highlight w:val="none"/>
                <w:lang w:eastAsia="zh-CN"/>
              </w:rPr>
              <w:t>弃</w:t>
            </w:r>
            <w:r>
              <w:rPr>
                <w:color w:val="auto"/>
                <w:highlight w:val="none"/>
              </w:rPr>
              <w:t>渣场。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2</w:t>
            </w:r>
          </w:p>
        </w:tc>
        <w:tc>
          <w:tcPr>
            <w:tcW w:w="216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应急组织机构及职责</w:t>
            </w:r>
          </w:p>
        </w:tc>
        <w:tc>
          <w:tcPr>
            <w:tcW w:w="541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事故应急指挥部、应急抢险前线指挥部组成人员和职责划分。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3</w:t>
            </w:r>
          </w:p>
        </w:tc>
        <w:tc>
          <w:tcPr>
            <w:tcW w:w="216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预案分级响应程序</w:t>
            </w:r>
          </w:p>
        </w:tc>
        <w:tc>
          <w:tcPr>
            <w:tcW w:w="541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规定事故的级别及相应的应急分类响应程序。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4</w:t>
            </w:r>
          </w:p>
        </w:tc>
        <w:tc>
          <w:tcPr>
            <w:tcW w:w="216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应急设施、设备与材料</w:t>
            </w:r>
          </w:p>
        </w:tc>
        <w:tc>
          <w:tcPr>
            <w:tcW w:w="541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救援车、应急处理的相关工作服、防</w:t>
            </w:r>
            <w:r>
              <w:rPr>
                <w:rFonts w:hint="eastAsia"/>
                <w:color w:val="auto"/>
                <w:highlight w:val="none"/>
                <w:lang w:eastAsia="zh-CN"/>
              </w:rPr>
              <w:t>护用品</w:t>
            </w:r>
            <w:r>
              <w:rPr>
                <w:color w:val="auto"/>
                <w:highlight w:val="none"/>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5</w:t>
            </w:r>
          </w:p>
        </w:tc>
        <w:tc>
          <w:tcPr>
            <w:tcW w:w="216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应急通讯、通知和交通</w:t>
            </w:r>
          </w:p>
        </w:tc>
        <w:tc>
          <w:tcPr>
            <w:tcW w:w="541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规定应急状态下的通讯方式、通知方式、交通保障及管制。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6</w:t>
            </w:r>
          </w:p>
        </w:tc>
        <w:tc>
          <w:tcPr>
            <w:tcW w:w="216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应急环境监测及事故后 评估</w:t>
            </w:r>
          </w:p>
        </w:tc>
        <w:tc>
          <w:tcPr>
            <w:tcW w:w="541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由专业队伍负责对事故现场进行侦察监测，对事故性质、参 数与后果进行评估， 为指挥部门提供决策依据。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7</w:t>
            </w:r>
          </w:p>
        </w:tc>
        <w:tc>
          <w:tcPr>
            <w:tcW w:w="216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应急防护措施、清除泄 漏措施方法和器材</w:t>
            </w:r>
          </w:p>
        </w:tc>
        <w:tc>
          <w:tcPr>
            <w:tcW w:w="541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控制事故、防止扩大、蔓延及</w:t>
            </w:r>
            <w:r>
              <w:rPr>
                <w:rFonts w:hint="eastAsia"/>
                <w:color w:val="auto"/>
                <w:highlight w:val="none"/>
                <w:lang w:eastAsia="zh-CN"/>
              </w:rPr>
              <w:t>连锁反应</w:t>
            </w:r>
            <w:r>
              <w:rPr>
                <w:color w:val="auto"/>
                <w:highlight w:val="none"/>
              </w:rPr>
              <w:t>。清除现场泄漏物，</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降低危害，清除相应的设施器材配备。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8</w:t>
            </w:r>
          </w:p>
        </w:tc>
        <w:tc>
          <w:tcPr>
            <w:tcW w:w="216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应急撤离组织计划、医 疗救护与公众健康</w:t>
            </w:r>
          </w:p>
        </w:tc>
        <w:tc>
          <w:tcPr>
            <w:tcW w:w="541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现场及临近区域人员疏散的方式、方法。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9</w:t>
            </w:r>
          </w:p>
        </w:tc>
        <w:tc>
          <w:tcPr>
            <w:tcW w:w="216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应急状态终止与恢复措 施</w:t>
            </w:r>
          </w:p>
        </w:tc>
        <w:tc>
          <w:tcPr>
            <w:tcW w:w="541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规定应急状态终止程序； 事故现场善后处理、恢复措施；邻近区域解除事故警戒及善后恢复措施。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10</w:t>
            </w:r>
          </w:p>
        </w:tc>
        <w:tc>
          <w:tcPr>
            <w:tcW w:w="216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人员培训与演练</w:t>
            </w:r>
          </w:p>
        </w:tc>
        <w:tc>
          <w:tcPr>
            <w:tcW w:w="541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救援队伍经常进行业务教育，定期训练。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11</w:t>
            </w:r>
          </w:p>
        </w:tc>
        <w:tc>
          <w:tcPr>
            <w:tcW w:w="216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公众教育和信息</w:t>
            </w:r>
          </w:p>
        </w:tc>
        <w:tc>
          <w:tcPr>
            <w:tcW w:w="541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对沿线邻近区域开展公众教育、培训和发布有关信息。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73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12</w:t>
            </w:r>
          </w:p>
        </w:tc>
        <w:tc>
          <w:tcPr>
            <w:tcW w:w="2166"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记录和报告</w:t>
            </w:r>
          </w:p>
        </w:tc>
        <w:tc>
          <w:tcPr>
            <w:tcW w:w="541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设置应急事故专门记录，建立档案管理和专门报告制度，单 独设立部门负责管理。</w:t>
            </w:r>
          </w:p>
        </w:tc>
      </w:tr>
    </w:tbl>
    <w:p>
      <w:pPr>
        <w:bidi w:val="0"/>
        <w:ind w:firstLine="480" w:firstLineChars="200"/>
        <w:rPr>
          <w:rFonts w:hint="default"/>
          <w:color w:val="auto"/>
          <w:highlight w:val="none"/>
          <w:lang w:val="en-US"/>
        </w:rPr>
      </w:pPr>
      <w:r>
        <w:rPr>
          <w:color w:val="auto"/>
          <w:highlight w:val="none"/>
        </w:rPr>
        <w:t>建设项目环境风险简单分析内容见表</w:t>
      </w:r>
      <w:r>
        <w:rPr>
          <w:rFonts w:hint="eastAsia"/>
          <w:color w:val="auto"/>
          <w:highlight w:val="none"/>
          <w:lang w:val="en-US" w:eastAsia="zh-CN"/>
        </w:rPr>
        <w:t>表5.2.8-2。</w:t>
      </w:r>
    </w:p>
    <w:p>
      <w:pPr>
        <w:pStyle w:val="40"/>
        <w:bidi w:val="0"/>
        <w:spacing w:line="240" w:lineRule="auto"/>
        <w:rPr>
          <w:color w:val="auto"/>
          <w:highlight w:val="none"/>
        </w:rPr>
      </w:pPr>
      <w:r>
        <w:rPr>
          <w:rFonts w:hint="eastAsia"/>
          <w:color w:val="auto"/>
          <w:highlight w:val="none"/>
          <w:lang w:eastAsia="zh-CN"/>
        </w:rPr>
        <w:t>表</w:t>
      </w:r>
      <w:r>
        <w:rPr>
          <w:rFonts w:hint="eastAsia"/>
          <w:color w:val="auto"/>
          <w:highlight w:val="none"/>
          <w:lang w:val="en-US" w:eastAsia="zh-CN"/>
        </w:rPr>
        <w:t>5.2.8</w:t>
      </w: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 xml:space="preserve">  </w:t>
      </w:r>
      <w:r>
        <w:rPr>
          <w:color w:val="auto"/>
          <w:highlight w:val="none"/>
        </w:rPr>
        <w:t>建设项目环境风险简单分析表</w:t>
      </w:r>
    </w:p>
    <w:tbl>
      <w:tblPr>
        <w:tblStyle w:val="57"/>
        <w:tblW w:w="5006" w:type="pct"/>
        <w:tblInd w:w="9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34"/>
        <w:gridCol w:w="849"/>
        <w:gridCol w:w="734"/>
        <w:gridCol w:w="1573"/>
        <w:gridCol w:w="811"/>
        <w:gridCol w:w="1134"/>
        <w:gridCol w:w="108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2133" w:type="dxa"/>
            <w:tcBorders>
              <w:right w:val="single" w:color="000000" w:sz="4" w:space="0"/>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建设项目名称</w:t>
            </w:r>
          </w:p>
        </w:tc>
        <w:tc>
          <w:tcPr>
            <w:tcW w:w="6183" w:type="dxa"/>
            <w:gridSpan w:val="6"/>
            <w:tcBorders>
              <w:left w:val="single" w:color="000000" w:sz="4" w:space="0"/>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rFonts w:hint="eastAsia"/>
                <w:color w:val="auto"/>
                <w:highlight w:val="none"/>
              </w:rPr>
              <w:t>元谋县姜驿中型灌区续建配套与节水改造项目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2133" w:type="dxa"/>
            <w:tcBorders>
              <w:right w:val="single" w:color="000000" w:sz="4" w:space="0"/>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建设地点</w:t>
            </w:r>
          </w:p>
        </w:tc>
        <w:tc>
          <w:tcPr>
            <w:tcW w:w="1581" w:type="dxa"/>
            <w:gridSpan w:val="2"/>
            <w:tcBorders>
              <w:left w:val="single" w:color="000000" w:sz="4" w:space="0"/>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（云南）省</w:t>
            </w:r>
          </w:p>
        </w:tc>
        <w:tc>
          <w:tcPr>
            <w:tcW w:w="1572"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（楚雄）州</w:t>
            </w:r>
          </w:p>
        </w:tc>
        <w:tc>
          <w:tcPr>
            <w:tcW w:w="1943" w:type="dxa"/>
            <w:gridSpan w:val="2"/>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（元谋）县</w:t>
            </w:r>
          </w:p>
        </w:tc>
        <w:tc>
          <w:tcPr>
            <w:tcW w:w="1087"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（/）园区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7" w:hRule="atLeast"/>
        </w:trPr>
        <w:tc>
          <w:tcPr>
            <w:tcW w:w="2133" w:type="dxa"/>
            <w:tcBorders>
              <w:right w:val="single" w:color="000000" w:sz="4" w:space="0"/>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地理坐标</w:t>
            </w:r>
          </w:p>
        </w:tc>
        <w:tc>
          <w:tcPr>
            <w:tcW w:w="848" w:type="dxa"/>
            <w:tcBorders>
              <w:left w:val="single" w:color="000000" w:sz="4" w:space="0"/>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eastAsia" w:eastAsia="宋"/>
                <w:color w:val="auto"/>
                <w:highlight w:val="none"/>
                <w:lang w:eastAsia="zh-CN"/>
              </w:rPr>
            </w:pPr>
            <w:r>
              <w:rPr>
                <w:color w:val="auto"/>
                <w:highlight w:val="none"/>
              </w:rPr>
              <w:t>起点</w:t>
            </w:r>
            <w:r>
              <w:rPr>
                <w:rFonts w:hint="eastAsia"/>
                <w:color w:val="auto"/>
                <w:highlight w:val="none"/>
                <w:lang w:val="en-US" w:eastAsia="zh-CN"/>
              </w:rPr>
              <w:t>经纬度</w:t>
            </w:r>
          </w:p>
        </w:tc>
        <w:tc>
          <w:tcPr>
            <w:tcW w:w="2305" w:type="dxa"/>
            <w:gridSpan w:val="2"/>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eastAsia"/>
                <w:color w:val="auto"/>
                <w:highlight w:val="none"/>
                <w:lang w:eastAsia="zh-CN"/>
              </w:rPr>
            </w:pPr>
            <w:r>
              <w:rPr>
                <w:rFonts w:hint="eastAsia" w:cs="Times New Roman"/>
                <w:color w:val="auto"/>
                <w:highlight w:val="none"/>
                <w:lang w:val="en-US" w:eastAsia="zh-CN"/>
              </w:rPr>
              <w:t>东经</w:t>
            </w:r>
            <w:r>
              <w:rPr>
                <w:rFonts w:hint="default" w:ascii="Times New Roman" w:hAnsi="Times New Roman" w:cs="Times New Roman"/>
                <w:color w:val="auto"/>
                <w:highlight w:val="none"/>
              </w:rPr>
              <w:t>101°55′8.444″</w:t>
            </w:r>
            <w:r>
              <w:rPr>
                <w:rFonts w:hint="eastAsia"/>
                <w:color w:val="auto"/>
                <w:highlight w:val="none"/>
                <w:lang w:eastAsia="zh-CN"/>
              </w:rPr>
              <w:t>，</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default" w:ascii="Times New Roman" w:hAnsi="Times New Roman" w:cs="Times New Roman"/>
                <w:color w:val="auto"/>
                <w:highlight w:val="none"/>
              </w:rPr>
            </w:pPr>
            <w:r>
              <w:rPr>
                <w:rFonts w:hint="eastAsia" w:cs="Times New Roman"/>
                <w:color w:val="auto"/>
                <w:highlight w:val="none"/>
                <w:lang w:val="en-US" w:eastAsia="zh-CN"/>
              </w:rPr>
              <w:t>北纬</w:t>
            </w:r>
            <w:r>
              <w:rPr>
                <w:rFonts w:hint="default" w:ascii="Times New Roman" w:hAnsi="Times New Roman" w:cs="Times New Roman"/>
                <w:color w:val="auto"/>
                <w:highlight w:val="none"/>
              </w:rPr>
              <w:t>26°1′15.619″</w:t>
            </w:r>
          </w:p>
        </w:tc>
        <w:tc>
          <w:tcPr>
            <w:tcW w:w="810"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eastAsia" w:ascii="Times New Roman" w:hAnsi="Times New Roman" w:eastAsia="宋" w:cs="Times New Roman"/>
                <w:color w:val="auto"/>
                <w:highlight w:val="none"/>
                <w:lang w:eastAsia="zh-CN"/>
              </w:rPr>
            </w:pPr>
            <w:r>
              <w:rPr>
                <w:rFonts w:hint="default" w:ascii="Times New Roman" w:hAnsi="Times New Roman" w:cs="Times New Roman"/>
                <w:color w:val="auto"/>
                <w:highlight w:val="none"/>
              </w:rPr>
              <w:t>终点</w:t>
            </w:r>
            <w:r>
              <w:rPr>
                <w:rFonts w:hint="eastAsia" w:cs="Times New Roman"/>
                <w:color w:val="auto"/>
                <w:highlight w:val="none"/>
                <w:lang w:val="en-US" w:eastAsia="zh-CN"/>
              </w:rPr>
              <w:t>经纬度</w:t>
            </w:r>
          </w:p>
        </w:tc>
        <w:tc>
          <w:tcPr>
            <w:tcW w:w="2220" w:type="dxa"/>
            <w:gridSpan w:val="2"/>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eastAsia"/>
                <w:color w:val="auto"/>
                <w:highlight w:val="none"/>
                <w:lang w:eastAsia="zh-CN"/>
              </w:rPr>
            </w:pPr>
            <w:r>
              <w:rPr>
                <w:rFonts w:hint="eastAsia" w:cs="Times New Roman"/>
                <w:color w:val="auto"/>
                <w:highlight w:val="none"/>
                <w:lang w:val="en-US" w:eastAsia="zh-CN"/>
              </w:rPr>
              <w:t>东经</w:t>
            </w:r>
            <w:r>
              <w:rPr>
                <w:rFonts w:hint="default" w:ascii="Times New Roman" w:hAnsi="Times New Roman" w:cs="Times New Roman"/>
                <w:color w:val="auto"/>
                <w:highlight w:val="none"/>
              </w:rPr>
              <w:t>101°55′12.036″</w:t>
            </w:r>
            <w:r>
              <w:rPr>
                <w:rFonts w:hint="eastAsia"/>
                <w:color w:val="auto"/>
                <w:highlight w:val="none"/>
                <w:lang w:eastAsia="zh-CN"/>
              </w:rPr>
              <w:t>，</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rFonts w:hint="eastAsia"/>
                <w:color w:val="auto"/>
                <w:highlight w:val="none"/>
                <w:lang w:val="en-US" w:eastAsia="zh-CN"/>
              </w:rPr>
              <w:t>北纬</w:t>
            </w:r>
            <w:r>
              <w:rPr>
                <w:rFonts w:hint="default" w:ascii="Times New Roman" w:hAnsi="Times New Roman" w:cs="Times New Roman"/>
                <w:color w:val="auto"/>
                <w:highlight w:val="none"/>
              </w:rPr>
              <w:t>26°6′27.52</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2133" w:type="dxa"/>
            <w:tcBorders>
              <w:right w:val="single" w:color="000000" w:sz="4" w:space="0"/>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主要危险物质及分布</w:t>
            </w:r>
          </w:p>
        </w:tc>
        <w:tc>
          <w:tcPr>
            <w:tcW w:w="6183" w:type="dxa"/>
            <w:gridSpan w:val="6"/>
            <w:tcBorders>
              <w:left w:val="single" w:color="000000" w:sz="4" w:space="0"/>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废机油（</w:t>
            </w:r>
            <w:r>
              <w:rPr>
                <w:rFonts w:hint="eastAsia"/>
                <w:color w:val="auto"/>
                <w:highlight w:val="none"/>
                <w:lang w:val="en-US" w:eastAsia="zh-CN"/>
              </w:rPr>
              <w:t>危废暂存间</w:t>
            </w:r>
            <w:r>
              <w:rPr>
                <w:color w:val="auto"/>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17" w:hRule="atLeast"/>
        </w:trPr>
        <w:tc>
          <w:tcPr>
            <w:tcW w:w="2133" w:type="dxa"/>
            <w:tcBorders>
              <w:right w:val="single" w:color="000000" w:sz="4" w:space="0"/>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环境影响途径及危害后果（大气、地表水、</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地下水等）</w:t>
            </w:r>
          </w:p>
        </w:tc>
        <w:tc>
          <w:tcPr>
            <w:tcW w:w="6183" w:type="dxa"/>
            <w:gridSpan w:val="6"/>
            <w:tcBorders>
              <w:left w:val="single" w:color="000000" w:sz="4" w:space="0"/>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eastAsia" w:eastAsia="宋体"/>
                <w:color w:val="auto"/>
                <w:highlight w:val="none"/>
                <w:lang w:eastAsia="zh-CN"/>
              </w:rPr>
            </w:pPr>
            <w:r>
              <w:rPr>
                <w:color w:val="auto"/>
                <w:highlight w:val="none"/>
              </w:rPr>
              <w:t>具体见</w:t>
            </w:r>
            <w:r>
              <w:rPr>
                <w:rFonts w:hint="eastAsia" w:ascii="宋体" w:hAnsi="宋体" w:cs="宋体"/>
                <w:color w:val="auto"/>
                <w:highlight w:val="none"/>
                <w:lang w:eastAsia="zh-CN"/>
              </w:rPr>
              <w:t>“</w:t>
            </w:r>
            <w:r>
              <w:rPr>
                <w:rFonts w:hint="eastAsia" w:ascii="宋体" w:hAnsi="宋体" w:eastAsia="宋体" w:cs="宋体"/>
                <w:color w:val="auto"/>
                <w:highlight w:val="none"/>
              </w:rPr>
              <w:t>风险识内容</w:t>
            </w:r>
            <w:r>
              <w:rPr>
                <w:rFonts w:hint="eastAsia" w:ascii="宋体" w:hAnsi="宋体" w:cs="宋体"/>
                <w:color w:val="auto"/>
                <w:highlight w:val="none"/>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2133" w:type="dxa"/>
            <w:tcBorders>
              <w:right w:val="single" w:color="000000" w:sz="4" w:space="0"/>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风险防范措施要求</w:t>
            </w:r>
          </w:p>
        </w:tc>
        <w:tc>
          <w:tcPr>
            <w:tcW w:w="6183" w:type="dxa"/>
            <w:gridSpan w:val="6"/>
            <w:tcBorders>
              <w:left w:val="single" w:color="000000" w:sz="4" w:space="0"/>
            </w:tcBorders>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rFonts w:hint="eastAsia" w:eastAsia="宋体"/>
                <w:color w:val="auto"/>
                <w:highlight w:val="none"/>
                <w:lang w:eastAsia="zh-CN"/>
              </w:rPr>
            </w:pPr>
            <w:r>
              <w:rPr>
                <w:color w:val="auto"/>
                <w:highlight w:val="none"/>
              </w:rPr>
              <w:t>具体详见</w:t>
            </w:r>
            <w:r>
              <w:rPr>
                <w:rFonts w:hint="eastAsia" w:ascii="宋体" w:hAnsi="宋体" w:cs="宋体"/>
                <w:color w:val="auto"/>
                <w:highlight w:val="none"/>
                <w:lang w:eastAsia="zh-CN"/>
              </w:rPr>
              <w:t>“</w:t>
            </w:r>
            <w:r>
              <w:rPr>
                <w:rFonts w:hint="eastAsia" w:ascii="宋体" w:hAnsi="宋体" w:eastAsia="宋体" w:cs="宋体"/>
                <w:color w:val="auto"/>
                <w:highlight w:val="none"/>
              </w:rPr>
              <w:t>风险防范措施及应急要求</w:t>
            </w:r>
            <w:r>
              <w:rPr>
                <w:rFonts w:hint="eastAsia" w:ascii="宋体" w:hAnsi="宋体" w:cs="宋体"/>
                <w:color w:val="auto"/>
                <w:highlight w:val="none"/>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1" w:hRule="atLeast"/>
        </w:trPr>
        <w:tc>
          <w:tcPr>
            <w:tcW w:w="8316" w:type="dxa"/>
            <w:gridSpan w:val="7"/>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填表说明（列出项目相关信息及评价说明）：</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项目Q值小于1，故环境风险潜势为Ⅰ只进行简单分析</w:t>
            </w:r>
          </w:p>
        </w:tc>
      </w:tr>
    </w:tbl>
    <w:p>
      <w:pPr>
        <w:pStyle w:val="5"/>
        <w:numPr>
          <w:ilvl w:val="3"/>
          <w:numId w:val="2"/>
        </w:numPr>
        <w:bidi w:val="0"/>
        <w:ind w:left="480" w:leftChars="0" w:firstLineChars="0"/>
        <w:rPr>
          <w:rFonts w:hint="eastAsia"/>
          <w:color w:val="auto"/>
          <w:lang w:val="en-US" w:eastAsia="zh-CN"/>
        </w:rPr>
      </w:pPr>
      <w:bookmarkStart w:id="663" w:name="_Toc15434"/>
      <w:r>
        <w:rPr>
          <w:rFonts w:hint="eastAsia"/>
          <w:color w:val="auto"/>
          <w:lang w:val="en-US" w:eastAsia="zh-CN"/>
        </w:rPr>
        <w:t>分析结论</w:t>
      </w:r>
      <w:bookmarkEnd w:id="663"/>
    </w:p>
    <w:p>
      <w:pPr>
        <w:ind w:firstLine="480" w:firstLineChars="200"/>
        <w:rPr>
          <w:rFonts w:hint="eastAsia"/>
          <w:color w:val="auto"/>
          <w:highlight w:val="none"/>
        </w:rPr>
      </w:pPr>
      <w:r>
        <w:rPr>
          <w:rFonts w:hint="eastAsia"/>
          <w:color w:val="auto"/>
          <w:highlight w:val="none"/>
        </w:rPr>
        <w:t>本项目潜在的主要风险事故类型为水源局部污染或大量面源污染的爆发而影响供水水质。工程需制定详细的风险事故防范措施、风险应急预案、事故应急处理措施、环境风险监测，建立与相关部门的应急联动机制，可有效减少风险事故发生的概率，风险在可接受水平。</w:t>
      </w:r>
    </w:p>
    <w:p>
      <w:pPr>
        <w:pStyle w:val="3"/>
        <w:numPr>
          <w:ilvl w:val="1"/>
          <w:numId w:val="2"/>
        </w:numPr>
        <w:tabs>
          <w:tab w:val="left" w:pos="420"/>
        </w:tabs>
        <w:bidi w:val="0"/>
        <w:rPr>
          <w:rFonts w:hint="eastAsia"/>
          <w:color w:val="auto"/>
          <w:lang w:val="en-US" w:eastAsia="zh-CN"/>
        </w:rPr>
      </w:pPr>
      <w:bookmarkStart w:id="664" w:name="_Toc4601"/>
      <w:bookmarkStart w:id="665" w:name="_Toc32192"/>
      <w:bookmarkStart w:id="666" w:name="_Toc4577"/>
      <w:bookmarkStart w:id="667" w:name="_Toc7263"/>
      <w:r>
        <w:rPr>
          <w:rFonts w:hint="eastAsia"/>
          <w:color w:val="auto"/>
          <w:lang w:val="en-US" w:eastAsia="zh-CN"/>
        </w:rPr>
        <w:t>对环境敏感区的影响</w:t>
      </w:r>
      <w:bookmarkEnd w:id="664"/>
      <w:bookmarkEnd w:id="665"/>
      <w:bookmarkEnd w:id="666"/>
      <w:r>
        <w:rPr>
          <w:rFonts w:hint="eastAsia"/>
          <w:color w:val="auto"/>
          <w:lang w:val="en-US" w:eastAsia="zh-CN"/>
        </w:rPr>
        <w:t>分析</w:t>
      </w:r>
      <w:bookmarkEnd w:id="667"/>
    </w:p>
    <w:p>
      <w:pPr>
        <w:pStyle w:val="4"/>
        <w:numPr>
          <w:ilvl w:val="2"/>
          <w:numId w:val="2"/>
        </w:numPr>
        <w:tabs>
          <w:tab w:val="left" w:pos="420"/>
        </w:tabs>
        <w:bidi w:val="0"/>
        <w:rPr>
          <w:rFonts w:hint="eastAsia"/>
          <w:color w:val="auto"/>
          <w:lang w:val="en-US" w:eastAsia="zh-CN"/>
        </w:rPr>
      </w:pPr>
      <w:bookmarkStart w:id="668" w:name="_Toc23912"/>
      <w:bookmarkStart w:id="669" w:name="_Toc6147"/>
      <w:bookmarkStart w:id="670" w:name="_Toc4035"/>
      <w:r>
        <w:rPr>
          <w:rFonts w:hint="eastAsia"/>
          <w:color w:val="auto"/>
          <w:lang w:val="en-US" w:eastAsia="zh-CN"/>
        </w:rPr>
        <w:t>对元谋风景名胜区</w:t>
      </w:r>
      <w:bookmarkEnd w:id="668"/>
      <w:bookmarkEnd w:id="669"/>
      <w:bookmarkEnd w:id="670"/>
      <w:r>
        <w:rPr>
          <w:rFonts w:hint="eastAsia"/>
          <w:color w:val="auto"/>
          <w:lang w:val="en-US" w:eastAsia="zh-CN"/>
        </w:rPr>
        <w:t>的影响分析</w:t>
      </w:r>
    </w:p>
    <w:p>
      <w:pPr>
        <w:pStyle w:val="5"/>
        <w:numPr>
          <w:ilvl w:val="3"/>
          <w:numId w:val="32"/>
        </w:numPr>
        <w:bidi w:val="0"/>
        <w:ind w:left="480" w:leftChars="0" w:firstLineChars="0"/>
        <w:rPr>
          <w:rFonts w:hint="eastAsia"/>
          <w:color w:val="auto"/>
          <w:lang w:val="en-US" w:eastAsia="zh-CN"/>
        </w:rPr>
      </w:pPr>
      <w:r>
        <w:rPr>
          <w:rFonts w:hint="eastAsia"/>
          <w:color w:val="auto"/>
          <w:lang w:val="en-US" w:eastAsia="zh-CN"/>
        </w:rPr>
        <w:t>元谋风景名胜区简介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1993年，云南省人民政府以</w:t>
      </w:r>
      <w:r>
        <w:rPr>
          <w:rFonts w:hint="eastAsia" w:ascii="Times New Roman" w:hAnsi="Times New Roman" w:cs="Times New Roman"/>
          <w:color w:val="auto"/>
          <w:sz w:val="24"/>
          <w:szCs w:val="32"/>
          <w:lang w:val="en-US" w:eastAsia="zh-CN"/>
        </w:rPr>
        <w:t>“</w:t>
      </w:r>
      <w:r>
        <w:rPr>
          <w:rFonts w:hint="default" w:ascii="Times New Roman" w:hAnsi="Times New Roman" w:cs="Times New Roman"/>
          <w:color w:val="auto"/>
          <w:sz w:val="24"/>
          <w:szCs w:val="32"/>
          <w:lang w:val="en-US" w:eastAsia="zh-CN"/>
        </w:rPr>
        <w:t>云政发〔1993〕199号</w:t>
      </w:r>
      <w:r>
        <w:rPr>
          <w:rFonts w:hint="eastAsia" w:ascii="Times New Roman" w:hAnsi="Times New Roman" w:cs="Times New Roman"/>
          <w:color w:val="auto"/>
          <w:sz w:val="24"/>
          <w:szCs w:val="32"/>
          <w:lang w:val="en-US" w:eastAsia="zh-CN"/>
        </w:rPr>
        <w:t>”</w:t>
      </w:r>
      <w:r>
        <w:rPr>
          <w:rFonts w:hint="default" w:ascii="Times New Roman" w:hAnsi="Times New Roman" w:cs="Times New Roman"/>
          <w:color w:val="auto"/>
          <w:sz w:val="24"/>
          <w:szCs w:val="32"/>
          <w:lang w:val="en-US" w:eastAsia="zh-CN"/>
        </w:rPr>
        <w:t>文件发布《云南省人民政府关于审定公布云南省第二批省级风景名胜区的通知》批准设立元谋风景名胜区为云南省省级风景名胜区。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2015年，云南省人民政府以</w:t>
      </w:r>
      <w:r>
        <w:rPr>
          <w:rFonts w:hint="eastAsia" w:ascii="Times New Roman" w:hAnsi="Times New Roman" w:cs="Times New Roman"/>
          <w:color w:val="auto"/>
          <w:sz w:val="24"/>
          <w:szCs w:val="32"/>
          <w:lang w:val="en-US" w:eastAsia="zh-CN"/>
        </w:rPr>
        <w:t>“</w:t>
      </w:r>
      <w:r>
        <w:rPr>
          <w:rFonts w:hint="default" w:ascii="Times New Roman" w:hAnsi="Times New Roman" w:cs="Times New Roman"/>
          <w:color w:val="auto"/>
          <w:sz w:val="24"/>
          <w:szCs w:val="32"/>
          <w:lang w:val="en-US" w:eastAsia="zh-CN"/>
        </w:rPr>
        <w:t>云政复〔2015〕9号</w:t>
      </w:r>
      <w:r>
        <w:rPr>
          <w:rFonts w:hint="eastAsia" w:ascii="Times New Roman" w:hAnsi="Times New Roman" w:cs="Times New Roman"/>
          <w:color w:val="auto"/>
          <w:sz w:val="24"/>
          <w:szCs w:val="32"/>
          <w:lang w:val="en-US" w:eastAsia="zh-CN"/>
        </w:rPr>
        <w:t>”</w:t>
      </w:r>
      <w:r>
        <w:rPr>
          <w:rFonts w:hint="default" w:ascii="Times New Roman" w:hAnsi="Times New Roman" w:cs="Times New Roman"/>
          <w:color w:val="auto"/>
          <w:sz w:val="24"/>
          <w:szCs w:val="32"/>
          <w:lang w:val="en-US" w:eastAsia="zh-CN"/>
        </w:rPr>
        <w:t>文件批复实施《元谋风景名胜区总体规划(2015-2030)》(以下简称《总规(2015-2030)》)。该规划确定元谋风景名胜区由金沙江景区、物茂景区、班果景区和浪巴铺土林景区四个景区组成，景区总面积约15930.00hm²。</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FF"/>
          <w:sz w:val="24"/>
          <w:szCs w:val="32"/>
          <w:lang w:val="en-US" w:eastAsia="zh-CN"/>
        </w:rPr>
      </w:pPr>
      <w:r>
        <w:rPr>
          <w:rFonts w:hint="default" w:ascii="Times New Roman" w:hAnsi="Times New Roman" w:cs="Times New Roman"/>
          <w:color w:val="0000FF"/>
          <w:sz w:val="24"/>
          <w:szCs w:val="32"/>
          <w:lang w:val="en-US" w:eastAsia="zh-CN"/>
        </w:rPr>
        <w:t>《总规(2015-2030)》明确元谋风景名胜区分两级保护，即核心景区、一般景区</w:t>
      </w:r>
      <w:r>
        <w:rPr>
          <w:rFonts w:hint="eastAsia" w:ascii="Times New Roman" w:hAnsi="Times New Roman" w:cs="Times New Roman"/>
          <w:color w:val="0000FF"/>
          <w:sz w:val="24"/>
          <w:szCs w:val="32"/>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8" w:firstLineChars="200"/>
        <w:textAlignment w:val="auto"/>
        <w:rPr>
          <w:rFonts w:hint="default" w:ascii="Times New Roman" w:hAnsi="Times New Roman" w:eastAsia="宋体" w:cs="Times New Roman"/>
          <w:b w:val="0"/>
          <w:bCs w:val="0"/>
          <w:color w:val="0000FF"/>
          <w:spacing w:val="2"/>
          <w:sz w:val="24"/>
          <w:szCs w:val="24"/>
          <w:lang w:val="en-US" w:eastAsia="zh-CN"/>
        </w:rPr>
      </w:pPr>
      <w:r>
        <w:rPr>
          <w:rFonts w:hint="default" w:ascii="Times New Roman" w:hAnsi="Times New Roman" w:eastAsia="宋体" w:cs="Times New Roman"/>
          <w:b w:val="0"/>
          <w:bCs w:val="0"/>
          <w:color w:val="0000FF"/>
          <w:spacing w:val="2"/>
          <w:sz w:val="24"/>
          <w:szCs w:val="24"/>
          <w:lang w:val="en-US" w:eastAsia="zh-CN"/>
        </w:rPr>
        <w:t>核心景区面积25.6km²</w:t>
      </w:r>
      <w:r>
        <w:rPr>
          <w:rFonts w:hint="eastAsia" w:ascii="Times New Roman" w:hAnsi="Times New Roman" w:eastAsia="宋体" w:cs="Times New Roman"/>
          <w:b w:val="0"/>
          <w:bCs w:val="0"/>
          <w:color w:val="0000FF"/>
          <w:spacing w:val="2"/>
          <w:sz w:val="24"/>
          <w:szCs w:val="24"/>
          <w:lang w:val="en-US" w:eastAsia="zh-CN"/>
        </w:rPr>
        <w:t>，</w:t>
      </w:r>
      <w:r>
        <w:rPr>
          <w:rFonts w:hint="default" w:ascii="Times New Roman" w:hAnsi="Times New Roman" w:eastAsia="宋体" w:cs="Times New Roman"/>
          <w:b w:val="0"/>
          <w:bCs w:val="0"/>
          <w:color w:val="0000FF"/>
          <w:spacing w:val="2"/>
          <w:sz w:val="24"/>
          <w:szCs w:val="24"/>
          <w:lang w:val="en-US" w:eastAsia="zh-CN"/>
        </w:rPr>
        <w:t>核心景区管理导则：核心景区的建设项目应按《风景名胜区条例》进行管理。土林地貌景观是元谋风景区的显箸外形特征，外界环境特别是人工建设活动极易对其外部形态特征构成较大威胁，加强对区内地形地貌景观的本体保护，区内可以设置必须的步行游赏道路和旅游的厕所，导游标识，单个小卖部等相关服务设施，但应严格注意不得对地形、地貌环境景观造成破坏。区内禁止建设宾馆、招待所、培训中心、疗养院以及与风景名胜资源保护无关的其它建筑物。旅游机动车辆禁止进入本区域。禁止在本区域砍伐植被，开采沙石等活动，加强区内道路沿线及居民点的绿化和环境整治。</w:t>
      </w:r>
    </w:p>
    <w:p>
      <w:pPr>
        <w:keepNext w:val="0"/>
        <w:keepLines w:val="0"/>
        <w:pageBreakBefore w:val="0"/>
        <w:widowControl w:val="0"/>
        <w:kinsoku/>
        <w:wordWrap/>
        <w:overflowPunct/>
        <w:topLinePunct w:val="0"/>
        <w:autoSpaceDE/>
        <w:autoSpaceDN/>
        <w:bidi w:val="0"/>
        <w:adjustRightInd/>
        <w:snapToGrid/>
        <w:spacing w:line="360" w:lineRule="auto"/>
        <w:ind w:firstLine="488" w:firstLineChars="200"/>
        <w:jc w:val="both"/>
        <w:textAlignment w:val="auto"/>
        <w:rPr>
          <w:rFonts w:hint="default" w:ascii="Times New Roman" w:hAnsi="Times New Roman" w:eastAsia="宋体" w:cs="Times New Roman"/>
          <w:b w:val="0"/>
          <w:bCs w:val="0"/>
          <w:color w:val="0000FF"/>
          <w:spacing w:val="2"/>
          <w:sz w:val="24"/>
          <w:szCs w:val="24"/>
          <w:lang w:val="en-US" w:eastAsia="zh-CN"/>
        </w:rPr>
      </w:pPr>
      <w:r>
        <w:rPr>
          <w:rFonts w:hint="default" w:ascii="Times New Roman" w:hAnsi="Times New Roman" w:eastAsia="宋体" w:cs="Times New Roman"/>
          <w:b w:val="0"/>
          <w:bCs w:val="0"/>
          <w:color w:val="0000FF"/>
          <w:spacing w:val="2"/>
          <w:sz w:val="24"/>
          <w:szCs w:val="24"/>
          <w:lang w:val="en-US" w:eastAsia="zh-CN"/>
        </w:rPr>
        <w:t>一般景区面积133.7km²</w:t>
      </w:r>
      <w:r>
        <w:rPr>
          <w:rFonts w:hint="eastAsia" w:ascii="Times New Roman" w:hAnsi="Times New Roman" w:eastAsia="宋体" w:cs="Times New Roman"/>
          <w:b w:val="0"/>
          <w:bCs w:val="0"/>
          <w:color w:val="0000FF"/>
          <w:spacing w:val="2"/>
          <w:sz w:val="24"/>
          <w:szCs w:val="24"/>
          <w:lang w:val="en-US" w:eastAsia="zh-CN"/>
        </w:rPr>
        <w:t>，</w:t>
      </w:r>
      <w:r>
        <w:rPr>
          <w:rFonts w:hint="default" w:ascii="Times New Roman" w:hAnsi="Times New Roman" w:eastAsia="宋体" w:cs="Times New Roman"/>
          <w:b w:val="0"/>
          <w:bCs w:val="0"/>
          <w:color w:val="0000FF"/>
          <w:spacing w:val="2"/>
          <w:sz w:val="24"/>
          <w:szCs w:val="24"/>
          <w:lang w:val="en-US" w:eastAsia="zh-CN"/>
        </w:rPr>
        <w:t>管理政策为：加强对区内地形地貌景观的保护，如山体、土林、河流、瀑布等景观形象及保护区内植被；禁止砍伐破坏植被、禁止开山采石，区内可以建设与旅游相关的建筑设施，可以根据环境容量安排旅宿设施，但必须限制与风景游赏无关的建设，景区的建设项目应按《风景名胜区条例》进行管理。景区设施必须与周围景观环境协调，严格审批，避免建设性破坏。对进入本区域的机动交通应严格管制，不得对景区产生干扰，对区内的居民点应控制发展，并协调其与景区环境的关系，减少对景区的破坏。对进入本区域的机动交通应严格管制，不得对景区产生干扰，对区内的居民点应控制发展，并协调其与景区环境的关系，减少对景区的破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2021年5月，按照国家林业和草原局印发《自然保护区等自然保护地勘界立标工作规范》</w:t>
      </w:r>
      <w:r>
        <w:rPr>
          <w:rFonts w:hint="eastAsia" w:ascii="Times New Roman" w:hAnsi="Times New Roman" w:cs="Times New Roman"/>
          <w:color w:val="auto"/>
          <w:sz w:val="24"/>
          <w:szCs w:val="32"/>
          <w:lang w:val="en-US" w:eastAsia="zh-CN"/>
        </w:rPr>
        <w:t>，</w:t>
      </w:r>
      <w:r>
        <w:rPr>
          <w:rFonts w:hint="default" w:ascii="Times New Roman" w:hAnsi="Times New Roman" w:cs="Times New Roman"/>
          <w:color w:val="auto"/>
          <w:sz w:val="24"/>
          <w:szCs w:val="32"/>
          <w:lang w:val="en-US" w:eastAsia="zh-CN"/>
        </w:rPr>
        <w:t>自然保护地管理司《关于加强和规范自然保护地整合优化预案数据上报工作的函》,元谋县林业和草原局对元谋风景名胜区进行勘界立标，并上报国家林业和草原局。勘界立标总面积15859.38hm²。</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FF"/>
          <w:sz w:val="24"/>
          <w:szCs w:val="32"/>
          <w:lang w:val="en-US" w:eastAsia="zh-CN"/>
        </w:rPr>
      </w:pPr>
      <w:r>
        <w:rPr>
          <w:rFonts w:hint="default" w:ascii="Times New Roman" w:hAnsi="Times New Roman" w:cs="Times New Roman"/>
          <w:color w:val="auto"/>
          <w:sz w:val="24"/>
          <w:szCs w:val="32"/>
          <w:lang w:val="en-US" w:eastAsia="zh-CN"/>
        </w:rPr>
        <w:t>2022年1月，元谋县启动《总规(2015-2030)》实施评估和修编工作。《总规(2015-2030)》实施评估于7月5日，通过楚雄州州级审查；于8月5日，由楚雄州林草原局上报省林草局备案。</w:t>
      </w:r>
      <w:r>
        <w:rPr>
          <w:rFonts w:hint="default" w:ascii="Times New Roman" w:hAnsi="Times New Roman" w:cs="Times New Roman"/>
          <w:color w:val="0000FF"/>
          <w:sz w:val="24"/>
          <w:szCs w:val="32"/>
          <w:lang w:val="en-US" w:eastAsia="zh-CN"/>
        </w:rPr>
        <w:t>《元谋风景名胜区总体规划修编(2022-2035)》成果已编制完成。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2023年1月，云南省林业和草原局印发《云南省林业和草原局关于规范整合优化过度期内地方级自然保护地调整与总体规划报批有关工作的通知》，该通知明确</w:t>
      </w:r>
      <w:r>
        <w:rPr>
          <w:rFonts w:hint="eastAsia" w:ascii="Times New Roman" w:hAnsi="Times New Roman" w:cs="Times New Roman"/>
          <w:color w:val="auto"/>
          <w:sz w:val="24"/>
          <w:szCs w:val="32"/>
          <w:lang w:val="en-US" w:eastAsia="zh-CN"/>
        </w:rPr>
        <w:t>“</w:t>
      </w:r>
      <w:r>
        <w:rPr>
          <w:rFonts w:hint="default" w:ascii="Times New Roman" w:hAnsi="Times New Roman" w:cs="Times New Roman"/>
          <w:color w:val="auto"/>
          <w:sz w:val="24"/>
          <w:szCs w:val="32"/>
          <w:lang w:val="en-US" w:eastAsia="zh-CN"/>
        </w:rPr>
        <w:t>过渡期内各自然保护地的面积、范围和功能区仍以现有设立或总体规划批复文件明确的为准，在新的法律法规施行前，仍按照现行法律法规管理。</w:t>
      </w:r>
      <w:r>
        <w:rPr>
          <w:rFonts w:hint="eastAsia" w:ascii="Times New Roman" w:hAnsi="Times New Roman" w:cs="Times New Roman"/>
          <w:color w:val="auto"/>
          <w:sz w:val="24"/>
          <w:szCs w:val="32"/>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综上所述，《总规（2015-2030）》为本报告的法定规划依据，元谋风景名胜区范围采用实际矢量边界范围，面积为15859.3</w:t>
      </w:r>
      <w:r>
        <w:rPr>
          <w:rFonts w:hint="eastAsia" w:ascii="Times New Roman" w:hAnsi="Times New Roman" w:cs="Times New Roman"/>
          <w:color w:val="auto"/>
          <w:sz w:val="24"/>
          <w:szCs w:val="32"/>
          <w:lang w:val="en-US" w:eastAsia="zh-CN"/>
        </w:rPr>
        <w:t>8</w:t>
      </w:r>
      <w:r>
        <w:rPr>
          <w:rFonts w:hint="default" w:ascii="Times New Roman" w:hAnsi="Times New Roman" w:cs="Times New Roman"/>
          <w:color w:val="auto"/>
          <w:sz w:val="24"/>
          <w:szCs w:val="32"/>
          <w:lang w:val="en-US" w:eastAsia="zh-CN"/>
        </w:rPr>
        <w:t>hm²。</w:t>
      </w:r>
    </w:p>
    <w:p>
      <w:pPr>
        <w:pStyle w:val="5"/>
        <w:numPr>
          <w:ilvl w:val="3"/>
          <w:numId w:val="2"/>
        </w:numPr>
        <w:bidi w:val="0"/>
        <w:ind w:left="480" w:leftChars="0" w:firstLineChars="0"/>
        <w:rPr>
          <w:rFonts w:hint="eastAsia"/>
          <w:color w:val="auto"/>
          <w:lang w:val="en-US" w:eastAsia="zh-CN"/>
        </w:rPr>
      </w:pPr>
      <w:r>
        <w:rPr>
          <w:rFonts w:hint="eastAsia"/>
          <w:color w:val="auto"/>
          <w:lang w:val="en-US" w:eastAsia="zh-CN"/>
        </w:rPr>
        <w:t>项目与元谋风景名胜区的位置关系</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建设单位委托第三方单位编制了《元谋县姜驿中型灌区续建配套与节水改造项目涉及元谋风景名胜区方案选址唯一性和不可避让性论证报告》、《元谋县姜驿中型灌区续建配套与节水改造项目涉及元谋风景名胜区方案选址影响评价报告》，并于2024年2月26日取得了《楚雄州林业和草原局关于元谋县姜驿中型灌区续建配套与节水改造项目涉及元谋风景名胜区方案选址的意见》</w:t>
      </w:r>
      <w:r>
        <w:rPr>
          <w:rFonts w:hint="eastAsia" w:ascii="Times New Roman" w:hAnsi="Times New Roman" w:cs="Times New Roman"/>
          <w:color w:val="auto"/>
          <w:sz w:val="24"/>
          <w:szCs w:val="24"/>
          <w:highlight w:val="none"/>
          <w:lang w:val="en-US" w:eastAsia="zh-CN"/>
        </w:rPr>
        <w:t>（附件</w:t>
      </w:r>
      <w:r>
        <w:rPr>
          <w:rFonts w:hint="eastAsia" w:cs="Times New Roman"/>
          <w:color w:val="auto"/>
          <w:sz w:val="24"/>
          <w:szCs w:val="24"/>
          <w:highlight w:val="none"/>
          <w:lang w:val="en-US" w:eastAsia="zh-CN"/>
        </w:rPr>
        <w:t>6</w:t>
      </w:r>
      <w:r>
        <w:rPr>
          <w:rFonts w:hint="eastAsia" w:ascii="Times New Roman" w:hAnsi="Times New Roman" w:cs="Times New Roman"/>
          <w:color w:val="auto"/>
          <w:sz w:val="24"/>
          <w:szCs w:val="24"/>
          <w:highlight w:val="none"/>
          <w:lang w:val="en-US" w:eastAsia="zh-CN"/>
        </w:rPr>
        <w:t>）。根据选址意见：项目工程无法完全避让元谋风景名胜区，目工程在空间上对元谋风景名胜区具有不可避让性和唯一性；</w:t>
      </w:r>
      <w:r>
        <w:rPr>
          <w:rFonts w:hint="eastAsia" w:ascii="Times New Roman" w:hAnsi="Times New Roman" w:cs="Times New Roman"/>
          <w:color w:val="auto"/>
          <w:sz w:val="24"/>
          <w:szCs w:val="24"/>
          <w:lang w:val="en-US" w:eastAsia="zh-CN"/>
        </w:rPr>
        <w:t>工程影响区位于风景名胜区金沙江景区的一般景区，建设项目对风景名胜区生态环境影整体可控。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以下分析引用不可避让论证报告及方案选址影响评价报告。</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1、项目与元谋风景名胜区的位置关系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元谋县姜驿中型灌区续建配套与节水改造项目涉及元谋风景名胜区金沙江景区</w:t>
      </w:r>
      <w:r>
        <w:rPr>
          <w:rFonts w:hint="eastAsia" w:cs="Times New Roman"/>
          <w:color w:val="auto"/>
          <w:sz w:val="24"/>
          <w:szCs w:val="24"/>
          <w:lang w:val="en-US" w:eastAsia="zh-CN"/>
        </w:rPr>
        <w:t>一般景区</w:t>
      </w:r>
      <w:r>
        <w:rPr>
          <w:rFonts w:hint="eastAsia" w:ascii="Times New Roman" w:hAnsi="Times New Roman" w:cs="Times New Roman"/>
          <w:color w:val="auto"/>
          <w:sz w:val="24"/>
          <w:szCs w:val="24"/>
          <w:lang w:val="en-US" w:eastAsia="zh-CN"/>
        </w:rPr>
        <w:t>，涉及</w:t>
      </w:r>
      <w:r>
        <w:rPr>
          <w:rFonts w:hint="eastAsia" w:cs="Times New Roman"/>
          <w:color w:val="auto"/>
          <w:sz w:val="24"/>
          <w:szCs w:val="24"/>
          <w:lang w:val="en-US" w:eastAsia="zh-CN"/>
        </w:rPr>
        <w:t>的</w:t>
      </w:r>
      <w:r>
        <w:rPr>
          <w:rFonts w:hint="eastAsia" w:ascii="Times New Roman" w:hAnsi="Times New Roman" w:cs="Times New Roman"/>
          <w:color w:val="auto"/>
          <w:sz w:val="24"/>
          <w:szCs w:val="24"/>
          <w:lang w:val="en-US" w:eastAsia="zh-CN"/>
        </w:rPr>
        <w:t>工程内容有</w:t>
      </w:r>
      <w:r>
        <w:rPr>
          <w:rFonts w:hint="default" w:ascii="Times New Roman" w:hAnsi="Times New Roman" w:cs="Times New Roman"/>
          <w:color w:val="auto"/>
          <w:sz w:val="24"/>
          <w:szCs w:val="24"/>
          <w:lang w:val="en-US" w:eastAsia="zh-CN"/>
        </w:rPr>
        <w:t>高位调节水池</w:t>
      </w:r>
      <w:r>
        <w:rPr>
          <w:rFonts w:hint="eastAsia" w:ascii="Times New Roman" w:hAnsi="Times New Roman" w:cs="Times New Roman"/>
          <w:color w:val="auto"/>
          <w:sz w:val="24"/>
          <w:szCs w:val="24"/>
          <w:lang w:val="en-US" w:eastAsia="zh-CN"/>
        </w:rPr>
        <w:t>、北干管，</w:t>
      </w:r>
      <w:r>
        <w:rPr>
          <w:rFonts w:hint="default" w:ascii="Times New Roman" w:hAnsi="Times New Roman" w:cs="Times New Roman"/>
          <w:color w:val="auto"/>
          <w:sz w:val="24"/>
          <w:szCs w:val="24"/>
          <w:lang w:val="en-US" w:eastAsia="zh-CN"/>
        </w:rPr>
        <w:t>高位调节水池</w:t>
      </w:r>
      <w:r>
        <w:rPr>
          <w:rFonts w:hint="eastAsia" w:ascii="Times New Roman" w:hAnsi="Times New Roman" w:cs="Times New Roman"/>
          <w:color w:val="auto"/>
          <w:sz w:val="24"/>
          <w:szCs w:val="24"/>
          <w:lang w:val="en-US" w:eastAsia="zh-CN"/>
        </w:rPr>
        <w:t>为永久占地，北干管为埋管，为临时占地。工程在风景内永久占地1.762hm</w:t>
      </w:r>
      <w:r>
        <w:rPr>
          <w:rFonts w:hint="eastAsia" w:ascii="Times New Roman" w:hAnsi="Times New Roman" w:cs="Times New Roman"/>
          <w:color w:val="auto"/>
          <w:sz w:val="24"/>
          <w:szCs w:val="24"/>
          <w:vertAlign w:val="superscript"/>
          <w:lang w:val="en-US" w:eastAsia="zh-CN"/>
        </w:rPr>
        <w:t>2</w:t>
      </w:r>
      <w:r>
        <w:rPr>
          <w:rFonts w:hint="eastAsia" w:ascii="Times New Roman" w:hAnsi="Times New Roman" w:cs="Times New Roman"/>
          <w:color w:val="auto"/>
          <w:sz w:val="24"/>
          <w:szCs w:val="24"/>
          <w:vertAlign w:val="baseline"/>
          <w:lang w:val="en-US" w:eastAsia="zh-CN"/>
        </w:rPr>
        <w:t>，临时占地0.91</w:t>
      </w:r>
      <w:r>
        <w:rPr>
          <w:rFonts w:hint="eastAsia" w:ascii="Times New Roman" w:hAnsi="Times New Roman" w:cs="Times New Roman"/>
          <w:color w:val="auto"/>
          <w:sz w:val="24"/>
          <w:szCs w:val="24"/>
          <w:lang w:val="en-US" w:eastAsia="zh-CN"/>
        </w:rPr>
        <w:t>hm</w:t>
      </w:r>
      <w:r>
        <w:rPr>
          <w:rFonts w:hint="eastAsia" w:ascii="Times New Roman" w:hAnsi="Times New Roman" w:cs="Times New Roman"/>
          <w:color w:val="auto"/>
          <w:sz w:val="24"/>
          <w:szCs w:val="24"/>
          <w:vertAlign w:val="superscript"/>
          <w:lang w:val="en-US" w:eastAsia="zh-CN"/>
        </w:rPr>
        <w:t>2</w:t>
      </w:r>
      <w:r>
        <w:rPr>
          <w:rFonts w:hint="eastAsia" w:ascii="Times New Roman" w:hAnsi="Times New Roman" w:cs="Times New Roman"/>
          <w:color w:val="auto"/>
          <w:sz w:val="24"/>
          <w:szCs w:val="24"/>
          <w:lang w:val="en-US" w:eastAsia="zh-CN"/>
        </w:rPr>
        <w:t>。工程与元谋风景名胜区金沙江景区的位置关系见图5.3.1-1、工程在金沙江景区总体布局见图5.3.1-2。</w:t>
      </w:r>
    </w:p>
    <w:p>
      <w:pPr>
        <w:spacing w:line="240" w:lineRule="auto"/>
        <w:jc w:val="both"/>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drawing>
          <wp:inline distT="0" distB="0" distL="114300" distR="114300">
            <wp:extent cx="4803140" cy="4803140"/>
            <wp:effectExtent l="9525" t="9525" r="26035" b="26035"/>
            <wp:docPr id="59" name="图片 59" descr="元谋金沙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元谋金沙江"/>
                    <pic:cNvPicPr>
                      <a:picLocks noChangeAspect="1"/>
                    </pic:cNvPicPr>
                  </pic:nvPicPr>
                  <pic:blipFill>
                    <a:blip r:embed="rId104"/>
                    <a:stretch>
                      <a:fillRect/>
                    </a:stretch>
                  </pic:blipFill>
                  <pic:spPr>
                    <a:xfrm>
                      <a:off x="0" y="0"/>
                      <a:ext cx="4803140" cy="4803140"/>
                    </a:xfrm>
                    <a:prstGeom prst="rect">
                      <a:avLst/>
                    </a:prstGeom>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图</w:t>
      </w:r>
      <w:r>
        <w:rPr>
          <w:rFonts w:hint="eastAsia" w:ascii="Times New Roman" w:hAnsi="Times New Roman" w:cs="Times New Roman"/>
          <w:b/>
          <w:bCs/>
          <w:color w:val="auto"/>
          <w:sz w:val="24"/>
          <w:szCs w:val="24"/>
          <w:lang w:val="en-US" w:eastAsia="zh-CN"/>
        </w:rPr>
        <w:t xml:space="preserve">5.3.1-1  </w:t>
      </w:r>
      <w:r>
        <w:rPr>
          <w:rFonts w:hint="default" w:ascii="Times New Roman" w:hAnsi="Times New Roman" w:cs="Times New Roman"/>
          <w:b/>
          <w:bCs/>
          <w:color w:val="auto"/>
          <w:sz w:val="24"/>
          <w:szCs w:val="24"/>
          <w:lang w:val="en-US" w:eastAsia="zh-CN"/>
        </w:rPr>
        <w:t>工程与金沙江景区位置关系</w:t>
      </w:r>
      <w:r>
        <w:rPr>
          <w:rFonts w:hint="eastAsia" w:ascii="Times New Roman" w:hAnsi="Times New Roman" w:cs="Times New Roman"/>
          <w:b/>
          <w:bCs/>
          <w:color w:val="auto"/>
          <w:sz w:val="24"/>
          <w:szCs w:val="24"/>
          <w:lang w:val="en-US" w:eastAsia="zh-CN"/>
        </w:rPr>
        <w:t>图</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表</w:t>
      </w:r>
      <w:r>
        <w:rPr>
          <w:rFonts w:hint="eastAsia" w:ascii="Times New Roman" w:hAnsi="Times New Roman" w:cs="Times New Roman"/>
          <w:b/>
          <w:bCs/>
          <w:color w:val="auto"/>
          <w:sz w:val="24"/>
          <w:szCs w:val="24"/>
          <w:lang w:val="en-US" w:eastAsia="zh-CN"/>
        </w:rPr>
        <w:t xml:space="preserve">5.3.1-1  </w:t>
      </w:r>
      <w:r>
        <w:rPr>
          <w:rFonts w:hint="default" w:ascii="Times New Roman" w:hAnsi="Times New Roman" w:cs="Times New Roman"/>
          <w:b/>
          <w:bCs/>
          <w:color w:val="auto"/>
          <w:sz w:val="24"/>
          <w:szCs w:val="24"/>
          <w:lang w:val="en-US" w:eastAsia="zh-CN"/>
        </w:rPr>
        <w:t>姜驿提水工程与元谋风景名胜区位置关系</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0"/>
        <w:gridCol w:w="1493"/>
        <w:gridCol w:w="3023"/>
        <w:gridCol w:w="1556"/>
        <w:gridCol w:w="15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序号</w:t>
            </w:r>
          </w:p>
        </w:tc>
        <w:tc>
          <w:tcPr>
            <w:tcW w:w="87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工程类型</w:t>
            </w:r>
          </w:p>
        </w:tc>
        <w:tc>
          <w:tcPr>
            <w:tcW w:w="1773"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涉及长度或数量</w:t>
            </w:r>
          </w:p>
        </w:tc>
        <w:tc>
          <w:tcPr>
            <w:tcW w:w="913"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永久占地(hm²)</w:t>
            </w:r>
          </w:p>
        </w:tc>
        <w:tc>
          <w:tcPr>
            <w:tcW w:w="913"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临时占地</w:t>
            </w:r>
            <w:r>
              <w:rPr>
                <w:rFonts w:hint="default" w:ascii="Times New Roman" w:hAnsi="Times New Roman" w:eastAsia="宋体" w:cs="Times New Roman"/>
                <w:color w:val="auto"/>
                <w:sz w:val="21"/>
                <w:szCs w:val="21"/>
                <w:vertAlign w:val="baseline"/>
                <w:lang w:val="en-US" w:eastAsia="zh-CN"/>
              </w:rPr>
              <w:t>(hm²)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87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高位调节水池</w:t>
            </w:r>
          </w:p>
        </w:tc>
        <w:tc>
          <w:tcPr>
            <w:tcW w:w="1773"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占地面积</w:t>
            </w:r>
            <w:r>
              <w:rPr>
                <w:rFonts w:hint="eastAsia" w:ascii="Times New Roman" w:hAnsi="Times New Roman" w:eastAsia="宋体" w:cs="Times New Roman"/>
                <w:color w:val="auto"/>
                <w:sz w:val="21"/>
                <w:szCs w:val="21"/>
                <w:vertAlign w:val="baseline"/>
                <w:lang w:val="en-US" w:eastAsia="zh-CN"/>
              </w:rPr>
              <w:t>1.831</w:t>
            </w:r>
            <w:r>
              <w:rPr>
                <w:rFonts w:hint="default" w:ascii="Times New Roman" w:hAnsi="Times New Roman" w:eastAsia="宋体" w:cs="Times New Roman"/>
                <w:color w:val="auto"/>
                <w:sz w:val="21"/>
                <w:szCs w:val="21"/>
                <w:vertAlign w:val="baseline"/>
                <w:lang w:val="en-US" w:eastAsia="zh-CN"/>
              </w:rPr>
              <w:t>hm²，容积</w:t>
            </w:r>
            <w:r>
              <w:rPr>
                <w:rFonts w:hint="default" w:ascii="Times New Roman" w:hAnsi="Times New Roman" w:eastAsia="宋体" w:cs="Times New Roman"/>
                <w:color w:val="auto"/>
                <w:sz w:val="21"/>
                <w:szCs w:val="21"/>
                <w:lang w:val="en-US" w:eastAsia="zh-CN"/>
              </w:rPr>
              <w:t>3.9万m³</w:t>
            </w:r>
            <w:r>
              <w:rPr>
                <w:rFonts w:hint="eastAsia" w:ascii="Times New Roman" w:hAnsi="Times New Roman" w:eastAsia="宋体" w:cs="Times New Roman"/>
                <w:color w:val="auto"/>
                <w:sz w:val="21"/>
                <w:szCs w:val="21"/>
                <w:lang w:val="en-US" w:eastAsia="zh-CN"/>
              </w:rPr>
              <w:t>，与姜驿乡提水工程重叠且已审批的部分占地0.105hm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vertAlign w:val="baseline"/>
                <w:lang w:val="en-US" w:eastAsia="zh-CN"/>
              </w:rPr>
              <w:t>。</w:t>
            </w:r>
          </w:p>
        </w:tc>
        <w:tc>
          <w:tcPr>
            <w:tcW w:w="913"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w:t>
            </w:r>
            <w:r>
              <w:rPr>
                <w:rFonts w:hint="eastAsia" w:cs="Times New Roman"/>
                <w:color w:val="auto"/>
                <w:sz w:val="21"/>
                <w:szCs w:val="21"/>
                <w:vertAlign w:val="baseline"/>
                <w:lang w:val="en-US" w:eastAsia="zh-CN"/>
              </w:rPr>
              <w:t>26</w:t>
            </w:r>
          </w:p>
        </w:tc>
        <w:tc>
          <w:tcPr>
            <w:tcW w:w="913"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87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北干管</w:t>
            </w:r>
          </w:p>
        </w:tc>
        <w:tc>
          <w:tcPr>
            <w:tcW w:w="1773" w:type="pct"/>
            <w:vAlign w:val="center"/>
          </w:tcPr>
          <w:p>
            <w:pPr>
              <w:keepNext w:val="0"/>
              <w:keepLines w:val="0"/>
              <w:pageBreakBefore w:val="0"/>
              <w:widowControl/>
              <w:suppressLineNumbers w:val="0"/>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657m，</w:t>
            </w:r>
            <w:r>
              <w:rPr>
                <w:rFonts w:hint="default" w:ascii="Times New Roman" w:hAnsi="Times New Roman" w:eastAsia="宋体" w:cs="Times New Roman"/>
                <w:color w:val="auto"/>
                <w:kern w:val="0"/>
                <w:sz w:val="21"/>
                <w:szCs w:val="21"/>
                <w:lang w:val="en-US" w:eastAsia="zh-CN" w:bidi="ar"/>
              </w:rPr>
              <w:t>采用螺旋钢管，管径DN800</w:t>
            </w:r>
            <w:r>
              <w:rPr>
                <w:rFonts w:hint="eastAsia" w:ascii="Times New Roman" w:hAnsi="Times New Roman" w:eastAsia="宋体" w:cs="Times New Roman"/>
                <w:color w:val="auto"/>
                <w:kern w:val="0"/>
                <w:sz w:val="21"/>
                <w:szCs w:val="21"/>
                <w:lang w:val="en-US" w:eastAsia="zh-CN" w:bidi="ar"/>
              </w:rPr>
              <w:t>，</w:t>
            </w:r>
            <w:r>
              <w:rPr>
                <w:rFonts w:hint="eastAsia" w:cs="Times New Roman"/>
                <w:color w:val="auto"/>
                <w:kern w:val="0"/>
                <w:sz w:val="21"/>
                <w:szCs w:val="21"/>
                <w:lang w:val="en-US" w:eastAsia="zh-CN" w:bidi="ar"/>
              </w:rPr>
              <w:t>占地0.98</w:t>
            </w:r>
            <w:r>
              <w:rPr>
                <w:rFonts w:hint="default" w:ascii="Times New Roman" w:hAnsi="Times New Roman" w:eastAsia="宋体" w:cs="Times New Roman"/>
                <w:color w:val="auto"/>
                <w:kern w:val="0"/>
                <w:sz w:val="21"/>
                <w:szCs w:val="21"/>
                <w:highlight w:val="none"/>
                <w:lang w:val="en-US" w:eastAsia="zh-Hans"/>
              </w:rPr>
              <w:t>hm</w:t>
            </w:r>
            <w:r>
              <w:rPr>
                <w:rFonts w:hint="default" w:ascii="Times New Roman" w:hAnsi="Times New Roman" w:eastAsia="宋体" w:cs="Times New Roman"/>
                <w:color w:val="auto"/>
                <w:kern w:val="0"/>
                <w:sz w:val="21"/>
                <w:szCs w:val="21"/>
                <w:highlight w:val="none"/>
                <w:vertAlign w:val="superscript"/>
                <w:lang w:val="en-US" w:eastAsia="zh-Hans"/>
              </w:rPr>
              <w:t>2</w:t>
            </w:r>
            <w:r>
              <w:rPr>
                <w:rFonts w:hint="eastAsia" w:ascii="Times New Roman" w:hAnsi="Times New Roman" w:eastAsia="宋体" w:cs="Times New Roman"/>
                <w:color w:val="auto"/>
                <w:kern w:val="0"/>
                <w:sz w:val="21"/>
                <w:szCs w:val="21"/>
                <w:highlight w:val="none"/>
                <w:vertAlign w:val="baseline"/>
                <w:lang w:val="en-US" w:eastAsia="zh-CN"/>
              </w:rPr>
              <w:t>。</w:t>
            </w:r>
            <w:r>
              <w:rPr>
                <w:rFonts w:hint="eastAsia" w:ascii="Times New Roman" w:hAnsi="Times New Roman" w:eastAsia="宋体" w:cs="Times New Roman"/>
                <w:color w:val="auto"/>
                <w:kern w:val="0"/>
                <w:sz w:val="21"/>
                <w:szCs w:val="21"/>
                <w:lang w:val="en-US" w:eastAsia="zh-CN" w:bidi="ar"/>
              </w:rPr>
              <w:t>与姜驿乡提水工程重叠且已审批的部分占地0.07hm</w:t>
            </w:r>
            <w:r>
              <w:rPr>
                <w:rFonts w:hint="eastAsia" w:ascii="Times New Roman" w:hAnsi="Times New Roman" w:eastAsia="宋体" w:cs="Times New Roman"/>
                <w:color w:val="auto"/>
                <w:kern w:val="0"/>
                <w:sz w:val="21"/>
                <w:szCs w:val="21"/>
                <w:vertAlign w:val="superscript"/>
                <w:lang w:val="en-US" w:eastAsia="zh-CN" w:bidi="ar"/>
              </w:rPr>
              <w:t>2</w:t>
            </w:r>
          </w:p>
        </w:tc>
        <w:tc>
          <w:tcPr>
            <w:tcW w:w="913"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913"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0.91</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drawing>
          <wp:inline distT="0" distB="0" distL="114300" distR="114300">
            <wp:extent cx="5271135" cy="5271135"/>
            <wp:effectExtent l="9525" t="9525" r="15240" b="15240"/>
            <wp:docPr id="60" name="图片 60" descr="工程在金沙江景区总体布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工程在金沙江景区总体布局图"/>
                    <pic:cNvPicPr>
                      <a:picLocks noChangeAspect="1"/>
                    </pic:cNvPicPr>
                  </pic:nvPicPr>
                  <pic:blipFill>
                    <a:blip r:embed="rId105"/>
                    <a:stretch>
                      <a:fillRect/>
                    </a:stretch>
                  </pic:blipFill>
                  <pic:spPr>
                    <a:xfrm>
                      <a:off x="0" y="0"/>
                      <a:ext cx="5271135" cy="5271135"/>
                    </a:xfrm>
                    <a:prstGeom prst="rect">
                      <a:avLst/>
                    </a:prstGeom>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图</w:t>
      </w:r>
      <w:r>
        <w:rPr>
          <w:rFonts w:hint="eastAsia" w:ascii="Times New Roman" w:hAnsi="Times New Roman" w:cs="Times New Roman"/>
          <w:b/>
          <w:bCs/>
          <w:color w:val="auto"/>
          <w:sz w:val="24"/>
          <w:szCs w:val="24"/>
          <w:lang w:val="en-US" w:eastAsia="zh-CN"/>
        </w:rPr>
        <w:t xml:space="preserve">5.3.1-2  </w:t>
      </w:r>
      <w:r>
        <w:rPr>
          <w:rFonts w:hint="default" w:ascii="Times New Roman" w:hAnsi="Times New Roman" w:cs="Times New Roman"/>
          <w:b/>
          <w:bCs/>
          <w:color w:val="auto"/>
          <w:sz w:val="24"/>
          <w:szCs w:val="24"/>
          <w:lang w:val="en-US" w:eastAsia="zh-CN"/>
        </w:rPr>
        <w:t>工程在金沙江景区总体布局图</w:t>
      </w:r>
    </w:p>
    <w:p>
      <w:pPr>
        <w:numPr>
          <w:ilvl w:val="0"/>
          <w:numId w:val="33"/>
        </w:numPr>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工程在元谋风景名胜区内的建设内容</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cs="Times New Roman"/>
          <w:b/>
          <w:bCs/>
          <w:color w:val="auto"/>
          <w:sz w:val="24"/>
          <w:szCs w:val="24"/>
          <w:lang w:val="en-US" w:eastAsia="zh-CN"/>
        </w:rPr>
      </w:pPr>
      <w:bookmarkStart w:id="671" w:name="_Toc21445"/>
      <w:r>
        <w:rPr>
          <w:rFonts w:hint="eastAsia" w:ascii="Times New Roman" w:hAnsi="Times New Roman" w:cs="Times New Roman"/>
          <w:b/>
          <w:bCs/>
          <w:color w:val="auto"/>
          <w:sz w:val="24"/>
          <w:szCs w:val="24"/>
          <w:lang w:val="en-US" w:eastAsia="zh-CN"/>
        </w:rPr>
        <w:t>（1）</w:t>
      </w:r>
      <w:r>
        <w:rPr>
          <w:rFonts w:hint="default" w:ascii="Times New Roman" w:hAnsi="Times New Roman" w:cs="Times New Roman"/>
          <w:b/>
          <w:bCs/>
          <w:color w:val="auto"/>
          <w:sz w:val="24"/>
          <w:szCs w:val="24"/>
          <w:lang w:val="en-US" w:eastAsia="zh-CN"/>
        </w:rPr>
        <w:t>高位调节水池</w:t>
      </w:r>
      <w:bookmarkEnd w:id="67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水池布置于姜驿乡</w:t>
      </w:r>
      <w:r>
        <w:rPr>
          <w:rFonts w:hint="eastAsia" w:cs="Times New Roman"/>
          <w:color w:val="0000FF"/>
          <w:sz w:val="24"/>
          <w:szCs w:val="24"/>
          <w:lang w:val="en-US" w:eastAsia="zh-CN"/>
        </w:rPr>
        <w:t>华峰</w:t>
      </w:r>
      <w:r>
        <w:rPr>
          <w:rFonts w:hint="default" w:ascii="Times New Roman" w:hAnsi="Times New Roman" w:cs="Times New Roman"/>
          <w:color w:val="0000FF"/>
          <w:sz w:val="24"/>
          <w:szCs w:val="24"/>
          <w:lang w:val="en-US" w:eastAsia="zh-CN"/>
        </w:rPr>
        <w:t>村</w:t>
      </w:r>
      <w:r>
        <w:rPr>
          <w:rFonts w:hint="default" w:ascii="Times New Roman" w:hAnsi="Times New Roman" w:cs="Times New Roman"/>
          <w:color w:val="auto"/>
          <w:sz w:val="24"/>
          <w:szCs w:val="24"/>
          <w:lang w:val="en-US" w:eastAsia="zh-CN"/>
        </w:rPr>
        <w:t>西南约850m处山坡上，姜驿乡提水工程2040m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高位水池旁。水池平面形状近似矩形，因场地受限，局部采用</w:t>
      </w:r>
      <w:r>
        <w:rPr>
          <w:rFonts w:hint="eastAsia" w:cs="Times New Roman"/>
          <w:color w:val="auto"/>
          <w:sz w:val="24"/>
          <w:szCs w:val="24"/>
          <w:lang w:val="en-US" w:eastAsia="zh-CN"/>
        </w:rPr>
        <w:t>异形</w:t>
      </w:r>
      <w:r>
        <w:rPr>
          <w:rFonts w:hint="default" w:ascii="Times New Roman" w:hAnsi="Times New Roman" w:cs="Times New Roman"/>
          <w:color w:val="auto"/>
          <w:sz w:val="24"/>
          <w:szCs w:val="24"/>
          <w:lang w:val="en-US" w:eastAsia="zh-CN"/>
        </w:rPr>
        <w:t>。池底高程1900.00m，正常水位高程1909.50m。</w:t>
      </w:r>
      <w:r>
        <w:rPr>
          <w:rFonts w:hint="eastAsia" w:cs="Times New Roman"/>
          <w:color w:val="auto"/>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工程水池结构设计采用池壁、池底、池顶为分离式结构。池壁采用扶壁式钢筋混凝土挡土墙，池底采用30cm厚C30混凝土表层配防裂温度筋防渗，池壁与池底接缝处采用T2型铜片止水。池底每隔10m设一道伸缩缝，缝内填塞聚氨酯弹性密封膏止水。池板上设300×300mm排水沟，间距10m。水池上部设DN800进水管和溢流管，下部设DN800供水管及放空管。</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Times New Roman" w:hAnsi="Times New Roman" w:cs="Times New Roman"/>
          <w:b/>
          <w:bCs/>
          <w:color w:val="auto"/>
          <w:sz w:val="24"/>
          <w:szCs w:val="24"/>
          <w:lang w:val="en-US" w:eastAsia="zh-CN"/>
        </w:rPr>
      </w:pPr>
      <w:bookmarkStart w:id="672" w:name="_Toc2041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outlineLvl w:val="9"/>
        <w:rPr>
          <w:rFonts w:hint="default" w:ascii="Times New Roman" w:hAnsi="Times New Roman" w:cs="Times New Roman"/>
          <w:b/>
          <w:bCs/>
          <w:color w:val="auto"/>
        </w:rPr>
      </w:pPr>
      <w:r>
        <w:rPr>
          <w:rFonts w:hint="eastAsia" w:ascii="Times New Roman" w:hAnsi="Times New Roman" w:cs="Times New Roman"/>
          <w:b/>
          <w:bCs/>
          <w:color w:val="auto"/>
          <w:sz w:val="24"/>
          <w:szCs w:val="24"/>
          <w:lang w:val="en-US" w:eastAsia="zh-CN"/>
        </w:rPr>
        <w:t>（2）</w:t>
      </w:r>
      <w:r>
        <w:rPr>
          <w:rFonts w:hint="default" w:ascii="Times New Roman" w:hAnsi="Times New Roman" w:cs="Times New Roman"/>
          <w:b/>
          <w:bCs/>
          <w:color w:val="auto"/>
          <w:sz w:val="24"/>
          <w:szCs w:val="24"/>
          <w:lang w:val="en-US" w:eastAsia="zh-CN"/>
        </w:rPr>
        <w:t>北干管</w:t>
      </w:r>
      <w:bookmarkEnd w:id="672"/>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北干管从3.9万m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高位调节水池取水，管道沿</w:t>
      </w:r>
      <w:r>
        <w:rPr>
          <w:rFonts w:hint="eastAsia" w:cs="Times New Roman"/>
          <w:color w:val="auto"/>
          <w:kern w:val="0"/>
          <w:sz w:val="24"/>
          <w:szCs w:val="24"/>
          <w:lang w:val="en-US" w:eastAsia="zh-CN" w:bidi="ar"/>
        </w:rPr>
        <w:t>华峰</w:t>
      </w:r>
      <w:r>
        <w:rPr>
          <w:rFonts w:hint="default" w:ascii="Times New Roman" w:hAnsi="Times New Roman" w:eastAsia="宋体" w:cs="Times New Roman"/>
          <w:color w:val="auto"/>
          <w:kern w:val="0"/>
          <w:sz w:val="24"/>
          <w:szCs w:val="24"/>
          <w:lang w:val="en-US" w:eastAsia="zh-CN" w:bidi="ar"/>
        </w:rPr>
        <w:t>村顺乡村道路布置，管首流量Q=0.8638m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/s，管材采用Q235B螺旋钢管，管径DN800</w:t>
      </w:r>
      <w:r>
        <w:rPr>
          <w:rFonts w:hint="eastAsia" w:ascii="Times New Roman" w:hAnsi="Times New Roman" w:eastAsia="宋体" w:cs="Times New Roman"/>
          <w:color w:val="auto"/>
          <w:kern w:val="0"/>
          <w:sz w:val="24"/>
          <w:szCs w:val="24"/>
          <w:lang w:val="en-US" w:eastAsia="zh-CN" w:bidi="ar"/>
        </w:rPr>
        <w:t>，在风景名胜区内长度为657m，为埋管敷设。</w:t>
      </w:r>
    </w:p>
    <w:p>
      <w:pPr>
        <w:pStyle w:val="5"/>
        <w:numPr>
          <w:ilvl w:val="3"/>
          <w:numId w:val="2"/>
        </w:numPr>
        <w:bidi w:val="0"/>
        <w:ind w:left="480" w:leftChars="0" w:firstLineChars="0"/>
        <w:rPr>
          <w:rFonts w:hint="default"/>
          <w:color w:val="auto"/>
          <w:lang w:val="en-US" w:eastAsia="zh-CN"/>
        </w:rPr>
      </w:pPr>
      <w:r>
        <w:rPr>
          <w:rFonts w:hint="eastAsia"/>
          <w:color w:val="auto"/>
          <w:lang w:val="en-US" w:eastAsia="zh-CN"/>
        </w:rPr>
        <w:t>项目选址的唯一性和不可避让性</w:t>
      </w:r>
    </w:p>
    <w:p>
      <w:pPr>
        <w:bidi w:val="0"/>
        <w:ind w:firstLine="480" w:firstLineChars="200"/>
        <w:rPr>
          <w:rFonts w:hint="default" w:eastAsia="宋体"/>
          <w:color w:val="0000FF"/>
          <w:highlight w:val="none"/>
          <w:lang w:val="en-US" w:eastAsia="zh-CN"/>
        </w:rPr>
      </w:pPr>
      <w:r>
        <w:rPr>
          <w:rFonts w:hint="eastAsia"/>
          <w:color w:val="0000FF"/>
          <w:highlight w:val="none"/>
          <w:lang w:val="en-US" w:eastAsia="zh-CN"/>
        </w:rPr>
        <w:t>本项目高位调节水池、北干管涉及元谋风景名胜区金沙江景区的一般景区，该部分工程选址具有唯一性和不可避让性，具体如下：</w:t>
      </w:r>
    </w:p>
    <w:p>
      <w:pPr>
        <w:bidi w:val="0"/>
        <w:ind w:firstLine="482" w:firstLineChars="200"/>
        <w:rPr>
          <w:rFonts w:hint="default"/>
          <w:b/>
          <w:bCs/>
          <w:color w:val="0000FF"/>
          <w:highlight w:val="none"/>
          <w:lang w:val="en-US"/>
        </w:rPr>
      </w:pPr>
      <w:r>
        <w:rPr>
          <w:rFonts w:hint="eastAsia"/>
          <w:b/>
          <w:bCs/>
          <w:color w:val="0000FF"/>
          <w:highlight w:val="none"/>
          <w:lang w:val="en-US" w:eastAsia="zh-CN"/>
        </w:rPr>
        <w:t>1、与引水水源的位置</w:t>
      </w:r>
    </w:p>
    <w:p>
      <w:pPr>
        <w:bidi w:val="0"/>
        <w:ind w:firstLine="480" w:firstLineChars="200"/>
        <w:rPr>
          <w:rFonts w:hint="default"/>
          <w:color w:val="auto"/>
          <w:highlight w:val="none"/>
          <w:lang w:val="en-US"/>
        </w:rPr>
      </w:pPr>
      <w:r>
        <w:rPr>
          <w:rFonts w:hint="eastAsia"/>
          <w:color w:val="0000FF"/>
          <w:highlight w:val="none"/>
          <w:lang w:val="en-US" w:eastAsia="zh-CN"/>
        </w:rPr>
        <w:t>本项目从“金沙江乌东德水电站水资源综合利用—元谋县姜驿乡提水工程”的2040m³高位水池取水，该高位水池位于本项目管首调节池北侧，由长42m的DN800管道引水注入本项目管首调节水池作为水源。按目前的工程布置方案，</w:t>
      </w:r>
      <w:r>
        <w:rPr>
          <w:rFonts w:hint="eastAsia" w:ascii="Times New Roman" w:hAnsi="Times New Roman" w:cs="Times New Roman"/>
          <w:color w:val="0000FF"/>
          <w:sz w:val="24"/>
          <w:szCs w:val="24"/>
          <w:highlight w:val="none"/>
          <w:lang w:val="en-US" w:eastAsia="zh-CN"/>
        </w:rPr>
        <w:t>管首调蓄水池紧邻高位水池，可更加便利的进行调蓄及调控管理，且管首调节池位置高程</w:t>
      </w:r>
      <w:r>
        <w:rPr>
          <w:rFonts w:hint="eastAsia" w:cs="Times New Roman"/>
          <w:color w:val="0000FF"/>
          <w:sz w:val="24"/>
          <w:szCs w:val="24"/>
          <w:highlight w:val="none"/>
          <w:lang w:val="en-US" w:eastAsia="zh-CN"/>
        </w:rPr>
        <w:t>较高</w:t>
      </w:r>
      <w:r>
        <w:rPr>
          <w:rFonts w:hint="eastAsia" w:ascii="Times New Roman" w:hAnsi="Times New Roman" w:cs="Times New Roman"/>
          <w:color w:val="0000FF"/>
          <w:sz w:val="24"/>
          <w:szCs w:val="24"/>
          <w:highlight w:val="none"/>
          <w:lang w:val="en-US" w:eastAsia="zh-CN"/>
        </w:rPr>
        <w:t>，大部分可通过管道自流进入灌区，减少了提水的负担及工程占地。</w:t>
      </w:r>
      <w:r>
        <w:rPr>
          <w:rFonts w:hint="eastAsia"/>
          <w:color w:val="0000FF"/>
          <w:highlight w:val="none"/>
          <w:lang w:val="en-US" w:eastAsia="zh-CN"/>
        </w:rPr>
        <w:t>水可进行自流流且距离最短。若将管首高位水池及北干管向东北或西北侧调整，可调出元谋风景名胜区，但无法进行直流，需借助泵站，且管线距离增长。</w:t>
      </w:r>
    </w:p>
    <w:p>
      <w:pPr>
        <w:bidi w:val="0"/>
        <w:ind w:firstLine="482" w:firstLineChars="200"/>
        <w:rPr>
          <w:rFonts w:hint="default"/>
          <w:b/>
          <w:bCs/>
          <w:color w:val="auto"/>
          <w:highlight w:val="none"/>
          <w:lang w:val="en-US" w:eastAsia="zh-CN"/>
        </w:rPr>
      </w:pPr>
      <w:bookmarkStart w:id="673" w:name="_Toc20639"/>
      <w:r>
        <w:rPr>
          <w:rFonts w:hint="eastAsia"/>
          <w:b/>
          <w:bCs/>
          <w:color w:val="auto"/>
          <w:highlight w:val="none"/>
          <w:lang w:val="en-US" w:eastAsia="zh-CN"/>
        </w:rPr>
        <w:t>2、项目区地形地质</w:t>
      </w:r>
      <w:bookmarkEnd w:id="67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灌区属川西高原与滇中高原接触带的金沙江由北向南流转由西向东流的三角形地带，南至元谋县城约45km（平距）。大致以金沙江为界，江北属川西中高山地，江南属滇中红色高原，属高山深切割地形，河谷侵蚀地貌。地势总体呈南北两侧向中部（金沙江）倾斜，北部距金沙江13km左右的阿腊益山高程2398.1m，南部14km处的鸡冠山顶2498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区内侵蚀作用强烈，谷坡陡峭，远离河谷的分水岭及河间地块剥蚀作用为主。山顶浑圆平缓，高差较小。工程区位于金沙江北岸，靠江边地形陡峭，往上逐渐变缓。因此下部陡坡小型崩塌、危石坠落现象较普遍，上部浅层第四系滑坡、蠕动、雨裂较不发育，水土流失严重。水池所处位置为山顶，地质条件较好，基岩出露。地表出露基岩为中生界侏罗系上统张河组（J2z），岩性为灰、灰白色砂岩夹粉砂岩、紫红色泥岩，岩层产状116°∠26°，地表岩体呈强风化状态，地下水总体埋深较深。水池基础开挖后可置于强～弱风化基岩上，基础稳定性较好，边坡为斜向坡，自然边坡稳定。局部凹箐第四系土层边坡稳定性稍差，除岩体风化强烈外，其他不良物理地质现象不发育，水池基础高于地下水位，地基承载力满足要求，不存在地基变形和不均匀沉降问题。</w:t>
      </w:r>
    </w:p>
    <w:p>
      <w:pPr>
        <w:bidi w:val="0"/>
        <w:ind w:firstLine="482" w:firstLineChars="200"/>
        <w:rPr>
          <w:rFonts w:hint="default"/>
          <w:b/>
          <w:bCs/>
          <w:color w:val="auto"/>
          <w:highlight w:val="none"/>
          <w:lang w:val="en-US" w:eastAsia="zh-CN"/>
        </w:rPr>
      </w:pPr>
      <w:bookmarkStart w:id="674" w:name="_Toc19829"/>
      <w:r>
        <w:rPr>
          <w:rFonts w:hint="eastAsia"/>
          <w:b/>
          <w:bCs/>
          <w:color w:val="auto"/>
          <w:highlight w:val="none"/>
          <w:lang w:val="en-US" w:eastAsia="zh-CN"/>
        </w:rPr>
        <w:t>3、与三区三线的</w:t>
      </w:r>
      <w:bookmarkEnd w:id="674"/>
      <w:r>
        <w:rPr>
          <w:rFonts w:hint="eastAsia"/>
          <w:b/>
          <w:bCs/>
          <w:color w:val="auto"/>
          <w:highlight w:val="none"/>
          <w:lang w:val="en-US" w:eastAsia="zh-CN"/>
        </w:rPr>
        <w:t>位置</w:t>
      </w:r>
    </w:p>
    <w:p>
      <w:pPr>
        <w:bidi w:val="0"/>
        <w:ind w:firstLine="480" w:firstLineChars="200"/>
        <w:rPr>
          <w:rFonts w:hint="default" w:eastAsia="宋体"/>
          <w:color w:val="0000FF"/>
          <w:highlight w:val="none"/>
          <w:lang w:val="en-US" w:eastAsia="zh-CN"/>
        </w:rPr>
      </w:pPr>
      <w:r>
        <w:rPr>
          <w:rFonts w:hint="eastAsia"/>
          <w:color w:val="0000FF"/>
          <w:highlight w:val="none"/>
          <w:lang w:val="en-US" w:eastAsia="zh-CN"/>
        </w:rPr>
        <w:t>本项目高位调节水池、北干管涉及元谋风景名胜区金沙江景区的一般景区，该部分工程与金沙江景区及元谋县三区三线的位置关系如图：</w:t>
      </w:r>
    </w:p>
    <w:p>
      <w:pPr>
        <w:bidi w:val="0"/>
        <w:spacing w:line="240" w:lineRule="auto"/>
        <w:ind w:left="0" w:leftChars="0" w:firstLine="0" w:firstLineChars="0"/>
        <w:jc w:val="center"/>
        <w:rPr>
          <w:rFonts w:hint="eastAsia" w:eastAsia="宋体"/>
          <w:color w:val="0000FF"/>
          <w:highlight w:val="none"/>
          <w:lang w:eastAsia="zh-CN"/>
        </w:rPr>
      </w:pPr>
      <w:r>
        <w:rPr>
          <w:rFonts w:hint="eastAsia" w:eastAsia="宋体"/>
          <w:color w:val="0000FF"/>
          <w:highlight w:val="none"/>
          <w:lang w:eastAsia="zh-CN"/>
        </w:rPr>
        <w:drawing>
          <wp:inline distT="0" distB="0" distL="114300" distR="114300">
            <wp:extent cx="5596890" cy="3354070"/>
            <wp:effectExtent l="0" t="0" r="3810" b="17780"/>
            <wp:docPr id="94" name="图片 94" descr="与三区三线位置关系-模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与三区三线位置关系-模型"/>
                    <pic:cNvPicPr>
                      <a:picLocks noChangeAspect="1"/>
                    </pic:cNvPicPr>
                  </pic:nvPicPr>
                  <pic:blipFill>
                    <a:blip r:embed="rId106"/>
                    <a:srcRect t="13355" b="13048"/>
                    <a:stretch>
                      <a:fillRect/>
                    </a:stretch>
                  </pic:blipFill>
                  <pic:spPr>
                    <a:xfrm>
                      <a:off x="0" y="0"/>
                      <a:ext cx="5596890" cy="3354070"/>
                    </a:xfrm>
                    <a:prstGeom prst="rect">
                      <a:avLst/>
                    </a:prstGeom>
                  </pic:spPr>
                </pic:pic>
              </a:graphicData>
            </a:graphic>
          </wp:inline>
        </w:drawing>
      </w:r>
    </w:p>
    <w:p>
      <w:pPr>
        <w:bidi w:val="0"/>
        <w:spacing w:line="240" w:lineRule="auto"/>
        <w:ind w:firstLine="482" w:firstLineChars="200"/>
        <w:jc w:val="center"/>
        <w:rPr>
          <w:rFonts w:hint="default" w:eastAsia="宋体"/>
          <w:b/>
          <w:bCs/>
          <w:color w:val="0000FF"/>
          <w:highlight w:val="none"/>
          <w:lang w:val="en-US" w:eastAsia="zh-CN"/>
        </w:rPr>
      </w:pPr>
      <w:r>
        <w:rPr>
          <w:rFonts w:hint="eastAsia" w:eastAsia="宋体"/>
          <w:b/>
          <w:bCs/>
          <w:color w:val="0000FF"/>
          <w:highlight w:val="none"/>
          <w:lang w:eastAsia="zh-CN"/>
        </w:rPr>
        <w:t xml:space="preserve">图5.3.1-2  </w:t>
      </w:r>
      <w:r>
        <w:rPr>
          <w:rFonts w:hint="eastAsia"/>
          <w:b/>
          <w:bCs/>
          <w:color w:val="0000FF"/>
          <w:highlight w:val="none"/>
          <w:lang w:val="en-US" w:eastAsia="zh-CN"/>
        </w:rPr>
        <w:t>工程设涉及风景名胜区处与元谋县三区三线的位置关系图</w:t>
      </w:r>
    </w:p>
    <w:p>
      <w:pPr>
        <w:bidi w:val="0"/>
        <w:ind w:firstLine="480" w:firstLineChars="200"/>
        <w:rPr>
          <w:rFonts w:hint="eastAsia"/>
          <w:color w:val="0000FF"/>
          <w:highlight w:val="none"/>
          <w:lang w:val="en-US" w:eastAsia="zh-CN"/>
        </w:rPr>
      </w:pPr>
      <w:r>
        <w:rPr>
          <w:rFonts w:hint="eastAsia"/>
          <w:color w:val="0000FF"/>
          <w:highlight w:val="none"/>
          <w:lang w:val="en-US" w:eastAsia="zh-CN"/>
        </w:rPr>
        <w:t>由上图所知：涉及元谋风景名胜区金沙江景区的管首调节水池不占用元谋县生态红线及永久基本农田；管首段北干约有80m临时占用永久基本农田。</w:t>
      </w:r>
    </w:p>
    <w:p>
      <w:pPr>
        <w:bidi w:val="0"/>
        <w:ind w:firstLine="480" w:firstLineChars="200"/>
        <w:rPr>
          <w:rFonts w:hint="default" w:ascii="Times New Roman" w:hAnsi="Times New Roman" w:cs="Times New Roman"/>
          <w:color w:val="0000FF"/>
          <w:sz w:val="24"/>
          <w:szCs w:val="24"/>
          <w:highlight w:val="none"/>
          <w:lang w:val="en-US" w:eastAsia="zh-CN"/>
        </w:rPr>
      </w:pPr>
      <w:r>
        <w:rPr>
          <w:rFonts w:hint="eastAsia" w:cs="Times New Roman"/>
          <w:color w:val="0000FF"/>
          <w:sz w:val="24"/>
          <w:szCs w:val="24"/>
          <w:highlight w:val="none"/>
          <w:lang w:val="en-US" w:eastAsia="zh-CN"/>
        </w:rPr>
        <w:t>由于</w:t>
      </w:r>
      <w:r>
        <w:rPr>
          <w:rFonts w:hint="eastAsia" w:ascii="Times New Roman" w:hAnsi="Times New Roman" w:cs="Times New Roman"/>
          <w:color w:val="0000FF"/>
          <w:sz w:val="24"/>
          <w:szCs w:val="24"/>
          <w:highlight w:val="none"/>
          <w:lang w:val="en-US" w:eastAsia="zh-CN"/>
        </w:rPr>
        <w:t>灌区范围较大，高程范围约为1301m～2197m，项目管首调蓄水池于</w:t>
      </w:r>
      <w:r>
        <w:rPr>
          <w:rFonts w:hint="default" w:ascii="Times New Roman" w:hAnsi="Times New Roman" w:cs="Times New Roman"/>
          <w:color w:val="0000FF"/>
          <w:sz w:val="24"/>
          <w:szCs w:val="24"/>
          <w:highlight w:val="none"/>
          <w:lang w:val="en-US" w:eastAsia="zh-CN"/>
        </w:rPr>
        <w:t>元谋县姜驿乡提水工程1909.8m的2040m</w:t>
      </w:r>
      <w:r>
        <w:rPr>
          <w:rFonts w:hint="eastAsia" w:ascii="Times New Roman" w:hAnsi="Times New Roman" w:cs="Times New Roman"/>
          <w:color w:val="0000FF"/>
          <w:sz w:val="24"/>
          <w:szCs w:val="24"/>
          <w:highlight w:val="none"/>
          <w:vertAlign w:val="superscript"/>
          <w:lang w:val="en-US" w:eastAsia="zh-CN"/>
        </w:rPr>
        <w:t>3</w:t>
      </w:r>
      <w:r>
        <w:rPr>
          <w:rFonts w:hint="default" w:ascii="Times New Roman" w:hAnsi="Times New Roman" w:cs="Times New Roman"/>
          <w:color w:val="0000FF"/>
          <w:sz w:val="24"/>
          <w:szCs w:val="24"/>
          <w:highlight w:val="none"/>
          <w:lang w:val="en-US" w:eastAsia="zh-CN"/>
        </w:rPr>
        <w:t>高位水池接出</w:t>
      </w:r>
      <w:r>
        <w:rPr>
          <w:rFonts w:hint="eastAsia" w:ascii="Times New Roman" w:hAnsi="Times New Roman" w:cs="Times New Roman"/>
          <w:color w:val="0000FF"/>
          <w:sz w:val="24"/>
          <w:szCs w:val="24"/>
          <w:highlight w:val="none"/>
          <w:lang w:val="en-US" w:eastAsia="zh-CN"/>
        </w:rPr>
        <w:t>，管首调蓄水池可设置范围为高位水池至北干管与金马干分管交汇处，高程范围为1873m～</w:t>
      </w:r>
      <w:r>
        <w:rPr>
          <w:rFonts w:hint="default" w:ascii="Times New Roman" w:hAnsi="Times New Roman" w:cs="Times New Roman"/>
          <w:color w:val="0000FF"/>
          <w:sz w:val="24"/>
          <w:szCs w:val="24"/>
          <w:highlight w:val="none"/>
          <w:lang w:val="en-US" w:eastAsia="zh-CN"/>
        </w:rPr>
        <w:t>1909.8m</w:t>
      </w:r>
      <w:r>
        <w:rPr>
          <w:rFonts w:hint="eastAsia" w:ascii="Times New Roman" w:hAnsi="Times New Roman" w:cs="Times New Roman"/>
          <w:color w:val="0000FF"/>
          <w:sz w:val="24"/>
          <w:szCs w:val="24"/>
          <w:highlight w:val="none"/>
          <w:lang w:val="en-US" w:eastAsia="zh-CN"/>
        </w:rPr>
        <w:t>，经叠图分析，除陡峭地势及山体外，风景名胜区外大部分处于生态保护红线及基本农田范围内</w:t>
      </w:r>
      <w:r>
        <w:rPr>
          <w:rFonts w:hint="default" w:ascii="Times New Roman" w:hAnsi="Times New Roman" w:cs="Times New Roman"/>
          <w:color w:val="0000FF"/>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z w:val="24"/>
          <w:szCs w:val="24"/>
          <w:highlight w:val="none"/>
          <w:lang w:val="en-US" w:eastAsia="zh-CN"/>
        </w:rPr>
      </w:pPr>
      <w:r>
        <w:rPr>
          <w:rFonts w:hint="eastAsia" w:cs="Times New Roman"/>
          <w:color w:val="auto"/>
          <w:sz w:val="24"/>
          <w:szCs w:val="24"/>
          <w:highlight w:val="none"/>
          <w:lang w:val="en-US" w:eastAsia="zh-CN"/>
        </w:rPr>
        <w:t>综上，</w:t>
      </w:r>
      <w:r>
        <w:rPr>
          <w:rFonts w:hint="default" w:ascii="Times New Roman" w:hAnsi="Times New Roman" w:cs="Times New Roman"/>
          <w:b w:val="0"/>
          <w:bCs w:val="0"/>
          <w:color w:val="auto"/>
          <w:sz w:val="24"/>
          <w:szCs w:val="24"/>
          <w:highlight w:val="none"/>
          <w:lang w:val="en-US" w:eastAsia="zh-CN"/>
        </w:rPr>
        <w:t>综合考虑地形、地质、高程、</w:t>
      </w:r>
      <w:r>
        <w:rPr>
          <w:rFonts w:hint="eastAsia" w:ascii="Times New Roman" w:hAnsi="Times New Roman" w:cs="Times New Roman"/>
          <w:b w:val="0"/>
          <w:bCs w:val="0"/>
          <w:color w:val="auto"/>
          <w:sz w:val="24"/>
          <w:szCs w:val="24"/>
          <w:highlight w:val="none"/>
          <w:lang w:val="en-US" w:eastAsia="zh-CN"/>
        </w:rPr>
        <w:t>提水负担、工程占地、</w:t>
      </w:r>
      <w:r>
        <w:rPr>
          <w:rFonts w:hint="default" w:ascii="Times New Roman" w:hAnsi="Times New Roman" w:cs="Times New Roman"/>
          <w:b w:val="0"/>
          <w:bCs w:val="0"/>
          <w:color w:val="auto"/>
          <w:sz w:val="24"/>
          <w:szCs w:val="24"/>
          <w:highlight w:val="none"/>
          <w:lang w:val="en-US" w:eastAsia="zh-CN"/>
        </w:rPr>
        <w:t>三区三线等条件，</w:t>
      </w:r>
      <w:r>
        <w:rPr>
          <w:rFonts w:hint="eastAsia" w:ascii="Times New Roman" w:hAnsi="Times New Roman" w:cs="Times New Roman"/>
          <w:b w:val="0"/>
          <w:bCs w:val="0"/>
          <w:color w:val="auto"/>
          <w:sz w:val="24"/>
          <w:szCs w:val="24"/>
          <w:highlight w:val="none"/>
          <w:lang w:val="en-US" w:eastAsia="zh-CN"/>
        </w:rPr>
        <w:t>于</w:t>
      </w:r>
      <w:r>
        <w:rPr>
          <w:rFonts w:hint="default" w:ascii="Times New Roman" w:hAnsi="Times New Roman" w:cs="Times New Roman"/>
          <w:b w:val="0"/>
          <w:bCs w:val="0"/>
          <w:color w:val="auto"/>
          <w:sz w:val="24"/>
          <w:szCs w:val="24"/>
          <w:highlight w:val="none"/>
          <w:lang w:val="en-US" w:eastAsia="zh-CN"/>
        </w:rPr>
        <w:t>在建的《金沙江乌东德水电站水资源综合利用—元谋县姜驿乡提水工程》1915m高程的2040m</w:t>
      </w:r>
      <w:r>
        <w:rPr>
          <w:rFonts w:hint="eastAsia" w:ascii="Times New Roman" w:hAnsi="Times New Roman" w:cs="Times New Roman"/>
          <w:b w:val="0"/>
          <w:bCs w:val="0"/>
          <w:color w:val="auto"/>
          <w:sz w:val="24"/>
          <w:szCs w:val="24"/>
          <w:highlight w:val="none"/>
          <w:vertAlign w:val="superscript"/>
          <w:lang w:val="en-US" w:eastAsia="zh-CN"/>
        </w:rPr>
        <w:t>3</w:t>
      </w:r>
      <w:r>
        <w:rPr>
          <w:rFonts w:hint="default" w:ascii="Times New Roman" w:hAnsi="Times New Roman" w:cs="Times New Roman"/>
          <w:b w:val="0"/>
          <w:bCs w:val="0"/>
          <w:color w:val="auto"/>
          <w:sz w:val="24"/>
          <w:szCs w:val="24"/>
          <w:highlight w:val="none"/>
          <w:lang w:val="en-US" w:eastAsia="zh-CN"/>
        </w:rPr>
        <w:t>高位水池旁边新建的3.9万m</w:t>
      </w:r>
      <w:r>
        <w:rPr>
          <w:rFonts w:hint="eastAsia" w:ascii="Times New Roman" w:hAnsi="Times New Roman" w:cs="Times New Roman"/>
          <w:b w:val="0"/>
          <w:bCs w:val="0"/>
          <w:color w:val="auto"/>
          <w:sz w:val="24"/>
          <w:szCs w:val="24"/>
          <w:highlight w:val="none"/>
          <w:vertAlign w:val="superscript"/>
          <w:lang w:val="en-US" w:eastAsia="zh-CN"/>
        </w:rPr>
        <w:t>3</w:t>
      </w:r>
      <w:r>
        <w:rPr>
          <w:rFonts w:hint="default" w:ascii="Times New Roman" w:hAnsi="Times New Roman" w:cs="Times New Roman"/>
          <w:b w:val="0"/>
          <w:bCs w:val="0"/>
          <w:color w:val="auto"/>
          <w:sz w:val="24"/>
          <w:szCs w:val="24"/>
          <w:highlight w:val="none"/>
          <w:lang w:val="en-US" w:eastAsia="zh-CN"/>
        </w:rPr>
        <w:t>调</w:t>
      </w:r>
      <w:r>
        <w:rPr>
          <w:rFonts w:hint="eastAsia" w:ascii="Times New Roman" w:hAnsi="Times New Roman" w:cs="Times New Roman"/>
          <w:b w:val="0"/>
          <w:bCs w:val="0"/>
          <w:color w:val="auto"/>
          <w:sz w:val="24"/>
          <w:szCs w:val="24"/>
          <w:highlight w:val="none"/>
          <w:lang w:val="en-US" w:eastAsia="zh-CN"/>
        </w:rPr>
        <w:t>蓄</w:t>
      </w:r>
      <w:r>
        <w:rPr>
          <w:rFonts w:hint="default" w:ascii="Times New Roman" w:hAnsi="Times New Roman" w:cs="Times New Roman"/>
          <w:b w:val="0"/>
          <w:bCs w:val="0"/>
          <w:color w:val="auto"/>
          <w:sz w:val="24"/>
          <w:szCs w:val="24"/>
          <w:highlight w:val="none"/>
          <w:lang w:val="en-US" w:eastAsia="zh-CN"/>
        </w:rPr>
        <w:t>水池</w:t>
      </w:r>
      <w:r>
        <w:rPr>
          <w:rFonts w:hint="eastAsia" w:ascii="Times New Roman" w:hAnsi="Times New Roman" w:cs="Times New Roman"/>
          <w:b w:val="0"/>
          <w:bCs w:val="0"/>
          <w:color w:val="auto"/>
          <w:sz w:val="24"/>
          <w:szCs w:val="24"/>
          <w:highlight w:val="none"/>
          <w:lang w:val="en-US" w:eastAsia="zh-CN"/>
        </w:rPr>
        <w:t>，该地基础稳定性较好，边坡为斜向坡，自然边坡稳定，地基承载力满足要求，不存在地基变形和不均匀沉降问题。</w:t>
      </w:r>
      <w:r>
        <w:rPr>
          <w:rFonts w:hint="eastAsia" w:ascii="Times New Roman" w:hAnsi="Times New Roman" w:cs="Times New Roman"/>
          <w:color w:val="auto"/>
          <w:sz w:val="24"/>
          <w:szCs w:val="24"/>
          <w:highlight w:val="none"/>
          <w:lang w:val="en-US" w:eastAsia="zh-CN"/>
        </w:rPr>
        <w:t>水池不占用生态红线，不占用基本农田及公益林，由于管首调蓄水池紧邻高位水池，可更加便利的进行调蓄及调控管理，且所在位置高程较高，大部分可通过管道自流进入灌区，减少了提水的负担及工程占地。故</w:t>
      </w:r>
      <w:r>
        <w:rPr>
          <w:rFonts w:hint="default" w:ascii="Times New Roman" w:hAnsi="Times New Roman" w:cs="Times New Roman"/>
          <w:b w:val="0"/>
          <w:bCs w:val="0"/>
          <w:color w:val="auto"/>
          <w:sz w:val="24"/>
          <w:szCs w:val="24"/>
          <w:highlight w:val="none"/>
          <w:lang w:val="en-US" w:eastAsia="zh-CN"/>
        </w:rPr>
        <w:t>元谋县姜驿中型灌区选址在空间上对元谋风景名胜区具有</w:t>
      </w:r>
      <w:r>
        <w:rPr>
          <w:rFonts w:hint="eastAsia" w:ascii="Times New Roman" w:hAnsi="Times New Roman" w:cs="Times New Roman"/>
          <w:b w:val="0"/>
          <w:bCs w:val="0"/>
          <w:color w:val="auto"/>
          <w:sz w:val="24"/>
          <w:szCs w:val="24"/>
          <w:highlight w:val="none"/>
          <w:lang w:val="en-US" w:eastAsia="zh-CN"/>
        </w:rPr>
        <w:t>唯一性</w:t>
      </w:r>
      <w:r>
        <w:rPr>
          <w:rFonts w:hint="default" w:ascii="Times New Roman" w:hAnsi="Times New Roman" w:cs="Times New Roman"/>
          <w:b w:val="0"/>
          <w:bCs w:val="0"/>
          <w:color w:val="auto"/>
          <w:sz w:val="24"/>
          <w:szCs w:val="24"/>
          <w:highlight w:val="none"/>
          <w:lang w:val="en-US" w:eastAsia="zh-CN"/>
        </w:rPr>
        <w:t>。</w:t>
      </w:r>
    </w:p>
    <w:p>
      <w:pPr>
        <w:pStyle w:val="5"/>
        <w:numPr>
          <w:ilvl w:val="3"/>
          <w:numId w:val="2"/>
        </w:numPr>
        <w:bidi w:val="0"/>
        <w:ind w:left="480" w:leftChars="0" w:firstLineChars="0"/>
        <w:rPr>
          <w:rFonts w:hint="default"/>
          <w:color w:val="auto"/>
          <w:lang w:val="en-US" w:eastAsia="zh-CN"/>
        </w:rPr>
      </w:pPr>
      <w:r>
        <w:rPr>
          <w:rFonts w:hint="eastAsia"/>
          <w:color w:val="auto"/>
          <w:lang w:val="en-US" w:eastAsia="zh-CN"/>
        </w:rPr>
        <w:t>项目对元谋风景名胜区的环境影响分析</w:t>
      </w:r>
    </w:p>
    <w:p>
      <w:pPr>
        <w:ind w:firstLine="482" w:firstLineChars="200"/>
        <w:rPr>
          <w:rFonts w:hint="default" w:eastAsia="宋体"/>
          <w:b/>
          <w:bCs/>
          <w:color w:val="auto"/>
          <w:highlight w:val="none"/>
          <w:lang w:val="en-US" w:eastAsia="zh-CN"/>
        </w:rPr>
      </w:pPr>
      <w:r>
        <w:rPr>
          <w:rFonts w:hint="eastAsia"/>
          <w:b/>
          <w:bCs/>
          <w:color w:val="auto"/>
          <w:highlight w:val="none"/>
          <w:lang w:val="en-US" w:eastAsia="zh-CN"/>
        </w:rPr>
        <w:t>1、对环境风景名胜区的影响程度</w:t>
      </w:r>
    </w:p>
    <w:p>
      <w:pPr>
        <w:ind w:firstLine="480" w:firstLineChars="200"/>
        <w:rPr>
          <w:rFonts w:hint="eastAsia"/>
          <w:color w:val="auto"/>
          <w:highlight w:val="none"/>
        </w:rPr>
      </w:pPr>
      <w:r>
        <w:rPr>
          <w:rFonts w:hint="eastAsia"/>
          <w:color w:val="auto"/>
          <w:highlight w:val="none"/>
        </w:rPr>
        <w:t>本项目属于</w:t>
      </w:r>
      <w:r>
        <w:rPr>
          <w:rFonts w:hint="eastAsia"/>
          <w:color w:val="auto"/>
          <w:highlight w:val="none"/>
          <w:lang w:eastAsia="zh-CN"/>
        </w:rPr>
        <w:t>输水</w:t>
      </w:r>
      <w:r>
        <w:rPr>
          <w:rFonts w:hint="eastAsia"/>
          <w:color w:val="auto"/>
          <w:highlight w:val="none"/>
        </w:rPr>
        <w:t>工程，不进行生产行为，对环境敏感区的影响主要体现在生态影响方面。本项目对环境敏感区的生态环境影响见下表。</w:t>
      </w:r>
    </w:p>
    <w:p>
      <w:pPr>
        <w:pStyle w:val="40"/>
        <w:bidi w:val="0"/>
        <w:rPr>
          <w:rFonts w:hint="eastAsia"/>
          <w:color w:val="auto"/>
          <w:highlight w:val="none"/>
        </w:rPr>
      </w:pPr>
      <w:r>
        <w:rPr>
          <w:rFonts w:hint="eastAsia"/>
          <w:color w:val="auto"/>
          <w:highlight w:val="none"/>
        </w:rPr>
        <w:t>表</w:t>
      </w:r>
      <w:r>
        <w:rPr>
          <w:rFonts w:hint="eastAsia"/>
          <w:color w:val="auto"/>
          <w:highlight w:val="none"/>
          <w:lang w:val="en-US" w:eastAsia="zh-CN"/>
        </w:rPr>
        <w:t>5.3.1</w:t>
      </w:r>
      <w:r>
        <w:rPr>
          <w:rFonts w:hint="eastAsia"/>
          <w:color w:val="auto"/>
          <w:highlight w:val="none"/>
        </w:rPr>
        <w:t>-</w:t>
      </w:r>
      <w:r>
        <w:rPr>
          <w:rFonts w:hint="eastAsia"/>
          <w:color w:val="auto"/>
          <w:highlight w:val="none"/>
          <w:lang w:val="en-US" w:eastAsia="zh-CN"/>
        </w:rPr>
        <w:t xml:space="preserve">2  </w:t>
      </w:r>
      <w:r>
        <w:rPr>
          <w:rFonts w:hint="eastAsia"/>
          <w:color w:val="auto"/>
          <w:highlight w:val="none"/>
        </w:rPr>
        <w:t>项目对环境敏感区的生态环境影响</w:t>
      </w:r>
    </w:p>
    <w:tbl>
      <w:tblPr>
        <w:tblStyle w:val="57"/>
        <w:tblW w:w="5006" w:type="pct"/>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15"/>
        <w:gridCol w:w="538"/>
        <w:gridCol w:w="1997"/>
        <w:gridCol w:w="3472"/>
        <w:gridCol w:w="67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4"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受影响对象</w:t>
            </w:r>
          </w:p>
        </w:tc>
        <w:tc>
          <w:tcPr>
            <w:tcW w:w="537" w:type="dxa"/>
            <w:textDirection w:val="tbRlV"/>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阶段</w:t>
            </w:r>
          </w:p>
        </w:tc>
        <w:tc>
          <w:tcPr>
            <w:tcW w:w="199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评价因子</w:t>
            </w:r>
          </w:p>
        </w:tc>
        <w:tc>
          <w:tcPr>
            <w:tcW w:w="3468"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影响源及影响方式</w:t>
            </w:r>
          </w:p>
        </w:tc>
        <w:tc>
          <w:tcPr>
            <w:tcW w:w="67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影响性质</w:t>
            </w:r>
          </w:p>
        </w:tc>
        <w:tc>
          <w:tcPr>
            <w:tcW w:w="73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影响</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4"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物种</w:t>
            </w:r>
          </w:p>
        </w:tc>
        <w:tc>
          <w:tcPr>
            <w:tcW w:w="537" w:type="dxa"/>
            <w:vMerge w:val="restart"/>
            <w:textDirection w:val="tbRlV"/>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施工期</w:t>
            </w:r>
          </w:p>
        </w:tc>
        <w:tc>
          <w:tcPr>
            <w:tcW w:w="199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分布范围、种群数量、种群结构、行为等</w:t>
            </w:r>
          </w:p>
        </w:tc>
        <w:tc>
          <w:tcPr>
            <w:tcW w:w="3468"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rFonts w:hint="eastAsia"/>
                <w:color w:val="auto"/>
                <w:highlight w:val="none"/>
                <w:lang w:eastAsia="zh-CN"/>
              </w:rPr>
              <w:t>高位水池、输水管道等永久占地</w:t>
            </w:r>
            <w:r>
              <w:rPr>
                <w:color w:val="auto"/>
                <w:highlight w:val="none"/>
              </w:rPr>
              <w:t>；直接、间接、累积生态影响</w:t>
            </w:r>
          </w:p>
        </w:tc>
        <w:tc>
          <w:tcPr>
            <w:tcW w:w="67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短期</w:t>
            </w:r>
          </w:p>
        </w:tc>
        <w:tc>
          <w:tcPr>
            <w:tcW w:w="73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4"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生境</w:t>
            </w:r>
          </w:p>
        </w:tc>
        <w:tc>
          <w:tcPr>
            <w:tcW w:w="537" w:type="dxa"/>
            <w:vMerge w:val="continue"/>
            <w:textDirection w:val="tbRlV"/>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p>
        </w:tc>
        <w:tc>
          <w:tcPr>
            <w:tcW w:w="199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生境面积、质量、连通性等</w:t>
            </w:r>
          </w:p>
        </w:tc>
        <w:tc>
          <w:tcPr>
            <w:tcW w:w="3468"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rFonts w:hint="eastAsia"/>
                <w:color w:val="auto"/>
                <w:highlight w:val="none"/>
                <w:lang w:eastAsia="zh-CN"/>
              </w:rPr>
              <w:t>高位水池、输水管道等永久占地</w:t>
            </w:r>
            <w:r>
              <w:rPr>
                <w:color w:val="auto"/>
                <w:highlight w:val="none"/>
              </w:rPr>
              <w:t>；直接、间接、累积生态影响</w:t>
            </w:r>
          </w:p>
        </w:tc>
        <w:tc>
          <w:tcPr>
            <w:tcW w:w="67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短期</w:t>
            </w:r>
          </w:p>
        </w:tc>
        <w:tc>
          <w:tcPr>
            <w:tcW w:w="73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4"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生物群落</w:t>
            </w:r>
          </w:p>
        </w:tc>
        <w:tc>
          <w:tcPr>
            <w:tcW w:w="537" w:type="dxa"/>
            <w:vMerge w:val="continue"/>
            <w:textDirection w:val="tbRlV"/>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p>
        </w:tc>
        <w:tc>
          <w:tcPr>
            <w:tcW w:w="199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物种组成、群落结构等</w:t>
            </w:r>
          </w:p>
        </w:tc>
        <w:tc>
          <w:tcPr>
            <w:tcW w:w="3468"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进</w:t>
            </w:r>
            <w:r>
              <w:rPr>
                <w:rFonts w:hint="eastAsia"/>
                <w:color w:val="auto"/>
                <w:highlight w:val="none"/>
                <w:lang w:eastAsia="zh-CN"/>
              </w:rPr>
              <w:t>高位水池、输水管道等永久占地</w:t>
            </w:r>
            <w:r>
              <w:rPr>
                <w:color w:val="auto"/>
                <w:highlight w:val="none"/>
              </w:rPr>
              <w:t>；直接、间接、累积生态影响</w:t>
            </w:r>
          </w:p>
        </w:tc>
        <w:tc>
          <w:tcPr>
            <w:tcW w:w="67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短期</w:t>
            </w:r>
          </w:p>
        </w:tc>
        <w:tc>
          <w:tcPr>
            <w:tcW w:w="73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4"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生态系统</w:t>
            </w:r>
          </w:p>
        </w:tc>
        <w:tc>
          <w:tcPr>
            <w:tcW w:w="537" w:type="dxa"/>
            <w:vMerge w:val="continue"/>
            <w:textDirection w:val="tbRlV"/>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p>
        </w:tc>
        <w:tc>
          <w:tcPr>
            <w:tcW w:w="199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植被覆盖度、生产力、生物量、生态系统功能、完整性、变化趋势、稳定性等</w:t>
            </w:r>
          </w:p>
        </w:tc>
        <w:tc>
          <w:tcPr>
            <w:tcW w:w="3468"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rFonts w:hint="eastAsia"/>
                <w:color w:val="auto"/>
                <w:highlight w:val="none"/>
                <w:lang w:eastAsia="zh-CN"/>
              </w:rPr>
              <w:t>高位水池、输水管道等永久占地</w:t>
            </w:r>
            <w:r>
              <w:rPr>
                <w:color w:val="auto"/>
                <w:highlight w:val="none"/>
              </w:rPr>
              <w:t>；直接、间接、累积生态影响</w:t>
            </w:r>
          </w:p>
        </w:tc>
        <w:tc>
          <w:tcPr>
            <w:tcW w:w="67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短期</w:t>
            </w:r>
          </w:p>
        </w:tc>
        <w:tc>
          <w:tcPr>
            <w:tcW w:w="73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914"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生物多样性</w:t>
            </w:r>
          </w:p>
        </w:tc>
        <w:tc>
          <w:tcPr>
            <w:tcW w:w="537" w:type="dxa"/>
            <w:vMerge w:val="continue"/>
            <w:textDirection w:val="tbRlV"/>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p>
        </w:tc>
        <w:tc>
          <w:tcPr>
            <w:tcW w:w="199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物种丰富度、香农-维纳指数、皮洛均匀度指数和辛普</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森指数</w:t>
            </w:r>
          </w:p>
        </w:tc>
        <w:tc>
          <w:tcPr>
            <w:tcW w:w="3468"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进</w:t>
            </w:r>
            <w:r>
              <w:rPr>
                <w:rFonts w:hint="eastAsia"/>
                <w:color w:val="auto"/>
                <w:highlight w:val="none"/>
                <w:lang w:eastAsia="zh-CN"/>
              </w:rPr>
              <w:t>高位水池、输水管道等永久占地</w:t>
            </w:r>
            <w:r>
              <w:rPr>
                <w:color w:val="auto"/>
                <w:highlight w:val="none"/>
              </w:rPr>
              <w:t>；直接、间接、累积生态影响</w:t>
            </w:r>
          </w:p>
        </w:tc>
        <w:tc>
          <w:tcPr>
            <w:tcW w:w="67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短期</w:t>
            </w:r>
          </w:p>
        </w:tc>
        <w:tc>
          <w:tcPr>
            <w:tcW w:w="73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4"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生态敏感区</w:t>
            </w:r>
          </w:p>
        </w:tc>
        <w:tc>
          <w:tcPr>
            <w:tcW w:w="537" w:type="dxa"/>
            <w:vMerge w:val="continue"/>
            <w:textDirection w:val="tbRlV"/>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p>
        </w:tc>
        <w:tc>
          <w:tcPr>
            <w:tcW w:w="199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主要保护对象、生态功能等</w:t>
            </w:r>
          </w:p>
        </w:tc>
        <w:tc>
          <w:tcPr>
            <w:tcW w:w="3468"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rFonts w:hint="eastAsia"/>
                <w:color w:val="auto"/>
                <w:highlight w:val="none"/>
                <w:lang w:eastAsia="zh-CN"/>
              </w:rPr>
              <w:t>高位水池、输水管道等永久占地</w:t>
            </w:r>
            <w:r>
              <w:rPr>
                <w:color w:val="auto"/>
                <w:highlight w:val="none"/>
              </w:rPr>
              <w:t>；直接、间接、累积生态影响</w:t>
            </w:r>
          </w:p>
        </w:tc>
        <w:tc>
          <w:tcPr>
            <w:tcW w:w="67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短期</w:t>
            </w:r>
          </w:p>
        </w:tc>
        <w:tc>
          <w:tcPr>
            <w:tcW w:w="73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914"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自然景观</w:t>
            </w:r>
          </w:p>
        </w:tc>
        <w:tc>
          <w:tcPr>
            <w:tcW w:w="537" w:type="dxa"/>
            <w:vMerge w:val="continue"/>
            <w:textDirection w:val="tbRlV"/>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p>
        </w:tc>
        <w:tc>
          <w:tcPr>
            <w:tcW w:w="1995"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班块、廊道、基质、景观多样性、整体性</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等</w:t>
            </w:r>
          </w:p>
        </w:tc>
        <w:tc>
          <w:tcPr>
            <w:tcW w:w="3468"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rFonts w:hint="eastAsia"/>
                <w:color w:val="auto"/>
                <w:highlight w:val="none"/>
                <w:lang w:eastAsia="zh-CN"/>
              </w:rPr>
              <w:t>高位水池、输水管道等永久占地</w:t>
            </w:r>
            <w:r>
              <w:rPr>
                <w:color w:val="auto"/>
                <w:highlight w:val="none"/>
              </w:rPr>
              <w:t>；直接、间接、累积生态影响</w:t>
            </w:r>
          </w:p>
        </w:tc>
        <w:tc>
          <w:tcPr>
            <w:tcW w:w="67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短期</w:t>
            </w:r>
          </w:p>
        </w:tc>
        <w:tc>
          <w:tcPr>
            <w:tcW w:w="731" w:type="dxa"/>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8316" w:type="dxa"/>
            <w:gridSpan w:val="6"/>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420" w:firstLineChars="200"/>
              <w:jc w:val="both"/>
              <w:textAlignment w:val="baseline"/>
              <w:rPr>
                <w:rFonts w:hint="eastAsia"/>
                <w:color w:val="auto"/>
                <w:highlight w:val="none"/>
              </w:rPr>
            </w:pPr>
            <w:r>
              <w:rPr>
                <w:rFonts w:hint="eastAsia"/>
                <w:color w:val="auto"/>
                <w:highlight w:val="none"/>
              </w:rPr>
              <w:t>注1：应按施工期、运行期以及服务期满后（可根据项目情况选择）等不同阶段进行工程分析和评价因子筛选。</w:t>
            </w:r>
          </w:p>
          <w:p>
            <w:pPr>
              <w:pStyle w:val="42"/>
              <w:keepNext w:val="0"/>
              <w:keepLines w:val="0"/>
              <w:pageBreakBefore w:val="0"/>
              <w:widowControl/>
              <w:kinsoku/>
              <w:wordWrap/>
              <w:overflowPunct/>
              <w:topLinePunct w:val="0"/>
              <w:autoSpaceDE/>
              <w:autoSpaceDN/>
              <w:bidi w:val="0"/>
              <w:adjustRightInd/>
              <w:snapToGrid w:val="0"/>
              <w:spacing w:line="240" w:lineRule="auto"/>
              <w:ind w:firstLine="420" w:firstLineChars="200"/>
              <w:jc w:val="both"/>
              <w:textAlignment w:val="baseline"/>
              <w:rPr>
                <w:rFonts w:hint="eastAsia"/>
                <w:color w:val="auto"/>
                <w:highlight w:val="none"/>
              </w:rPr>
            </w:pPr>
            <w:r>
              <w:rPr>
                <w:rFonts w:hint="eastAsia"/>
                <w:color w:val="auto"/>
                <w:highlight w:val="none"/>
              </w:rPr>
              <w:t>注2：影响性质主要包括长期与短期、可逆与不可逆生态影响。</w:t>
            </w:r>
          </w:p>
          <w:p>
            <w:pPr>
              <w:pStyle w:val="42"/>
              <w:keepNext w:val="0"/>
              <w:keepLines w:val="0"/>
              <w:pageBreakBefore w:val="0"/>
              <w:widowControl/>
              <w:kinsoku/>
              <w:wordWrap/>
              <w:overflowPunct/>
              <w:topLinePunct w:val="0"/>
              <w:autoSpaceDE/>
              <w:autoSpaceDN/>
              <w:bidi w:val="0"/>
              <w:adjustRightInd/>
              <w:snapToGrid w:val="0"/>
              <w:spacing w:line="240" w:lineRule="auto"/>
              <w:ind w:firstLine="420" w:firstLineChars="200"/>
              <w:jc w:val="both"/>
              <w:textAlignment w:val="baseline"/>
              <w:rPr>
                <w:rFonts w:hint="eastAsia"/>
                <w:color w:val="auto"/>
                <w:highlight w:val="none"/>
              </w:rPr>
            </w:pPr>
            <w:r>
              <w:rPr>
                <w:rFonts w:hint="eastAsia"/>
                <w:color w:val="auto"/>
                <w:highlight w:val="none"/>
              </w:rPr>
              <w:t>注3：影响方式可分为直接、间接、累积生态影响，可依据以下内容进行判断：</w:t>
            </w:r>
          </w:p>
          <w:p>
            <w:pPr>
              <w:pStyle w:val="42"/>
              <w:keepNext w:val="0"/>
              <w:keepLines w:val="0"/>
              <w:pageBreakBefore w:val="0"/>
              <w:widowControl/>
              <w:kinsoku/>
              <w:wordWrap/>
              <w:overflowPunct/>
              <w:topLinePunct w:val="0"/>
              <w:autoSpaceDE/>
              <w:autoSpaceDN/>
              <w:bidi w:val="0"/>
              <w:adjustRightInd/>
              <w:snapToGrid w:val="0"/>
              <w:spacing w:line="240" w:lineRule="auto"/>
              <w:ind w:firstLine="420" w:firstLineChars="200"/>
              <w:jc w:val="both"/>
              <w:textAlignment w:val="baseline"/>
              <w:rPr>
                <w:rFonts w:hint="eastAsia"/>
                <w:color w:val="auto"/>
                <w:highlight w:val="none"/>
              </w:rPr>
            </w:pPr>
            <w:r>
              <w:rPr>
                <w:rFonts w:hint="eastAsia"/>
                <w:color w:val="auto"/>
                <w:highlight w:val="none"/>
              </w:rPr>
              <w:t>a）直接生态影响：临时、永久占地导致生境直接破坏或丧失；工程施工、运行导致个体直接死亡；物种迁徙（或洄游）、扩散、种群交流受到阻隔；施工活动以及运行期噪声、振动、灯光等对野生动物行为产生干扰；工程建设改变河流、湖泊等水体天然状态等；</w:t>
            </w:r>
          </w:p>
          <w:p>
            <w:pPr>
              <w:pStyle w:val="42"/>
              <w:keepNext w:val="0"/>
              <w:keepLines w:val="0"/>
              <w:pageBreakBefore w:val="0"/>
              <w:widowControl/>
              <w:kinsoku/>
              <w:wordWrap/>
              <w:overflowPunct/>
              <w:topLinePunct w:val="0"/>
              <w:autoSpaceDE/>
              <w:autoSpaceDN/>
              <w:bidi w:val="0"/>
              <w:adjustRightInd/>
              <w:snapToGrid w:val="0"/>
              <w:spacing w:line="240" w:lineRule="auto"/>
              <w:ind w:firstLine="420" w:firstLineChars="200"/>
              <w:jc w:val="both"/>
              <w:textAlignment w:val="baseline"/>
              <w:rPr>
                <w:rFonts w:hint="eastAsia"/>
                <w:color w:val="auto"/>
                <w:highlight w:val="none"/>
              </w:rPr>
            </w:pPr>
            <w:r>
              <w:rPr>
                <w:rFonts w:hint="eastAsia"/>
                <w:color w:val="auto"/>
                <w:highlight w:val="none"/>
              </w:rPr>
              <w:t>b）间接生态影响：水文情势变化导致生境条件、水生生态系统发生变化；地下水水位、土壤理化特性变化导致动植物群落发生变化；生境面积和质量下降导致个体死亡、种群数量下降或种群生存能力降低；资源减少及分布变化导致种群结构或种群动态发生变化；因阻隔影响造成种群间基因交流减少，导致小种群灭绝风险增加；滞后效应（例如，由于关键种的消失使捕食者和被捕食者的关系发生变化）等；</w:t>
            </w:r>
          </w:p>
          <w:p>
            <w:pPr>
              <w:pStyle w:val="42"/>
              <w:keepNext w:val="0"/>
              <w:keepLines w:val="0"/>
              <w:pageBreakBefore w:val="0"/>
              <w:widowControl/>
              <w:kinsoku/>
              <w:wordWrap/>
              <w:overflowPunct/>
              <w:topLinePunct w:val="0"/>
              <w:autoSpaceDE/>
              <w:autoSpaceDN/>
              <w:bidi w:val="0"/>
              <w:adjustRightInd/>
              <w:snapToGrid w:val="0"/>
              <w:spacing w:line="240" w:lineRule="auto"/>
              <w:ind w:firstLine="420" w:firstLineChars="200"/>
              <w:jc w:val="both"/>
              <w:textAlignment w:val="baseline"/>
              <w:rPr>
                <w:rFonts w:hint="eastAsia"/>
                <w:color w:val="auto"/>
                <w:highlight w:val="none"/>
              </w:rPr>
            </w:pPr>
            <w:r>
              <w:rPr>
                <w:rFonts w:hint="eastAsia"/>
                <w:color w:val="auto"/>
                <w:highlight w:val="none"/>
              </w:rPr>
              <w:t>c）累积生态影响：整个区域生境的逐渐丧失和破碎化；在景观尺度上生境的多样性减少；不可逆转的生物多样性下降；生态系统持续退化等。</w:t>
            </w:r>
          </w:p>
          <w:p>
            <w:pPr>
              <w:pStyle w:val="42"/>
              <w:keepNext w:val="0"/>
              <w:keepLines w:val="0"/>
              <w:pageBreakBefore w:val="0"/>
              <w:widowControl/>
              <w:kinsoku/>
              <w:wordWrap/>
              <w:overflowPunct/>
              <w:topLinePunct w:val="0"/>
              <w:autoSpaceDE/>
              <w:autoSpaceDN/>
              <w:bidi w:val="0"/>
              <w:adjustRightInd/>
              <w:snapToGrid w:val="0"/>
              <w:spacing w:line="240" w:lineRule="auto"/>
              <w:ind w:firstLine="420" w:firstLineChars="200"/>
              <w:jc w:val="both"/>
              <w:textAlignment w:val="baseline"/>
              <w:rPr>
                <w:rFonts w:hint="eastAsia"/>
                <w:color w:val="auto"/>
                <w:highlight w:val="none"/>
              </w:rPr>
            </w:pPr>
            <w:r>
              <w:rPr>
                <w:rFonts w:hint="eastAsia"/>
                <w:color w:val="auto"/>
                <w:highlight w:val="none"/>
              </w:rPr>
              <w:t>注4：影响程度可分为强、中、弱、无四个等级，可依据以下原则进行初步判断：</w:t>
            </w:r>
          </w:p>
          <w:p>
            <w:pPr>
              <w:pStyle w:val="42"/>
              <w:keepNext w:val="0"/>
              <w:keepLines w:val="0"/>
              <w:pageBreakBefore w:val="0"/>
              <w:widowControl/>
              <w:kinsoku/>
              <w:wordWrap/>
              <w:overflowPunct/>
              <w:topLinePunct w:val="0"/>
              <w:autoSpaceDE/>
              <w:autoSpaceDN/>
              <w:bidi w:val="0"/>
              <w:adjustRightInd/>
              <w:snapToGrid w:val="0"/>
              <w:spacing w:line="240" w:lineRule="auto"/>
              <w:ind w:firstLine="420" w:firstLineChars="200"/>
              <w:jc w:val="both"/>
              <w:textAlignment w:val="baseline"/>
              <w:rPr>
                <w:rFonts w:hint="eastAsia"/>
                <w:color w:val="auto"/>
                <w:highlight w:val="none"/>
              </w:rPr>
            </w:pPr>
            <w:r>
              <w:rPr>
                <w:rFonts w:hint="eastAsia"/>
                <w:color w:val="auto"/>
                <w:highlight w:val="none"/>
              </w:rPr>
              <w:t>a）强：生境受到严重破坏，水系开放连通性受到显著影响；野生动植物难以栖息繁衍（或生长繁殖），物种种类明显减少，种群数量显著下降，种群结构明显改变；生物多样性显著下降，生态系统结构和功能受到严重损害，生态系统稳定性难以维持；自然景观、自然遗迹受到永久性破坏；生态修复难度较大；</w:t>
            </w:r>
          </w:p>
          <w:p>
            <w:pPr>
              <w:pStyle w:val="42"/>
              <w:keepNext w:val="0"/>
              <w:keepLines w:val="0"/>
              <w:pageBreakBefore w:val="0"/>
              <w:widowControl/>
              <w:kinsoku/>
              <w:wordWrap/>
              <w:overflowPunct/>
              <w:topLinePunct w:val="0"/>
              <w:autoSpaceDE/>
              <w:autoSpaceDN/>
              <w:bidi w:val="0"/>
              <w:adjustRightInd/>
              <w:snapToGrid w:val="0"/>
              <w:spacing w:line="240" w:lineRule="auto"/>
              <w:ind w:firstLine="420" w:firstLineChars="200"/>
              <w:jc w:val="both"/>
              <w:textAlignment w:val="baseline"/>
              <w:rPr>
                <w:rFonts w:hint="eastAsia"/>
                <w:color w:val="auto"/>
                <w:highlight w:val="none"/>
              </w:rPr>
            </w:pPr>
            <w:r>
              <w:rPr>
                <w:rFonts w:hint="eastAsia"/>
                <w:color w:val="auto"/>
                <w:highlight w:val="none"/>
              </w:rPr>
              <w:t>b）中：生境受到一定程度破坏，水系开放连通性受到一定程度影响；野生动植物栖息繁衍（或生长繁殖）受到一定程度干扰，物种种类减少，种群数量下降，种群结构改变；生物多样性有所下降，生态系统结构和功能受到一定程度破坏，生态系统稳定性受到一定程度干扰； 自然景观、自然遗迹受到暂时性影响；通过采取一定措施上述不利影响可以得到减缓和控制，生态修复难度一般；</w:t>
            </w:r>
          </w:p>
          <w:p>
            <w:pPr>
              <w:pStyle w:val="42"/>
              <w:keepNext w:val="0"/>
              <w:keepLines w:val="0"/>
              <w:pageBreakBefore w:val="0"/>
              <w:widowControl/>
              <w:kinsoku/>
              <w:wordWrap/>
              <w:overflowPunct/>
              <w:topLinePunct w:val="0"/>
              <w:autoSpaceDE/>
              <w:autoSpaceDN/>
              <w:bidi w:val="0"/>
              <w:adjustRightInd/>
              <w:snapToGrid w:val="0"/>
              <w:spacing w:line="240" w:lineRule="auto"/>
              <w:ind w:firstLine="420" w:firstLineChars="200"/>
              <w:jc w:val="both"/>
              <w:textAlignment w:val="baseline"/>
              <w:rPr>
                <w:rFonts w:hint="eastAsia"/>
                <w:color w:val="auto"/>
                <w:highlight w:val="none"/>
              </w:rPr>
            </w:pPr>
            <w:r>
              <w:rPr>
                <w:rFonts w:hint="eastAsia"/>
                <w:color w:val="auto"/>
                <w:highlight w:val="none"/>
              </w:rPr>
              <w:t>c）弱：生境受到暂时性破坏，水系开放连通性变化不大；野生动植物栖息繁衍（或生长繁殖）受到暂时性干扰，物种种类、种群数量、种群结构变化不大；生物多样性、生态系统结构、功能以及生态系统稳定性基本维持现状；自然景观、自然遗迹基本未受到破坏；在干扰消失后可以修复或自然恢复；</w:t>
            </w:r>
          </w:p>
          <w:p>
            <w:pPr>
              <w:pStyle w:val="42"/>
              <w:keepNext w:val="0"/>
              <w:keepLines w:val="0"/>
              <w:pageBreakBefore w:val="0"/>
              <w:widowControl/>
              <w:kinsoku/>
              <w:wordWrap/>
              <w:overflowPunct/>
              <w:topLinePunct w:val="0"/>
              <w:autoSpaceDE/>
              <w:autoSpaceDN/>
              <w:bidi w:val="0"/>
              <w:adjustRightInd/>
              <w:snapToGrid w:val="0"/>
              <w:spacing w:line="240" w:lineRule="auto"/>
              <w:ind w:firstLine="420" w:firstLineChars="200"/>
              <w:jc w:val="both"/>
              <w:textAlignment w:val="baseline"/>
              <w:rPr>
                <w:color w:val="auto"/>
                <w:highlight w:val="none"/>
              </w:rPr>
            </w:pPr>
            <w:r>
              <w:rPr>
                <w:rFonts w:hint="eastAsia"/>
                <w:color w:val="auto"/>
                <w:highlight w:val="none"/>
              </w:rPr>
              <w:t>d）无：生境未受到破坏，水系开放连通性未受到影响；野生动植物栖息繁衍（或生长繁殖） 未受到影响；生物多样性、生态系统结构、功能以及生态系统稳定性维持现状；自然景观、自然遗迹未受到破坏。</w:t>
            </w:r>
          </w:p>
        </w:tc>
      </w:tr>
    </w:tbl>
    <w:p>
      <w:pPr>
        <w:keepNext w:val="0"/>
        <w:keepLines w:val="0"/>
        <w:pageBreakBefore w:val="0"/>
        <w:widowControl w:val="0"/>
        <w:numPr>
          <w:ilvl w:val="3"/>
          <w:numId w:val="0"/>
        </w:numPr>
        <w:tabs>
          <w:tab w:val="left" w:pos="0"/>
          <w:tab w:val="left" w:pos="283"/>
        </w:tabs>
        <w:kinsoku/>
        <w:wordWrap/>
        <w:overflowPunct/>
        <w:topLinePunct w:val="0"/>
        <w:autoSpaceDE/>
        <w:autoSpaceDN/>
        <w:bidi w:val="0"/>
        <w:adjustRightInd/>
        <w:snapToGrid w:val="0"/>
        <w:spacing w:line="360" w:lineRule="auto"/>
        <w:ind w:left="0" w:leftChars="0" w:right="0" w:firstLine="482" w:firstLineChars="200"/>
        <w:textAlignment w:val="auto"/>
        <w:outlineLvl w:val="9"/>
        <w:rPr>
          <w:rFonts w:hint="eastAsia"/>
          <w:b/>
          <w:bCs/>
          <w:color w:val="auto"/>
          <w:highlight w:val="none"/>
        </w:rPr>
      </w:pPr>
      <w:r>
        <w:rPr>
          <w:rFonts w:hint="eastAsia"/>
          <w:b/>
          <w:bCs/>
          <w:color w:val="auto"/>
          <w:highlight w:val="none"/>
          <w:lang w:val="en-US" w:eastAsia="zh-CN"/>
        </w:rPr>
        <w:t>2、</w:t>
      </w:r>
      <w:r>
        <w:rPr>
          <w:rFonts w:hint="eastAsia"/>
          <w:b/>
          <w:bCs/>
          <w:color w:val="auto"/>
          <w:highlight w:val="none"/>
        </w:rPr>
        <w:t>对风景名胜区资源生态的影响</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b w:val="0"/>
          <w:bCs w:val="0"/>
          <w:color w:val="0000FF"/>
          <w:spacing w:val="6"/>
          <w:sz w:val="24"/>
          <w:szCs w:val="24"/>
          <w:lang w:val="en-US" w:eastAsia="zh-CN"/>
        </w:rPr>
      </w:pPr>
      <w:r>
        <w:rPr>
          <w:rFonts w:hint="eastAsia" w:ascii="Times New Roman" w:hAnsi="Times New Roman" w:cs="Times New Roman"/>
          <w:b w:val="0"/>
          <w:bCs w:val="0"/>
          <w:color w:val="0000FF"/>
          <w:sz w:val="24"/>
          <w:szCs w:val="24"/>
          <w:lang w:val="en-US" w:eastAsia="zh-CN"/>
        </w:rPr>
        <w:t>根据调查，本项目涉及元谋风景名胜区内的植被类型主要是</w:t>
      </w:r>
      <w:r>
        <w:rPr>
          <w:rFonts w:hint="default" w:ascii="Times New Roman" w:hAnsi="Times New Roman" w:cs="Times New Roman"/>
          <w:b w:val="0"/>
          <w:bCs w:val="0"/>
          <w:color w:val="0000FF"/>
          <w:sz w:val="24"/>
          <w:szCs w:val="24"/>
          <w:lang w:val="en-US" w:eastAsia="zh-CN"/>
        </w:rPr>
        <w:t>干热河谷灌丛</w:t>
      </w:r>
      <w:r>
        <w:rPr>
          <w:rFonts w:hint="eastAsia" w:ascii="Times New Roman" w:hAnsi="Times New Roman" w:cs="Times New Roman"/>
          <w:b w:val="0"/>
          <w:bCs w:val="0"/>
          <w:color w:val="0000FF"/>
          <w:sz w:val="24"/>
          <w:szCs w:val="24"/>
          <w:lang w:val="en-US" w:eastAsia="zh-CN"/>
        </w:rPr>
        <w:t>，有代表性的群系是</w:t>
      </w:r>
      <w:r>
        <w:rPr>
          <w:rFonts w:hint="default" w:ascii="Times New Roman" w:hAnsi="Times New Roman" w:cs="Times New Roman"/>
          <w:b w:val="0"/>
          <w:bCs w:val="0"/>
          <w:color w:val="0000FF"/>
          <w:sz w:val="24"/>
          <w:szCs w:val="24"/>
          <w:lang w:val="en-US" w:eastAsia="zh-CN"/>
        </w:rPr>
        <w:t>华西小石积、车桑子灌丛</w:t>
      </w:r>
      <w:r>
        <w:rPr>
          <w:rFonts w:hint="eastAsia" w:ascii="Times New Roman" w:hAnsi="Times New Roman" w:cs="Times New Roman"/>
          <w:b w:val="0"/>
          <w:bCs w:val="0"/>
          <w:color w:val="0000FF"/>
          <w:sz w:val="24"/>
          <w:szCs w:val="24"/>
          <w:lang w:val="en-US" w:eastAsia="zh-CN"/>
        </w:rPr>
        <w:t>，</w:t>
      </w:r>
      <w:r>
        <w:rPr>
          <w:rFonts w:hint="default" w:ascii="Times New Roman" w:hAnsi="Times New Roman" w:eastAsia="宋体" w:cs="Times New Roman"/>
          <w:b w:val="0"/>
          <w:bCs w:val="0"/>
          <w:color w:val="0000FF"/>
          <w:spacing w:val="6"/>
          <w:sz w:val="24"/>
          <w:szCs w:val="24"/>
          <w:lang w:val="en-US" w:eastAsia="zh-CN"/>
        </w:rPr>
        <w:t>土壤以燥红土和紫色土为主。</w:t>
      </w:r>
    </w:p>
    <w:p>
      <w:pPr>
        <w:keepNext w:val="0"/>
        <w:keepLines w:val="0"/>
        <w:pageBreakBefore w:val="0"/>
        <w:widowControl w:val="0"/>
        <w:kinsoku/>
        <w:wordWrap/>
        <w:overflowPunct/>
        <w:topLinePunct w:val="0"/>
        <w:autoSpaceDE/>
        <w:autoSpaceDN/>
        <w:bidi w:val="0"/>
        <w:adjustRightInd/>
        <w:snapToGrid/>
        <w:spacing w:line="360" w:lineRule="auto"/>
        <w:ind w:left="0" w:firstLine="504" w:firstLineChars="200"/>
        <w:jc w:val="both"/>
        <w:textAlignment w:val="auto"/>
        <w:rPr>
          <w:rFonts w:hint="default" w:ascii="Times New Roman" w:hAnsi="Times New Roman" w:eastAsia="宋体" w:cs="Times New Roman"/>
          <w:b w:val="0"/>
          <w:bCs w:val="0"/>
          <w:color w:val="0000FF"/>
          <w:spacing w:val="6"/>
          <w:sz w:val="24"/>
          <w:szCs w:val="24"/>
          <w:lang w:val="en-US" w:eastAsia="zh-CN"/>
        </w:rPr>
      </w:pPr>
      <w:r>
        <w:rPr>
          <w:rFonts w:hint="eastAsia" w:ascii="Times New Roman" w:hAnsi="Times New Roman" w:eastAsia="宋体" w:cs="Times New Roman"/>
          <w:b w:val="0"/>
          <w:bCs w:val="0"/>
          <w:color w:val="0000FF"/>
          <w:spacing w:val="6"/>
          <w:sz w:val="24"/>
          <w:szCs w:val="24"/>
          <w:lang w:val="en-US" w:eastAsia="zh-CN"/>
        </w:rPr>
        <w:t>根据评价区</w:t>
      </w:r>
      <w:r>
        <w:rPr>
          <w:rFonts w:hint="default" w:ascii="Times New Roman" w:hAnsi="Times New Roman" w:eastAsia="宋体" w:cs="Times New Roman"/>
          <w:b w:val="0"/>
          <w:bCs w:val="0"/>
          <w:color w:val="0000FF"/>
          <w:spacing w:val="6"/>
          <w:sz w:val="24"/>
          <w:szCs w:val="24"/>
          <w:lang w:val="en-US" w:eastAsia="zh-CN"/>
        </w:rPr>
        <w:t>陆生动物资料收集，结合实地观察和调查访问，本工程评价区常见两栖动物有泽蛙、沼蛙；爬行动物有多疣壁虎、螟蜓、黑眉锦蛇；鸟类有小云雀；哺乳动物有普通田鼠、棕色田鼠等。</w:t>
      </w:r>
    </w:p>
    <w:p>
      <w:pPr>
        <w:keepNext w:val="0"/>
        <w:keepLines w:val="0"/>
        <w:pageBreakBefore w:val="0"/>
        <w:widowControl w:val="0"/>
        <w:kinsoku/>
        <w:wordWrap/>
        <w:overflowPunct/>
        <w:topLinePunct w:val="0"/>
        <w:autoSpaceDE/>
        <w:autoSpaceDN/>
        <w:bidi w:val="0"/>
        <w:adjustRightInd/>
        <w:snapToGrid/>
        <w:spacing w:line="360" w:lineRule="auto"/>
        <w:ind w:left="0" w:firstLine="504" w:firstLineChars="200"/>
        <w:jc w:val="both"/>
        <w:textAlignment w:val="auto"/>
        <w:rPr>
          <w:rFonts w:hint="default" w:ascii="Times New Roman" w:hAnsi="Times New Roman" w:eastAsia="宋体" w:cs="Times New Roman"/>
          <w:b w:val="0"/>
          <w:bCs w:val="0"/>
          <w:color w:val="0000FF"/>
          <w:spacing w:val="6"/>
          <w:sz w:val="24"/>
          <w:szCs w:val="24"/>
          <w:lang w:val="en-US" w:eastAsia="zh-CN"/>
        </w:rPr>
      </w:pPr>
      <w:r>
        <w:rPr>
          <w:rFonts w:hint="default" w:ascii="Times New Roman" w:hAnsi="Times New Roman" w:eastAsia="宋体" w:cs="Times New Roman"/>
          <w:b w:val="0"/>
          <w:bCs w:val="0"/>
          <w:color w:val="0000FF"/>
          <w:spacing w:val="6"/>
          <w:sz w:val="24"/>
          <w:szCs w:val="24"/>
          <w:lang w:val="en-US" w:eastAsia="zh-CN"/>
        </w:rPr>
        <w:t>根据实地调查和资料收集，</w:t>
      </w:r>
      <w:r>
        <w:rPr>
          <w:rFonts w:hint="eastAsia" w:ascii="Times New Roman" w:hAnsi="Times New Roman" w:eastAsia="宋体" w:cs="Times New Roman"/>
          <w:b w:val="0"/>
          <w:bCs w:val="0"/>
          <w:color w:val="0000FF"/>
          <w:spacing w:val="6"/>
          <w:sz w:val="24"/>
          <w:szCs w:val="24"/>
          <w:lang w:val="en-US" w:eastAsia="zh-CN"/>
        </w:rPr>
        <w:t>涉及风景名胜区工程的生态评价范围内</w:t>
      </w:r>
      <w:r>
        <w:rPr>
          <w:rFonts w:hint="default" w:ascii="Times New Roman" w:hAnsi="Times New Roman" w:eastAsia="宋体" w:cs="Times New Roman"/>
          <w:b w:val="0"/>
          <w:bCs w:val="0"/>
          <w:color w:val="0000FF"/>
          <w:spacing w:val="6"/>
          <w:sz w:val="24"/>
          <w:szCs w:val="24"/>
          <w:lang w:val="en-US" w:eastAsia="zh-CN"/>
        </w:rPr>
        <w:t>未发现国家重点保护动植物和古树名木。</w:t>
      </w:r>
    </w:p>
    <w:p>
      <w:pPr>
        <w:keepNext w:val="0"/>
        <w:keepLines w:val="0"/>
        <w:pageBreakBefore w:val="0"/>
        <w:widowControl w:val="0"/>
        <w:kinsoku/>
        <w:wordWrap/>
        <w:overflowPunct/>
        <w:topLinePunct w:val="0"/>
        <w:autoSpaceDE/>
        <w:autoSpaceDN/>
        <w:bidi w:val="0"/>
        <w:adjustRightInd/>
        <w:snapToGrid w:val="0"/>
        <w:spacing w:line="360" w:lineRule="auto"/>
        <w:ind w:left="0" w:right="0" w:firstLine="480" w:firstLineChars="200"/>
        <w:textAlignment w:val="auto"/>
        <w:rPr>
          <w:rFonts w:hint="eastAsia" w:eastAsia="宋体"/>
          <w:color w:val="auto"/>
          <w:highlight w:val="none"/>
          <w:lang w:eastAsia="zh-CN"/>
        </w:rPr>
      </w:pPr>
      <w:r>
        <w:rPr>
          <w:rFonts w:hint="eastAsia"/>
          <w:color w:val="auto"/>
          <w:highlight w:val="none"/>
          <w:lang w:eastAsia="zh-CN"/>
        </w:rPr>
        <w:t>综上，项目建设对风景名胜区的资源生态价值影响较小，施工结束后可恢复。</w:t>
      </w:r>
    </w:p>
    <w:p>
      <w:pPr>
        <w:keepNext w:val="0"/>
        <w:keepLines w:val="0"/>
        <w:pageBreakBefore w:val="0"/>
        <w:widowControl w:val="0"/>
        <w:numPr>
          <w:ilvl w:val="3"/>
          <w:numId w:val="0"/>
        </w:numPr>
        <w:tabs>
          <w:tab w:val="left" w:pos="0"/>
          <w:tab w:val="left" w:pos="283"/>
        </w:tabs>
        <w:kinsoku/>
        <w:wordWrap/>
        <w:overflowPunct/>
        <w:topLinePunct w:val="0"/>
        <w:autoSpaceDE/>
        <w:autoSpaceDN/>
        <w:bidi w:val="0"/>
        <w:adjustRightInd/>
        <w:snapToGrid w:val="0"/>
        <w:spacing w:line="360" w:lineRule="auto"/>
        <w:ind w:left="0" w:leftChars="0" w:right="0" w:firstLine="482" w:firstLineChars="200"/>
        <w:textAlignment w:val="auto"/>
        <w:outlineLvl w:val="9"/>
        <w:rPr>
          <w:rFonts w:hint="eastAsia"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3、对风景名胜区景观的影响</w:t>
      </w:r>
    </w:p>
    <w:p>
      <w:pPr>
        <w:keepNext w:val="0"/>
        <w:keepLines w:val="0"/>
        <w:pageBreakBefore w:val="0"/>
        <w:widowControl w:val="0"/>
        <w:kinsoku/>
        <w:wordWrap/>
        <w:overflowPunct/>
        <w:topLinePunct w:val="0"/>
        <w:autoSpaceDE/>
        <w:autoSpaceDN/>
        <w:bidi w:val="0"/>
        <w:adjustRightInd/>
        <w:snapToGrid w:val="0"/>
        <w:spacing w:line="360" w:lineRule="auto"/>
        <w:ind w:left="0" w:right="0" w:firstLine="480" w:firstLineChars="200"/>
        <w:textAlignment w:val="auto"/>
        <w:rPr>
          <w:rFonts w:hint="eastAsia"/>
          <w:color w:val="auto"/>
          <w:highlight w:val="none"/>
        </w:rPr>
      </w:pPr>
      <w:r>
        <w:rPr>
          <w:rFonts w:hint="eastAsia"/>
          <w:color w:val="auto"/>
          <w:highlight w:val="none"/>
        </w:rPr>
        <w:t>本项目对风景名胜区景观的影响主要为地表建设段，即</w:t>
      </w:r>
      <w:r>
        <w:rPr>
          <w:rFonts w:hint="eastAsia"/>
          <w:color w:val="auto"/>
          <w:highlight w:val="none"/>
          <w:lang w:eastAsia="zh-CN"/>
        </w:rPr>
        <w:t>输水管道</w:t>
      </w:r>
      <w:r>
        <w:rPr>
          <w:rFonts w:hint="eastAsia"/>
          <w:color w:val="auto"/>
          <w:highlight w:val="none"/>
        </w:rPr>
        <w:t>、</w:t>
      </w:r>
      <w:r>
        <w:rPr>
          <w:rFonts w:hint="eastAsia"/>
          <w:color w:val="auto"/>
          <w:highlight w:val="none"/>
          <w:lang w:eastAsia="zh-CN"/>
        </w:rPr>
        <w:t>高位水池</w:t>
      </w:r>
      <w:r>
        <w:rPr>
          <w:rFonts w:hint="eastAsia"/>
          <w:color w:val="auto"/>
          <w:highlight w:val="none"/>
        </w:rPr>
        <w:t>等一般景区，主要景观类型为元谋风景名胜区干热河谷景观。</w:t>
      </w:r>
    </w:p>
    <w:p>
      <w:pPr>
        <w:keepNext w:val="0"/>
        <w:keepLines w:val="0"/>
        <w:pageBreakBefore w:val="0"/>
        <w:widowControl w:val="0"/>
        <w:kinsoku/>
        <w:wordWrap/>
        <w:overflowPunct/>
        <w:topLinePunct w:val="0"/>
        <w:autoSpaceDE/>
        <w:autoSpaceDN/>
        <w:bidi w:val="0"/>
        <w:adjustRightInd/>
        <w:snapToGrid w:val="0"/>
        <w:spacing w:line="360" w:lineRule="auto"/>
        <w:ind w:left="0" w:right="0" w:firstLine="480" w:firstLineChars="200"/>
        <w:textAlignment w:val="auto"/>
        <w:rPr>
          <w:rFonts w:hint="eastAsia"/>
          <w:color w:val="auto"/>
          <w:highlight w:val="none"/>
        </w:rPr>
      </w:pPr>
      <w:r>
        <w:rPr>
          <w:rFonts w:hint="eastAsia"/>
          <w:color w:val="auto"/>
          <w:highlight w:val="none"/>
          <w:lang w:val="en-US" w:eastAsia="zh-CN"/>
        </w:rPr>
        <w:t>（1）</w:t>
      </w:r>
      <w:r>
        <w:rPr>
          <w:rFonts w:hint="eastAsia"/>
          <w:color w:val="auto"/>
          <w:highlight w:val="none"/>
        </w:rPr>
        <w:t>项目对沿线景观影响分析</w:t>
      </w:r>
    </w:p>
    <w:p>
      <w:pPr>
        <w:keepNext w:val="0"/>
        <w:keepLines w:val="0"/>
        <w:pageBreakBefore w:val="0"/>
        <w:widowControl w:val="0"/>
        <w:kinsoku/>
        <w:wordWrap/>
        <w:overflowPunct/>
        <w:topLinePunct w:val="0"/>
        <w:autoSpaceDE/>
        <w:autoSpaceDN/>
        <w:bidi w:val="0"/>
        <w:adjustRightInd/>
        <w:snapToGrid w:val="0"/>
        <w:spacing w:line="360" w:lineRule="auto"/>
        <w:ind w:left="0" w:right="0" w:firstLine="476" w:firstLineChars="200"/>
        <w:jc w:val="both"/>
        <w:textAlignment w:val="auto"/>
        <w:rPr>
          <w:rFonts w:ascii="宋体" w:hAnsi="宋体" w:eastAsia="宋体" w:cs="宋体"/>
          <w:color w:val="auto"/>
          <w:sz w:val="24"/>
          <w:szCs w:val="24"/>
          <w:highlight w:val="none"/>
        </w:rPr>
      </w:pPr>
      <w:r>
        <w:rPr>
          <w:rFonts w:ascii="宋体" w:hAnsi="宋体" w:eastAsia="宋体" w:cs="宋体"/>
          <w:color w:val="auto"/>
          <w:spacing w:val="-1"/>
          <w:sz w:val="24"/>
          <w:szCs w:val="24"/>
          <w:highlight w:val="none"/>
        </w:rPr>
        <w:t>参考《风景名胜区项目评价方法》住房和城乡建设部标准定</w:t>
      </w:r>
      <w:r>
        <w:rPr>
          <w:rFonts w:ascii="宋体" w:hAnsi="宋体" w:eastAsia="宋体" w:cs="宋体"/>
          <w:color w:val="auto"/>
          <w:spacing w:val="-2"/>
          <w:sz w:val="24"/>
          <w:szCs w:val="24"/>
          <w:highlight w:val="none"/>
        </w:rPr>
        <w:t>额研究所编制，</w:t>
      </w:r>
      <w:r>
        <w:rPr>
          <w:rFonts w:ascii="宋体" w:hAnsi="宋体" w:eastAsia="宋体" w:cs="宋体"/>
          <w:color w:val="auto"/>
          <w:spacing w:val="-6"/>
          <w:sz w:val="24"/>
          <w:szCs w:val="24"/>
          <w:highlight w:val="none"/>
        </w:rPr>
        <w:t>在单项指标评价基础上，各单项评价指标的分级评分按权重累加形成一个综合得</w:t>
      </w:r>
    </w:p>
    <w:p>
      <w:pPr>
        <w:keepNext w:val="0"/>
        <w:keepLines w:val="0"/>
        <w:pageBreakBefore w:val="0"/>
        <w:widowControl w:val="0"/>
        <w:kinsoku/>
        <w:wordWrap/>
        <w:overflowPunct/>
        <w:topLinePunct w:val="0"/>
        <w:autoSpaceDE/>
        <w:autoSpaceDN/>
        <w:bidi w:val="0"/>
        <w:adjustRightInd/>
        <w:snapToGrid w:val="0"/>
        <w:spacing w:line="360" w:lineRule="auto"/>
        <w:ind w:left="0" w:right="0" w:firstLine="464" w:firstLineChars="200"/>
        <w:textAlignment w:val="auto"/>
        <w:rPr>
          <w:rFonts w:ascii="宋体" w:hAnsi="宋体" w:eastAsia="宋体" w:cs="宋体"/>
          <w:color w:val="auto"/>
          <w:sz w:val="24"/>
          <w:szCs w:val="24"/>
          <w:highlight w:val="none"/>
        </w:rPr>
      </w:pPr>
      <w:r>
        <w:rPr>
          <w:rFonts w:ascii="宋体" w:hAnsi="宋体" w:eastAsia="宋体" w:cs="宋体"/>
          <w:color w:val="auto"/>
          <w:spacing w:val="-4"/>
          <w:sz w:val="24"/>
          <w:szCs w:val="24"/>
          <w:highlight w:val="none"/>
        </w:rPr>
        <w:t>分。对自然景观综合评价的模型如下：</w:t>
      </w:r>
    </w:p>
    <w:p>
      <w:pPr>
        <w:keepNext w:val="0"/>
        <w:keepLines w:val="0"/>
        <w:pageBreakBefore w:val="0"/>
        <w:widowControl w:val="0"/>
        <w:kinsoku/>
        <w:wordWrap/>
        <w:overflowPunct/>
        <w:topLinePunct w:val="0"/>
        <w:autoSpaceDE/>
        <w:autoSpaceDN/>
        <w:bidi w:val="0"/>
        <w:adjustRightInd/>
        <w:snapToGrid w:val="0"/>
        <w:spacing w:line="360" w:lineRule="auto"/>
        <w:ind w:left="0" w:right="0" w:firstLine="480" w:firstLineChars="200"/>
        <w:jc w:val="both"/>
        <w:textAlignment w:val="auto"/>
        <w:rPr>
          <w:rFonts w:ascii="宋体" w:hAnsi="宋体" w:eastAsia="宋体" w:cs="宋体"/>
          <w:color w:val="auto"/>
          <w:spacing w:val="-1"/>
          <w:sz w:val="24"/>
          <w:szCs w:val="24"/>
          <w:highlight w:val="none"/>
        </w:rPr>
      </w:pPr>
      <w:r>
        <w:rPr>
          <w:rFonts w:ascii="Times New Roman" w:hAnsi="Times New Roman" w:eastAsia="Times New Roman" w:cs="Times New Roman"/>
          <w:color w:val="auto"/>
          <w:sz w:val="24"/>
          <w:szCs w:val="24"/>
          <w:highlight w:val="none"/>
        </w:rPr>
        <w:t>Ai=Vi×Wi A=∑Vi×WiA</w:t>
      </w:r>
      <w:r>
        <w:rPr>
          <w:rFonts w:ascii="宋体" w:hAnsi="宋体" w:eastAsia="宋体" w:cs="宋体"/>
          <w:color w:val="auto"/>
          <w:sz w:val="24"/>
          <w:szCs w:val="24"/>
          <w:highlight w:val="none"/>
        </w:rPr>
        <w:t>为某一风景名胜项目的各评价单元综合评价得分，</w:t>
      </w:r>
      <w:r>
        <w:rPr>
          <w:rFonts w:ascii="宋体" w:hAnsi="宋体" w:eastAsia="宋体" w:cs="宋体"/>
          <w:color w:val="auto"/>
          <w:spacing w:val="-4"/>
          <w:sz w:val="24"/>
          <w:szCs w:val="24"/>
          <w:highlight w:val="none"/>
        </w:rPr>
        <w:t>是各单项评价指标的评价值与其权重乘积的总和。</w:t>
      </w:r>
      <w:r>
        <w:rPr>
          <w:rFonts w:ascii="Times New Roman" w:hAnsi="Times New Roman" w:eastAsia="Times New Roman" w:cs="Times New Roman"/>
          <w:color w:val="auto"/>
          <w:spacing w:val="-4"/>
          <w:sz w:val="24"/>
          <w:szCs w:val="24"/>
          <w:highlight w:val="none"/>
        </w:rPr>
        <w:t>Ai</w:t>
      </w:r>
      <w:r>
        <w:rPr>
          <w:rFonts w:ascii="宋体" w:hAnsi="宋体" w:eastAsia="宋体" w:cs="宋体"/>
          <w:color w:val="auto"/>
          <w:spacing w:val="-4"/>
          <w:sz w:val="24"/>
          <w:szCs w:val="24"/>
          <w:highlight w:val="none"/>
        </w:rPr>
        <w:t>是第</w:t>
      </w:r>
      <w:r>
        <w:rPr>
          <w:rFonts w:ascii="Times New Roman" w:hAnsi="Times New Roman" w:eastAsia="Times New Roman" w:cs="Times New Roman"/>
          <w:color w:val="auto"/>
          <w:spacing w:val="-4"/>
          <w:sz w:val="24"/>
          <w:szCs w:val="24"/>
          <w:highlight w:val="none"/>
        </w:rPr>
        <w:t>i</w:t>
      </w:r>
      <w:r>
        <w:rPr>
          <w:rFonts w:ascii="宋体" w:hAnsi="宋体" w:eastAsia="宋体" w:cs="宋体"/>
          <w:color w:val="auto"/>
          <w:spacing w:val="-5"/>
          <w:sz w:val="24"/>
          <w:szCs w:val="24"/>
          <w:highlight w:val="none"/>
        </w:rPr>
        <w:t>个评价因素的综</w:t>
      </w:r>
      <w:r>
        <w:rPr>
          <w:rFonts w:ascii="宋体" w:hAnsi="宋体" w:eastAsia="宋体" w:cs="宋体"/>
          <w:color w:val="auto"/>
          <w:spacing w:val="-9"/>
          <w:sz w:val="24"/>
          <w:szCs w:val="24"/>
          <w:highlight w:val="none"/>
        </w:rPr>
        <w:t>合评价分值，</w:t>
      </w:r>
      <w:r>
        <w:rPr>
          <w:rFonts w:ascii="Times New Roman" w:hAnsi="Times New Roman" w:eastAsia="Times New Roman" w:cs="Times New Roman"/>
          <w:color w:val="auto"/>
          <w:spacing w:val="-9"/>
          <w:sz w:val="24"/>
          <w:szCs w:val="24"/>
          <w:highlight w:val="none"/>
        </w:rPr>
        <w:t>Wi</w:t>
      </w:r>
      <w:r>
        <w:rPr>
          <w:rFonts w:ascii="宋体" w:hAnsi="宋体" w:eastAsia="宋体" w:cs="宋体"/>
          <w:color w:val="auto"/>
          <w:spacing w:val="-9"/>
          <w:sz w:val="24"/>
          <w:szCs w:val="24"/>
          <w:highlight w:val="none"/>
        </w:rPr>
        <w:t>则是第</w:t>
      </w:r>
      <w:r>
        <w:rPr>
          <w:rFonts w:ascii="Times New Roman" w:hAnsi="Times New Roman" w:eastAsia="Times New Roman" w:cs="Times New Roman"/>
          <w:color w:val="auto"/>
          <w:spacing w:val="-9"/>
          <w:sz w:val="24"/>
          <w:szCs w:val="24"/>
          <w:highlight w:val="none"/>
        </w:rPr>
        <w:t>i</w:t>
      </w:r>
      <w:r>
        <w:rPr>
          <w:rFonts w:ascii="宋体" w:hAnsi="宋体" w:eastAsia="宋体" w:cs="宋体"/>
          <w:color w:val="auto"/>
          <w:spacing w:val="-9"/>
          <w:sz w:val="24"/>
          <w:szCs w:val="24"/>
          <w:highlight w:val="none"/>
        </w:rPr>
        <w:t>个评价因素的权重。具体参考表</w:t>
      </w:r>
      <w:r>
        <w:rPr>
          <w:rFonts w:hint="eastAsia" w:eastAsia="宋体" w:cs="Times New Roman"/>
          <w:color w:val="auto"/>
          <w:spacing w:val="-9"/>
          <w:sz w:val="24"/>
          <w:szCs w:val="24"/>
          <w:highlight w:val="none"/>
          <w:lang w:val="en-US" w:eastAsia="zh-CN"/>
        </w:rPr>
        <w:t>5.3.1-3</w:t>
      </w:r>
      <w:r>
        <w:rPr>
          <w:rFonts w:hint="eastAsia" w:ascii="宋体" w:hAnsi="宋体" w:eastAsia="宋体" w:cs="宋体"/>
          <w:color w:val="auto"/>
          <w:spacing w:val="-9"/>
          <w:sz w:val="24"/>
          <w:szCs w:val="24"/>
          <w:highlight w:val="none"/>
          <w:lang w:eastAsia="zh-CN"/>
        </w:rPr>
        <w:t>“</w:t>
      </w:r>
      <w:r>
        <w:rPr>
          <w:rFonts w:hint="eastAsia" w:ascii="宋体" w:hAnsi="宋体" w:eastAsia="宋体" w:cs="宋体"/>
          <w:color w:val="auto"/>
          <w:spacing w:val="-9"/>
          <w:sz w:val="24"/>
          <w:szCs w:val="24"/>
          <w:highlight w:val="none"/>
        </w:rPr>
        <w:t>自然景观影</w:t>
      </w:r>
      <w:r>
        <w:rPr>
          <w:rFonts w:hint="eastAsia" w:ascii="宋体" w:hAnsi="宋体" w:eastAsia="宋体" w:cs="宋体"/>
          <w:color w:val="auto"/>
          <w:spacing w:val="-1"/>
          <w:sz w:val="24"/>
          <w:szCs w:val="24"/>
          <w:highlight w:val="none"/>
        </w:rPr>
        <w:t>响评价指标分级表</w:t>
      </w:r>
      <w:r>
        <w:rPr>
          <w:rFonts w:hint="eastAsia" w:ascii="宋体" w:hAnsi="宋体" w:eastAsia="宋体" w:cs="宋体"/>
          <w:color w:val="auto"/>
          <w:spacing w:val="-1"/>
          <w:sz w:val="24"/>
          <w:szCs w:val="24"/>
          <w:highlight w:val="none"/>
          <w:lang w:eastAsia="zh-CN"/>
        </w:rPr>
        <w:t>”</w:t>
      </w:r>
      <w:r>
        <w:rPr>
          <w:rFonts w:ascii="宋体" w:hAnsi="宋体" w:eastAsia="宋体" w:cs="宋体"/>
          <w:color w:val="auto"/>
          <w:spacing w:val="-1"/>
          <w:sz w:val="24"/>
          <w:szCs w:val="24"/>
          <w:highlight w:val="none"/>
        </w:rPr>
        <w:t>和表</w:t>
      </w:r>
      <w:r>
        <w:rPr>
          <w:rFonts w:hint="eastAsia" w:eastAsia="宋体" w:cs="Times New Roman"/>
          <w:color w:val="auto"/>
          <w:spacing w:val="-1"/>
          <w:sz w:val="24"/>
          <w:szCs w:val="24"/>
          <w:highlight w:val="none"/>
          <w:lang w:val="en-US" w:eastAsia="zh-CN"/>
        </w:rPr>
        <w:t>5.3.1-4</w:t>
      </w:r>
      <w:r>
        <w:rPr>
          <w:rFonts w:hint="eastAsia" w:ascii="宋体" w:hAnsi="宋体" w:eastAsia="宋体" w:cs="宋体"/>
          <w:color w:val="auto"/>
          <w:spacing w:val="-1"/>
          <w:sz w:val="24"/>
          <w:szCs w:val="24"/>
          <w:highlight w:val="none"/>
          <w:lang w:eastAsia="zh-CN"/>
        </w:rPr>
        <w:t>“</w:t>
      </w:r>
      <w:r>
        <w:rPr>
          <w:rFonts w:hint="eastAsia" w:ascii="宋体" w:hAnsi="宋体" w:eastAsia="宋体" w:cs="宋体"/>
          <w:color w:val="auto"/>
          <w:spacing w:val="-1"/>
          <w:sz w:val="24"/>
          <w:szCs w:val="24"/>
          <w:highlight w:val="none"/>
        </w:rPr>
        <w:t>自然景 观影响评价等级表</w:t>
      </w:r>
      <w:r>
        <w:rPr>
          <w:rFonts w:hint="eastAsia" w:ascii="宋体" w:hAnsi="宋体" w:eastAsia="宋体" w:cs="宋体"/>
          <w:color w:val="auto"/>
          <w:spacing w:val="-1"/>
          <w:sz w:val="24"/>
          <w:szCs w:val="24"/>
          <w:highlight w:val="none"/>
          <w:lang w:eastAsia="zh-CN"/>
        </w:rPr>
        <w:t>”</w:t>
      </w:r>
      <w:r>
        <w:rPr>
          <w:rFonts w:ascii="宋体" w:hAnsi="宋体" w:eastAsia="宋体" w:cs="宋体"/>
          <w:color w:val="auto"/>
          <w:spacing w:val="-1"/>
          <w:sz w:val="24"/>
          <w:szCs w:val="24"/>
          <w:highlight w:val="none"/>
        </w:rPr>
        <w:t>。</w:t>
      </w:r>
    </w:p>
    <w:p>
      <w:pPr>
        <w:pStyle w:val="40"/>
        <w:bidi w:val="0"/>
        <w:rPr>
          <w:color w:val="auto"/>
          <w:highlight w:val="none"/>
        </w:rPr>
      </w:pPr>
    </w:p>
    <w:p>
      <w:pPr>
        <w:pStyle w:val="40"/>
        <w:bidi w:val="0"/>
        <w:rPr>
          <w:color w:val="auto"/>
          <w:highlight w:val="none"/>
        </w:rPr>
      </w:pPr>
    </w:p>
    <w:p>
      <w:pPr>
        <w:pStyle w:val="40"/>
        <w:bidi w:val="0"/>
        <w:rPr>
          <w:color w:val="auto"/>
          <w:highlight w:val="none"/>
        </w:rPr>
      </w:pPr>
    </w:p>
    <w:p>
      <w:pPr>
        <w:pStyle w:val="40"/>
        <w:bidi w:val="0"/>
        <w:rPr>
          <w:color w:val="auto"/>
          <w:highlight w:val="none"/>
        </w:rPr>
      </w:pPr>
      <w:r>
        <w:rPr>
          <w:color w:val="auto"/>
          <w:highlight w:val="none"/>
        </w:rPr>
        <w:t>表</w:t>
      </w:r>
      <w:r>
        <w:rPr>
          <w:rFonts w:hint="eastAsia"/>
          <w:color w:val="auto"/>
          <w:highlight w:val="none"/>
          <w:lang w:val="en-US" w:eastAsia="zh-CN"/>
        </w:rPr>
        <w:t>5.3.1</w:t>
      </w:r>
      <w:r>
        <w:rPr>
          <w:color w:val="auto"/>
          <w:highlight w:val="none"/>
        </w:rPr>
        <w:t>-</w:t>
      </w:r>
      <w:r>
        <w:rPr>
          <w:rFonts w:hint="eastAsia"/>
          <w:color w:val="auto"/>
          <w:highlight w:val="none"/>
          <w:lang w:val="en-US" w:eastAsia="zh-CN"/>
        </w:rPr>
        <w:t>3</w:t>
      </w:r>
      <w:r>
        <w:rPr>
          <w:color w:val="auto"/>
          <w:highlight w:val="none"/>
        </w:rPr>
        <w:t xml:space="preserve">  自然景观影响评价指标分级表</w:t>
      </w:r>
    </w:p>
    <w:p>
      <w:pPr>
        <w:spacing w:line="91" w:lineRule="exact"/>
        <w:rPr>
          <w:color w:val="auto"/>
          <w:highlight w:val="none"/>
        </w:rPr>
      </w:pPr>
    </w:p>
    <w:tbl>
      <w:tblPr>
        <w:tblStyle w:val="57"/>
        <w:tblW w:w="5000" w:type="pct"/>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33"/>
        <w:gridCol w:w="1176"/>
        <w:gridCol w:w="881"/>
        <w:gridCol w:w="1176"/>
        <w:gridCol w:w="987"/>
        <w:gridCol w:w="1193"/>
        <w:gridCol w:w="116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9" w:hRule="atLeast"/>
        </w:trPr>
        <w:tc>
          <w:tcPr>
            <w:tcW w:w="1789" w:type="dxa"/>
            <w:vAlign w:val="center"/>
          </w:tcPr>
          <w:p>
            <w:pPr>
              <w:pStyle w:val="42"/>
              <w:bidi w:val="0"/>
              <w:spacing w:line="240" w:lineRule="auto"/>
              <w:jc w:val="center"/>
              <w:rPr>
                <w:color w:val="auto"/>
              </w:rPr>
            </w:pPr>
            <w:r>
              <w:rPr>
                <w:color w:val="auto"/>
              </w:rPr>
              <w:t>评价指标（Li）</w:t>
            </w:r>
          </w:p>
        </w:tc>
        <w:tc>
          <w:tcPr>
            <w:tcW w:w="1214" w:type="dxa"/>
            <w:vAlign w:val="center"/>
          </w:tcPr>
          <w:p>
            <w:pPr>
              <w:pStyle w:val="42"/>
              <w:bidi w:val="0"/>
              <w:spacing w:line="240" w:lineRule="auto"/>
              <w:jc w:val="center"/>
              <w:rPr>
                <w:color w:val="auto"/>
              </w:rPr>
            </w:pPr>
            <w:r>
              <w:rPr>
                <w:color w:val="auto"/>
              </w:rPr>
              <w:t>权重值（Wi）</w:t>
            </w:r>
          </w:p>
        </w:tc>
        <w:tc>
          <w:tcPr>
            <w:tcW w:w="909" w:type="dxa"/>
            <w:vAlign w:val="center"/>
          </w:tcPr>
          <w:p>
            <w:pPr>
              <w:pStyle w:val="42"/>
              <w:bidi w:val="0"/>
              <w:spacing w:line="240" w:lineRule="auto"/>
              <w:jc w:val="center"/>
              <w:rPr>
                <w:color w:val="auto"/>
              </w:rPr>
            </w:pPr>
            <w:r>
              <w:rPr>
                <w:color w:val="auto"/>
              </w:rPr>
              <w:t>严重影响（V1）</w:t>
            </w:r>
          </w:p>
        </w:tc>
        <w:tc>
          <w:tcPr>
            <w:tcW w:w="1214" w:type="dxa"/>
            <w:vAlign w:val="center"/>
          </w:tcPr>
          <w:p>
            <w:pPr>
              <w:pStyle w:val="42"/>
              <w:bidi w:val="0"/>
              <w:spacing w:line="240" w:lineRule="auto"/>
              <w:jc w:val="center"/>
              <w:rPr>
                <w:color w:val="auto"/>
              </w:rPr>
            </w:pPr>
            <w:r>
              <w:rPr>
                <w:color w:val="auto"/>
              </w:rPr>
              <w:t>显著影响（V2）</w:t>
            </w:r>
          </w:p>
        </w:tc>
        <w:tc>
          <w:tcPr>
            <w:tcW w:w="1019" w:type="dxa"/>
            <w:vAlign w:val="center"/>
          </w:tcPr>
          <w:p>
            <w:pPr>
              <w:pStyle w:val="42"/>
              <w:bidi w:val="0"/>
              <w:spacing w:line="240" w:lineRule="auto"/>
              <w:jc w:val="center"/>
              <w:rPr>
                <w:color w:val="auto"/>
              </w:rPr>
            </w:pPr>
            <w:r>
              <w:rPr>
                <w:color w:val="auto"/>
              </w:rPr>
              <w:t>中度影响（V3）</w:t>
            </w:r>
          </w:p>
        </w:tc>
        <w:tc>
          <w:tcPr>
            <w:tcW w:w="1231" w:type="dxa"/>
            <w:vAlign w:val="center"/>
          </w:tcPr>
          <w:p>
            <w:pPr>
              <w:pStyle w:val="42"/>
              <w:bidi w:val="0"/>
              <w:spacing w:line="240" w:lineRule="auto"/>
              <w:jc w:val="center"/>
              <w:rPr>
                <w:color w:val="auto"/>
              </w:rPr>
            </w:pPr>
            <w:r>
              <w:rPr>
                <w:color w:val="auto"/>
              </w:rPr>
              <w:t>轻微影响（V4）</w:t>
            </w:r>
          </w:p>
        </w:tc>
        <w:tc>
          <w:tcPr>
            <w:tcW w:w="1202" w:type="dxa"/>
            <w:vAlign w:val="center"/>
          </w:tcPr>
          <w:p>
            <w:pPr>
              <w:pStyle w:val="42"/>
              <w:bidi w:val="0"/>
              <w:spacing w:line="240" w:lineRule="auto"/>
              <w:jc w:val="center"/>
              <w:rPr>
                <w:color w:val="auto"/>
              </w:rPr>
            </w:pPr>
            <w:r>
              <w:rPr>
                <w:color w:val="auto"/>
              </w:rPr>
              <w:t>正向影响或无影响（V4）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5" w:hRule="atLeast"/>
        </w:trPr>
        <w:tc>
          <w:tcPr>
            <w:tcW w:w="1789" w:type="dxa"/>
            <w:vAlign w:val="center"/>
          </w:tcPr>
          <w:p>
            <w:pPr>
              <w:pStyle w:val="42"/>
              <w:bidi w:val="0"/>
              <w:spacing w:line="240" w:lineRule="auto"/>
              <w:jc w:val="center"/>
              <w:rPr>
                <w:color w:val="auto"/>
              </w:rPr>
            </w:pPr>
            <w:r>
              <w:rPr>
                <w:color w:val="auto"/>
              </w:rPr>
              <w:t>相融特征（L1）</w:t>
            </w:r>
          </w:p>
        </w:tc>
        <w:tc>
          <w:tcPr>
            <w:tcW w:w="1214" w:type="dxa"/>
            <w:vAlign w:val="center"/>
          </w:tcPr>
          <w:p>
            <w:pPr>
              <w:pStyle w:val="42"/>
              <w:bidi w:val="0"/>
              <w:spacing w:line="240" w:lineRule="auto"/>
              <w:jc w:val="center"/>
              <w:rPr>
                <w:color w:val="auto"/>
              </w:rPr>
            </w:pPr>
            <w:r>
              <w:rPr>
                <w:color w:val="auto"/>
              </w:rPr>
              <w:t>0.20（W1）</w:t>
            </w:r>
          </w:p>
        </w:tc>
        <w:tc>
          <w:tcPr>
            <w:tcW w:w="909" w:type="dxa"/>
            <w:vAlign w:val="center"/>
          </w:tcPr>
          <w:p>
            <w:pPr>
              <w:pStyle w:val="42"/>
              <w:bidi w:val="0"/>
              <w:spacing w:line="240" w:lineRule="auto"/>
              <w:jc w:val="center"/>
              <w:rPr>
                <w:color w:val="auto"/>
              </w:rPr>
            </w:pPr>
            <w:r>
              <w:rPr>
                <w:color w:val="auto"/>
              </w:rPr>
              <w:t>10～9</w:t>
            </w:r>
          </w:p>
        </w:tc>
        <w:tc>
          <w:tcPr>
            <w:tcW w:w="1214" w:type="dxa"/>
            <w:vAlign w:val="center"/>
          </w:tcPr>
          <w:p>
            <w:pPr>
              <w:pStyle w:val="42"/>
              <w:bidi w:val="0"/>
              <w:spacing w:line="240" w:lineRule="auto"/>
              <w:jc w:val="center"/>
              <w:rPr>
                <w:color w:val="auto"/>
              </w:rPr>
            </w:pPr>
            <w:r>
              <w:rPr>
                <w:color w:val="auto"/>
              </w:rPr>
              <w:t>8～6</w:t>
            </w:r>
          </w:p>
        </w:tc>
        <w:tc>
          <w:tcPr>
            <w:tcW w:w="1019" w:type="dxa"/>
            <w:vAlign w:val="center"/>
          </w:tcPr>
          <w:p>
            <w:pPr>
              <w:pStyle w:val="42"/>
              <w:bidi w:val="0"/>
              <w:spacing w:line="240" w:lineRule="auto"/>
              <w:jc w:val="center"/>
              <w:rPr>
                <w:color w:val="auto"/>
              </w:rPr>
            </w:pPr>
            <w:r>
              <w:rPr>
                <w:color w:val="auto"/>
              </w:rPr>
              <w:t>5～3</w:t>
            </w:r>
          </w:p>
        </w:tc>
        <w:tc>
          <w:tcPr>
            <w:tcW w:w="1231" w:type="dxa"/>
            <w:vAlign w:val="center"/>
          </w:tcPr>
          <w:p>
            <w:pPr>
              <w:pStyle w:val="42"/>
              <w:bidi w:val="0"/>
              <w:spacing w:line="240" w:lineRule="auto"/>
              <w:jc w:val="center"/>
              <w:rPr>
                <w:color w:val="auto"/>
              </w:rPr>
            </w:pPr>
            <w:r>
              <w:rPr>
                <w:color w:val="auto"/>
              </w:rPr>
              <w:t>2～1</w:t>
            </w:r>
          </w:p>
        </w:tc>
        <w:tc>
          <w:tcPr>
            <w:tcW w:w="1202" w:type="dxa"/>
            <w:vAlign w:val="center"/>
          </w:tcPr>
          <w:p>
            <w:pPr>
              <w:pStyle w:val="42"/>
              <w:bidi w:val="0"/>
              <w:spacing w:line="240" w:lineRule="auto"/>
              <w:jc w:val="center"/>
              <w:rPr>
                <w:color w:val="auto"/>
              </w:rPr>
            </w:pPr>
            <w:r>
              <w:rPr>
                <w:color w:val="auto"/>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1789" w:type="dxa"/>
            <w:vAlign w:val="center"/>
          </w:tcPr>
          <w:p>
            <w:pPr>
              <w:pStyle w:val="42"/>
              <w:bidi w:val="0"/>
              <w:spacing w:line="240" w:lineRule="auto"/>
              <w:jc w:val="center"/>
              <w:rPr>
                <w:color w:val="auto"/>
              </w:rPr>
            </w:pPr>
            <w:r>
              <w:rPr>
                <w:color w:val="auto"/>
              </w:rPr>
              <w:t>稳定特征（L2）</w:t>
            </w:r>
          </w:p>
        </w:tc>
        <w:tc>
          <w:tcPr>
            <w:tcW w:w="1214" w:type="dxa"/>
            <w:vAlign w:val="center"/>
          </w:tcPr>
          <w:p>
            <w:pPr>
              <w:pStyle w:val="42"/>
              <w:bidi w:val="0"/>
              <w:spacing w:line="240" w:lineRule="auto"/>
              <w:jc w:val="center"/>
              <w:rPr>
                <w:color w:val="auto"/>
              </w:rPr>
            </w:pPr>
            <w:r>
              <w:rPr>
                <w:color w:val="auto"/>
              </w:rPr>
              <w:t>0.20（W2）</w:t>
            </w:r>
          </w:p>
        </w:tc>
        <w:tc>
          <w:tcPr>
            <w:tcW w:w="909" w:type="dxa"/>
            <w:vAlign w:val="center"/>
          </w:tcPr>
          <w:p>
            <w:pPr>
              <w:pStyle w:val="42"/>
              <w:bidi w:val="0"/>
              <w:spacing w:line="240" w:lineRule="auto"/>
              <w:jc w:val="center"/>
              <w:rPr>
                <w:color w:val="auto"/>
              </w:rPr>
            </w:pPr>
            <w:r>
              <w:rPr>
                <w:color w:val="auto"/>
              </w:rPr>
              <w:t>10～9</w:t>
            </w:r>
          </w:p>
        </w:tc>
        <w:tc>
          <w:tcPr>
            <w:tcW w:w="1214" w:type="dxa"/>
            <w:vAlign w:val="center"/>
          </w:tcPr>
          <w:p>
            <w:pPr>
              <w:pStyle w:val="42"/>
              <w:bidi w:val="0"/>
              <w:spacing w:line="240" w:lineRule="auto"/>
              <w:jc w:val="center"/>
              <w:rPr>
                <w:color w:val="auto"/>
              </w:rPr>
            </w:pPr>
            <w:r>
              <w:rPr>
                <w:color w:val="auto"/>
              </w:rPr>
              <w:t>8～6</w:t>
            </w:r>
          </w:p>
        </w:tc>
        <w:tc>
          <w:tcPr>
            <w:tcW w:w="1019" w:type="dxa"/>
            <w:vAlign w:val="center"/>
          </w:tcPr>
          <w:p>
            <w:pPr>
              <w:pStyle w:val="42"/>
              <w:bidi w:val="0"/>
              <w:spacing w:line="240" w:lineRule="auto"/>
              <w:jc w:val="center"/>
              <w:rPr>
                <w:color w:val="auto"/>
              </w:rPr>
            </w:pPr>
            <w:r>
              <w:rPr>
                <w:color w:val="auto"/>
              </w:rPr>
              <w:t>5～3</w:t>
            </w:r>
          </w:p>
        </w:tc>
        <w:tc>
          <w:tcPr>
            <w:tcW w:w="1231" w:type="dxa"/>
            <w:vAlign w:val="center"/>
          </w:tcPr>
          <w:p>
            <w:pPr>
              <w:pStyle w:val="42"/>
              <w:bidi w:val="0"/>
              <w:spacing w:line="240" w:lineRule="auto"/>
              <w:jc w:val="center"/>
              <w:rPr>
                <w:color w:val="auto"/>
              </w:rPr>
            </w:pPr>
            <w:r>
              <w:rPr>
                <w:color w:val="auto"/>
              </w:rPr>
              <w:t>2～1</w:t>
            </w:r>
          </w:p>
        </w:tc>
        <w:tc>
          <w:tcPr>
            <w:tcW w:w="1202" w:type="dxa"/>
            <w:vAlign w:val="center"/>
          </w:tcPr>
          <w:p>
            <w:pPr>
              <w:pStyle w:val="42"/>
              <w:bidi w:val="0"/>
              <w:spacing w:line="240" w:lineRule="auto"/>
              <w:jc w:val="center"/>
              <w:rPr>
                <w:color w:val="auto"/>
              </w:rPr>
            </w:pPr>
            <w:r>
              <w:rPr>
                <w:color w:val="auto"/>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1789" w:type="dxa"/>
            <w:vAlign w:val="center"/>
          </w:tcPr>
          <w:p>
            <w:pPr>
              <w:pStyle w:val="42"/>
              <w:bidi w:val="0"/>
              <w:spacing w:line="240" w:lineRule="auto"/>
              <w:jc w:val="center"/>
              <w:rPr>
                <w:color w:val="auto"/>
              </w:rPr>
            </w:pPr>
            <w:r>
              <w:rPr>
                <w:color w:val="auto"/>
              </w:rPr>
              <w:t>优美特征（L3）</w:t>
            </w:r>
          </w:p>
        </w:tc>
        <w:tc>
          <w:tcPr>
            <w:tcW w:w="1214" w:type="dxa"/>
            <w:vAlign w:val="center"/>
          </w:tcPr>
          <w:p>
            <w:pPr>
              <w:pStyle w:val="42"/>
              <w:bidi w:val="0"/>
              <w:spacing w:line="240" w:lineRule="auto"/>
              <w:jc w:val="center"/>
              <w:rPr>
                <w:color w:val="auto"/>
              </w:rPr>
            </w:pPr>
            <w:r>
              <w:rPr>
                <w:color w:val="auto"/>
              </w:rPr>
              <w:t>0.15（W3）</w:t>
            </w:r>
          </w:p>
        </w:tc>
        <w:tc>
          <w:tcPr>
            <w:tcW w:w="909" w:type="dxa"/>
            <w:vAlign w:val="center"/>
          </w:tcPr>
          <w:p>
            <w:pPr>
              <w:pStyle w:val="42"/>
              <w:bidi w:val="0"/>
              <w:spacing w:line="240" w:lineRule="auto"/>
              <w:jc w:val="center"/>
              <w:rPr>
                <w:color w:val="auto"/>
              </w:rPr>
            </w:pPr>
            <w:r>
              <w:rPr>
                <w:color w:val="auto"/>
              </w:rPr>
              <w:t>10～9</w:t>
            </w:r>
          </w:p>
        </w:tc>
        <w:tc>
          <w:tcPr>
            <w:tcW w:w="1214" w:type="dxa"/>
            <w:vAlign w:val="center"/>
          </w:tcPr>
          <w:p>
            <w:pPr>
              <w:pStyle w:val="42"/>
              <w:bidi w:val="0"/>
              <w:spacing w:line="240" w:lineRule="auto"/>
              <w:jc w:val="center"/>
              <w:rPr>
                <w:color w:val="auto"/>
              </w:rPr>
            </w:pPr>
            <w:r>
              <w:rPr>
                <w:color w:val="auto"/>
              </w:rPr>
              <w:t>8～6</w:t>
            </w:r>
          </w:p>
        </w:tc>
        <w:tc>
          <w:tcPr>
            <w:tcW w:w="1019" w:type="dxa"/>
            <w:vAlign w:val="center"/>
          </w:tcPr>
          <w:p>
            <w:pPr>
              <w:pStyle w:val="42"/>
              <w:bidi w:val="0"/>
              <w:spacing w:line="240" w:lineRule="auto"/>
              <w:jc w:val="center"/>
              <w:rPr>
                <w:color w:val="auto"/>
              </w:rPr>
            </w:pPr>
            <w:r>
              <w:rPr>
                <w:color w:val="auto"/>
              </w:rPr>
              <w:t>5～3</w:t>
            </w:r>
          </w:p>
        </w:tc>
        <w:tc>
          <w:tcPr>
            <w:tcW w:w="1231" w:type="dxa"/>
            <w:vAlign w:val="center"/>
          </w:tcPr>
          <w:p>
            <w:pPr>
              <w:pStyle w:val="42"/>
              <w:bidi w:val="0"/>
              <w:spacing w:line="240" w:lineRule="auto"/>
              <w:jc w:val="center"/>
              <w:rPr>
                <w:color w:val="auto"/>
              </w:rPr>
            </w:pPr>
            <w:r>
              <w:rPr>
                <w:color w:val="auto"/>
              </w:rPr>
              <w:t>2～1</w:t>
            </w:r>
          </w:p>
        </w:tc>
        <w:tc>
          <w:tcPr>
            <w:tcW w:w="1202" w:type="dxa"/>
            <w:vAlign w:val="center"/>
          </w:tcPr>
          <w:p>
            <w:pPr>
              <w:pStyle w:val="42"/>
              <w:bidi w:val="0"/>
              <w:spacing w:line="240" w:lineRule="auto"/>
              <w:jc w:val="center"/>
              <w:rPr>
                <w:color w:val="auto"/>
              </w:rPr>
            </w:pPr>
            <w:r>
              <w:rPr>
                <w:color w:val="auto"/>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1789" w:type="dxa"/>
            <w:vAlign w:val="center"/>
          </w:tcPr>
          <w:p>
            <w:pPr>
              <w:pStyle w:val="42"/>
              <w:bidi w:val="0"/>
              <w:spacing w:line="240" w:lineRule="auto"/>
              <w:jc w:val="center"/>
              <w:rPr>
                <w:color w:val="auto"/>
              </w:rPr>
            </w:pPr>
            <w:r>
              <w:rPr>
                <w:color w:val="auto"/>
              </w:rPr>
              <w:t>敏感特征（L4）</w:t>
            </w:r>
          </w:p>
        </w:tc>
        <w:tc>
          <w:tcPr>
            <w:tcW w:w="1214" w:type="dxa"/>
            <w:vAlign w:val="center"/>
          </w:tcPr>
          <w:p>
            <w:pPr>
              <w:pStyle w:val="42"/>
              <w:bidi w:val="0"/>
              <w:spacing w:line="240" w:lineRule="auto"/>
              <w:jc w:val="center"/>
              <w:rPr>
                <w:color w:val="auto"/>
              </w:rPr>
            </w:pPr>
            <w:r>
              <w:rPr>
                <w:color w:val="auto"/>
              </w:rPr>
              <w:t>0.10（W4）</w:t>
            </w:r>
          </w:p>
        </w:tc>
        <w:tc>
          <w:tcPr>
            <w:tcW w:w="909" w:type="dxa"/>
            <w:vAlign w:val="center"/>
          </w:tcPr>
          <w:p>
            <w:pPr>
              <w:pStyle w:val="42"/>
              <w:bidi w:val="0"/>
              <w:spacing w:line="240" w:lineRule="auto"/>
              <w:jc w:val="center"/>
              <w:rPr>
                <w:color w:val="auto"/>
              </w:rPr>
            </w:pPr>
            <w:r>
              <w:rPr>
                <w:color w:val="auto"/>
              </w:rPr>
              <w:t>10～9</w:t>
            </w:r>
          </w:p>
        </w:tc>
        <w:tc>
          <w:tcPr>
            <w:tcW w:w="1214" w:type="dxa"/>
            <w:vAlign w:val="center"/>
          </w:tcPr>
          <w:p>
            <w:pPr>
              <w:pStyle w:val="42"/>
              <w:bidi w:val="0"/>
              <w:spacing w:line="240" w:lineRule="auto"/>
              <w:jc w:val="center"/>
              <w:rPr>
                <w:color w:val="auto"/>
              </w:rPr>
            </w:pPr>
            <w:r>
              <w:rPr>
                <w:color w:val="auto"/>
              </w:rPr>
              <w:t>8～6</w:t>
            </w:r>
          </w:p>
        </w:tc>
        <w:tc>
          <w:tcPr>
            <w:tcW w:w="1019" w:type="dxa"/>
            <w:vAlign w:val="center"/>
          </w:tcPr>
          <w:p>
            <w:pPr>
              <w:pStyle w:val="42"/>
              <w:bidi w:val="0"/>
              <w:spacing w:line="240" w:lineRule="auto"/>
              <w:jc w:val="center"/>
              <w:rPr>
                <w:color w:val="auto"/>
              </w:rPr>
            </w:pPr>
            <w:r>
              <w:rPr>
                <w:color w:val="auto"/>
              </w:rPr>
              <w:t>5～3</w:t>
            </w:r>
          </w:p>
        </w:tc>
        <w:tc>
          <w:tcPr>
            <w:tcW w:w="1231" w:type="dxa"/>
            <w:vAlign w:val="center"/>
          </w:tcPr>
          <w:p>
            <w:pPr>
              <w:pStyle w:val="42"/>
              <w:bidi w:val="0"/>
              <w:spacing w:line="240" w:lineRule="auto"/>
              <w:jc w:val="center"/>
              <w:rPr>
                <w:color w:val="auto"/>
              </w:rPr>
            </w:pPr>
            <w:r>
              <w:rPr>
                <w:color w:val="auto"/>
              </w:rPr>
              <w:t>2～1</w:t>
            </w:r>
          </w:p>
        </w:tc>
        <w:tc>
          <w:tcPr>
            <w:tcW w:w="1202" w:type="dxa"/>
            <w:vAlign w:val="center"/>
          </w:tcPr>
          <w:p>
            <w:pPr>
              <w:pStyle w:val="42"/>
              <w:bidi w:val="0"/>
              <w:spacing w:line="240" w:lineRule="auto"/>
              <w:jc w:val="center"/>
              <w:rPr>
                <w:color w:val="auto"/>
              </w:rPr>
            </w:pPr>
            <w:r>
              <w:rPr>
                <w:color w:val="auto"/>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1789" w:type="dxa"/>
            <w:vAlign w:val="center"/>
          </w:tcPr>
          <w:p>
            <w:pPr>
              <w:pStyle w:val="42"/>
              <w:bidi w:val="0"/>
              <w:spacing w:line="240" w:lineRule="auto"/>
              <w:jc w:val="center"/>
              <w:rPr>
                <w:color w:val="auto"/>
              </w:rPr>
            </w:pPr>
            <w:r>
              <w:rPr>
                <w:color w:val="auto"/>
              </w:rPr>
              <w:t>变化特征（L5）</w:t>
            </w:r>
          </w:p>
        </w:tc>
        <w:tc>
          <w:tcPr>
            <w:tcW w:w="1214" w:type="dxa"/>
            <w:vAlign w:val="center"/>
          </w:tcPr>
          <w:p>
            <w:pPr>
              <w:pStyle w:val="42"/>
              <w:bidi w:val="0"/>
              <w:spacing w:line="240" w:lineRule="auto"/>
              <w:jc w:val="center"/>
              <w:rPr>
                <w:color w:val="auto"/>
              </w:rPr>
            </w:pPr>
            <w:r>
              <w:rPr>
                <w:color w:val="auto"/>
              </w:rPr>
              <w:t>0.15（W5）</w:t>
            </w:r>
          </w:p>
        </w:tc>
        <w:tc>
          <w:tcPr>
            <w:tcW w:w="909" w:type="dxa"/>
            <w:vAlign w:val="center"/>
          </w:tcPr>
          <w:p>
            <w:pPr>
              <w:pStyle w:val="42"/>
              <w:bidi w:val="0"/>
              <w:spacing w:line="240" w:lineRule="auto"/>
              <w:jc w:val="center"/>
              <w:rPr>
                <w:color w:val="auto"/>
              </w:rPr>
            </w:pPr>
            <w:r>
              <w:rPr>
                <w:color w:val="auto"/>
              </w:rPr>
              <w:t>10～9</w:t>
            </w:r>
          </w:p>
        </w:tc>
        <w:tc>
          <w:tcPr>
            <w:tcW w:w="1214" w:type="dxa"/>
            <w:vAlign w:val="center"/>
          </w:tcPr>
          <w:p>
            <w:pPr>
              <w:pStyle w:val="42"/>
              <w:bidi w:val="0"/>
              <w:spacing w:line="240" w:lineRule="auto"/>
              <w:jc w:val="center"/>
              <w:rPr>
                <w:color w:val="auto"/>
              </w:rPr>
            </w:pPr>
            <w:r>
              <w:rPr>
                <w:color w:val="auto"/>
              </w:rPr>
              <w:t>8～6</w:t>
            </w:r>
          </w:p>
        </w:tc>
        <w:tc>
          <w:tcPr>
            <w:tcW w:w="1019" w:type="dxa"/>
            <w:vAlign w:val="center"/>
          </w:tcPr>
          <w:p>
            <w:pPr>
              <w:pStyle w:val="42"/>
              <w:bidi w:val="0"/>
              <w:spacing w:line="240" w:lineRule="auto"/>
              <w:jc w:val="center"/>
              <w:rPr>
                <w:color w:val="auto"/>
              </w:rPr>
            </w:pPr>
            <w:r>
              <w:rPr>
                <w:color w:val="auto"/>
              </w:rPr>
              <w:t>5～3</w:t>
            </w:r>
          </w:p>
        </w:tc>
        <w:tc>
          <w:tcPr>
            <w:tcW w:w="1231" w:type="dxa"/>
            <w:vAlign w:val="center"/>
          </w:tcPr>
          <w:p>
            <w:pPr>
              <w:pStyle w:val="42"/>
              <w:bidi w:val="0"/>
              <w:spacing w:line="240" w:lineRule="auto"/>
              <w:jc w:val="center"/>
              <w:rPr>
                <w:color w:val="auto"/>
              </w:rPr>
            </w:pPr>
            <w:r>
              <w:rPr>
                <w:color w:val="auto"/>
              </w:rPr>
              <w:t>2～1</w:t>
            </w:r>
          </w:p>
        </w:tc>
        <w:tc>
          <w:tcPr>
            <w:tcW w:w="1202" w:type="dxa"/>
            <w:vAlign w:val="center"/>
          </w:tcPr>
          <w:p>
            <w:pPr>
              <w:pStyle w:val="42"/>
              <w:bidi w:val="0"/>
              <w:spacing w:line="240" w:lineRule="auto"/>
              <w:jc w:val="center"/>
              <w:rPr>
                <w:color w:val="auto"/>
              </w:rPr>
            </w:pPr>
            <w:r>
              <w:rPr>
                <w:color w:val="auto"/>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1" w:hRule="atLeast"/>
        </w:trPr>
        <w:tc>
          <w:tcPr>
            <w:tcW w:w="1789" w:type="dxa"/>
            <w:vAlign w:val="center"/>
          </w:tcPr>
          <w:p>
            <w:pPr>
              <w:pStyle w:val="42"/>
              <w:bidi w:val="0"/>
              <w:spacing w:line="240" w:lineRule="auto"/>
              <w:jc w:val="center"/>
              <w:rPr>
                <w:color w:val="auto"/>
              </w:rPr>
            </w:pPr>
            <w:r>
              <w:rPr>
                <w:color w:val="auto"/>
              </w:rPr>
              <w:t>生态服务特征（L6）</w:t>
            </w:r>
          </w:p>
        </w:tc>
        <w:tc>
          <w:tcPr>
            <w:tcW w:w="1214" w:type="dxa"/>
            <w:vAlign w:val="center"/>
          </w:tcPr>
          <w:p>
            <w:pPr>
              <w:pStyle w:val="42"/>
              <w:bidi w:val="0"/>
              <w:spacing w:line="240" w:lineRule="auto"/>
              <w:jc w:val="center"/>
              <w:rPr>
                <w:color w:val="auto"/>
              </w:rPr>
            </w:pPr>
            <w:r>
              <w:rPr>
                <w:color w:val="auto"/>
              </w:rPr>
              <w:t>0.20（W6）</w:t>
            </w:r>
          </w:p>
        </w:tc>
        <w:tc>
          <w:tcPr>
            <w:tcW w:w="909" w:type="dxa"/>
            <w:vAlign w:val="center"/>
          </w:tcPr>
          <w:p>
            <w:pPr>
              <w:pStyle w:val="42"/>
              <w:bidi w:val="0"/>
              <w:spacing w:line="240" w:lineRule="auto"/>
              <w:jc w:val="center"/>
              <w:rPr>
                <w:color w:val="auto"/>
              </w:rPr>
            </w:pPr>
            <w:r>
              <w:rPr>
                <w:color w:val="auto"/>
              </w:rPr>
              <w:t>10～9</w:t>
            </w:r>
          </w:p>
        </w:tc>
        <w:tc>
          <w:tcPr>
            <w:tcW w:w="1214" w:type="dxa"/>
            <w:vAlign w:val="center"/>
          </w:tcPr>
          <w:p>
            <w:pPr>
              <w:pStyle w:val="42"/>
              <w:bidi w:val="0"/>
              <w:spacing w:line="240" w:lineRule="auto"/>
              <w:jc w:val="center"/>
              <w:rPr>
                <w:color w:val="auto"/>
              </w:rPr>
            </w:pPr>
            <w:r>
              <w:rPr>
                <w:color w:val="auto"/>
              </w:rPr>
              <w:t>8～6</w:t>
            </w:r>
          </w:p>
        </w:tc>
        <w:tc>
          <w:tcPr>
            <w:tcW w:w="1019" w:type="dxa"/>
            <w:vAlign w:val="center"/>
          </w:tcPr>
          <w:p>
            <w:pPr>
              <w:pStyle w:val="42"/>
              <w:bidi w:val="0"/>
              <w:spacing w:line="240" w:lineRule="auto"/>
              <w:jc w:val="center"/>
              <w:rPr>
                <w:color w:val="auto"/>
              </w:rPr>
            </w:pPr>
            <w:r>
              <w:rPr>
                <w:color w:val="auto"/>
              </w:rPr>
              <w:t>5～3</w:t>
            </w:r>
          </w:p>
        </w:tc>
        <w:tc>
          <w:tcPr>
            <w:tcW w:w="1231" w:type="dxa"/>
            <w:vAlign w:val="center"/>
          </w:tcPr>
          <w:p>
            <w:pPr>
              <w:pStyle w:val="42"/>
              <w:bidi w:val="0"/>
              <w:spacing w:line="240" w:lineRule="auto"/>
              <w:jc w:val="center"/>
              <w:rPr>
                <w:color w:val="auto"/>
              </w:rPr>
            </w:pPr>
            <w:r>
              <w:rPr>
                <w:color w:val="auto"/>
              </w:rPr>
              <w:t>2～1</w:t>
            </w:r>
          </w:p>
        </w:tc>
        <w:tc>
          <w:tcPr>
            <w:tcW w:w="1202" w:type="dxa"/>
            <w:vAlign w:val="center"/>
          </w:tcPr>
          <w:p>
            <w:pPr>
              <w:pStyle w:val="42"/>
              <w:bidi w:val="0"/>
              <w:spacing w:line="240" w:lineRule="auto"/>
              <w:jc w:val="center"/>
              <w:rPr>
                <w:color w:val="auto"/>
              </w:rPr>
            </w:pPr>
            <w:r>
              <w:rPr>
                <w:color w:val="auto"/>
              </w:rPr>
              <w:t>0</w:t>
            </w:r>
          </w:p>
        </w:tc>
      </w:tr>
    </w:tbl>
    <w:p>
      <w:pPr>
        <w:pStyle w:val="40"/>
        <w:bidi w:val="0"/>
        <w:jc w:val="both"/>
        <w:rPr>
          <w:color w:val="auto"/>
          <w:highlight w:val="none"/>
        </w:rPr>
      </w:pPr>
    </w:p>
    <w:p>
      <w:pPr>
        <w:pStyle w:val="40"/>
        <w:bidi w:val="0"/>
        <w:rPr>
          <w:color w:val="auto"/>
          <w:highlight w:val="none"/>
        </w:rPr>
      </w:pPr>
      <w:r>
        <w:rPr>
          <w:color w:val="auto"/>
          <w:highlight w:val="none"/>
        </w:rPr>
        <w:t>表</w:t>
      </w:r>
      <w:r>
        <w:rPr>
          <w:rFonts w:hint="eastAsia"/>
          <w:color w:val="auto"/>
          <w:highlight w:val="none"/>
          <w:lang w:val="en-US" w:eastAsia="zh-CN"/>
        </w:rPr>
        <w:t>5.3.1-4</w:t>
      </w:r>
      <w:r>
        <w:rPr>
          <w:color w:val="auto"/>
          <w:highlight w:val="none"/>
        </w:rPr>
        <w:t xml:space="preserve">  自然景观影响评价指标表</w:t>
      </w:r>
    </w:p>
    <w:tbl>
      <w:tblPr>
        <w:tblStyle w:val="57"/>
        <w:tblW w:w="5017" w:type="pct"/>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83"/>
        <w:gridCol w:w="1389"/>
        <w:gridCol w:w="1355"/>
        <w:gridCol w:w="969"/>
        <w:gridCol w:w="1525"/>
        <w:gridCol w:w="1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2" w:hRule="atLeast"/>
        </w:trPr>
        <w:tc>
          <w:tcPr>
            <w:tcW w:w="1382" w:type="dxa"/>
            <w:vAlign w:val="center"/>
          </w:tcPr>
          <w:p>
            <w:pPr>
              <w:pStyle w:val="42"/>
              <w:bidi w:val="0"/>
              <w:jc w:val="center"/>
              <w:rPr>
                <w:color w:val="auto"/>
              </w:rPr>
            </w:pPr>
            <w:r>
              <w:rPr>
                <w:color w:val="auto"/>
              </w:rPr>
              <w:t>评价指标</w:t>
            </w:r>
          </w:p>
        </w:tc>
        <w:tc>
          <w:tcPr>
            <w:tcW w:w="1388" w:type="dxa"/>
            <w:vAlign w:val="center"/>
          </w:tcPr>
          <w:p>
            <w:pPr>
              <w:pStyle w:val="42"/>
              <w:bidi w:val="0"/>
              <w:jc w:val="center"/>
              <w:rPr>
                <w:color w:val="auto"/>
              </w:rPr>
            </w:pPr>
            <w:r>
              <w:rPr>
                <w:color w:val="auto"/>
              </w:rPr>
              <w:t>单项指标评价得分（Ai）</w:t>
            </w:r>
          </w:p>
        </w:tc>
        <w:tc>
          <w:tcPr>
            <w:tcW w:w="1354" w:type="dxa"/>
            <w:vAlign w:val="center"/>
          </w:tcPr>
          <w:p>
            <w:pPr>
              <w:pStyle w:val="42"/>
              <w:bidi w:val="0"/>
              <w:jc w:val="center"/>
              <w:rPr>
                <w:color w:val="auto"/>
              </w:rPr>
            </w:pPr>
            <w:r>
              <w:rPr>
                <w:color w:val="auto"/>
              </w:rPr>
              <w:t>综合评价得分（A）</w:t>
            </w:r>
          </w:p>
        </w:tc>
        <w:tc>
          <w:tcPr>
            <w:tcW w:w="968" w:type="dxa"/>
            <w:vAlign w:val="center"/>
          </w:tcPr>
          <w:p>
            <w:pPr>
              <w:pStyle w:val="42"/>
              <w:bidi w:val="0"/>
              <w:jc w:val="center"/>
              <w:rPr>
                <w:color w:val="auto"/>
              </w:rPr>
            </w:pPr>
            <w:r>
              <w:rPr>
                <w:color w:val="auto"/>
              </w:rPr>
              <w:t>综合分值范围</w:t>
            </w:r>
          </w:p>
        </w:tc>
        <w:tc>
          <w:tcPr>
            <w:tcW w:w="1523" w:type="dxa"/>
            <w:vAlign w:val="center"/>
          </w:tcPr>
          <w:p>
            <w:pPr>
              <w:pStyle w:val="42"/>
              <w:bidi w:val="0"/>
              <w:jc w:val="center"/>
              <w:rPr>
                <w:color w:val="auto"/>
              </w:rPr>
            </w:pPr>
            <w:r>
              <w:rPr>
                <w:color w:val="auto"/>
              </w:rPr>
              <w:t>综合评价分级</w:t>
            </w:r>
          </w:p>
        </w:tc>
        <w:tc>
          <w:tcPr>
            <w:tcW w:w="1720" w:type="dxa"/>
            <w:vAlign w:val="center"/>
          </w:tcPr>
          <w:p>
            <w:pPr>
              <w:pStyle w:val="42"/>
              <w:bidi w:val="0"/>
              <w:jc w:val="center"/>
              <w:rPr>
                <w:color w:val="auto"/>
              </w:rPr>
            </w:pPr>
            <w:r>
              <w:rPr>
                <w:color w:val="auto"/>
              </w:rPr>
              <w:t>评价结论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1382" w:type="dxa"/>
            <w:vMerge w:val="restart"/>
            <w:vAlign w:val="center"/>
          </w:tcPr>
          <w:p>
            <w:pPr>
              <w:pStyle w:val="42"/>
              <w:bidi w:val="0"/>
              <w:jc w:val="center"/>
              <w:rPr>
                <w:color w:val="auto"/>
              </w:rPr>
            </w:pPr>
            <w:r>
              <w:rPr>
                <w:color w:val="auto"/>
              </w:rPr>
              <w:t>相融性、稳定性、优美性、敏感度、变化率、生态服务</w:t>
            </w:r>
          </w:p>
          <w:p>
            <w:pPr>
              <w:pStyle w:val="42"/>
              <w:bidi w:val="0"/>
              <w:jc w:val="center"/>
              <w:rPr>
                <w:color w:val="auto"/>
              </w:rPr>
            </w:pPr>
            <w:r>
              <w:rPr>
                <w:color w:val="auto"/>
              </w:rPr>
              <w:t>价值</w:t>
            </w:r>
          </w:p>
        </w:tc>
        <w:tc>
          <w:tcPr>
            <w:tcW w:w="1388" w:type="dxa"/>
            <w:vMerge w:val="restart"/>
            <w:vAlign w:val="center"/>
          </w:tcPr>
          <w:p>
            <w:pPr>
              <w:pStyle w:val="42"/>
              <w:bidi w:val="0"/>
              <w:jc w:val="center"/>
              <w:rPr>
                <w:color w:val="auto"/>
              </w:rPr>
            </w:pPr>
            <w:r>
              <w:rPr>
                <w:color w:val="auto"/>
              </w:rPr>
              <w:t>Ai=Vi×W</w:t>
            </w:r>
          </w:p>
        </w:tc>
        <w:tc>
          <w:tcPr>
            <w:tcW w:w="1354" w:type="dxa"/>
            <w:vMerge w:val="restart"/>
            <w:vAlign w:val="center"/>
          </w:tcPr>
          <w:p>
            <w:pPr>
              <w:pStyle w:val="42"/>
              <w:bidi w:val="0"/>
              <w:jc w:val="center"/>
              <w:rPr>
                <w:color w:val="auto"/>
              </w:rPr>
            </w:pPr>
            <w:r>
              <w:rPr>
                <w:color w:val="auto"/>
              </w:rPr>
              <w:t>A=∑Vi×W</w:t>
            </w:r>
          </w:p>
        </w:tc>
        <w:tc>
          <w:tcPr>
            <w:tcW w:w="968" w:type="dxa"/>
            <w:vAlign w:val="center"/>
          </w:tcPr>
          <w:p>
            <w:pPr>
              <w:pStyle w:val="42"/>
              <w:bidi w:val="0"/>
              <w:jc w:val="center"/>
              <w:rPr>
                <w:color w:val="auto"/>
              </w:rPr>
            </w:pPr>
            <w:r>
              <w:rPr>
                <w:color w:val="auto"/>
              </w:rPr>
              <w:t>﹥7.8</w:t>
            </w:r>
          </w:p>
        </w:tc>
        <w:tc>
          <w:tcPr>
            <w:tcW w:w="1523" w:type="dxa"/>
            <w:vAlign w:val="center"/>
          </w:tcPr>
          <w:p>
            <w:pPr>
              <w:pStyle w:val="42"/>
              <w:bidi w:val="0"/>
              <w:jc w:val="center"/>
              <w:rPr>
                <w:color w:val="auto"/>
              </w:rPr>
            </w:pPr>
            <w:r>
              <w:rPr>
                <w:color w:val="auto"/>
              </w:rPr>
              <w:t>严重影响</w:t>
            </w:r>
          </w:p>
        </w:tc>
        <w:tc>
          <w:tcPr>
            <w:tcW w:w="1720" w:type="dxa"/>
            <w:vAlign w:val="center"/>
          </w:tcPr>
          <w:p>
            <w:pPr>
              <w:pStyle w:val="42"/>
              <w:bidi w:val="0"/>
              <w:jc w:val="center"/>
              <w:rPr>
                <w:color w:val="auto"/>
              </w:rPr>
            </w:pPr>
            <w:r>
              <w:rPr>
                <w:color w:val="auto"/>
              </w:rPr>
              <w:t>严格禁止实施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1382" w:type="dxa"/>
            <w:vMerge w:val="continue"/>
            <w:vAlign w:val="center"/>
          </w:tcPr>
          <w:p>
            <w:pPr>
              <w:pStyle w:val="42"/>
              <w:bidi w:val="0"/>
              <w:jc w:val="center"/>
              <w:rPr>
                <w:color w:val="auto"/>
              </w:rPr>
            </w:pPr>
          </w:p>
        </w:tc>
        <w:tc>
          <w:tcPr>
            <w:tcW w:w="1388" w:type="dxa"/>
            <w:vMerge w:val="continue"/>
            <w:vAlign w:val="center"/>
          </w:tcPr>
          <w:p>
            <w:pPr>
              <w:pStyle w:val="42"/>
              <w:bidi w:val="0"/>
              <w:jc w:val="center"/>
              <w:rPr>
                <w:color w:val="auto"/>
              </w:rPr>
            </w:pPr>
          </w:p>
        </w:tc>
        <w:tc>
          <w:tcPr>
            <w:tcW w:w="1354" w:type="dxa"/>
            <w:vMerge w:val="continue"/>
            <w:vAlign w:val="center"/>
          </w:tcPr>
          <w:p>
            <w:pPr>
              <w:pStyle w:val="42"/>
              <w:bidi w:val="0"/>
              <w:jc w:val="center"/>
              <w:rPr>
                <w:color w:val="auto"/>
              </w:rPr>
            </w:pPr>
          </w:p>
        </w:tc>
        <w:tc>
          <w:tcPr>
            <w:tcW w:w="968" w:type="dxa"/>
            <w:vAlign w:val="center"/>
          </w:tcPr>
          <w:p>
            <w:pPr>
              <w:pStyle w:val="42"/>
              <w:bidi w:val="0"/>
              <w:jc w:val="center"/>
              <w:rPr>
                <w:color w:val="auto"/>
              </w:rPr>
            </w:pPr>
            <w:r>
              <w:rPr>
                <w:color w:val="auto"/>
              </w:rPr>
              <w:t>7.7～6.0</w:t>
            </w:r>
          </w:p>
        </w:tc>
        <w:tc>
          <w:tcPr>
            <w:tcW w:w="1523" w:type="dxa"/>
            <w:vAlign w:val="center"/>
          </w:tcPr>
          <w:p>
            <w:pPr>
              <w:pStyle w:val="42"/>
              <w:bidi w:val="0"/>
              <w:jc w:val="center"/>
              <w:rPr>
                <w:color w:val="auto"/>
              </w:rPr>
            </w:pPr>
            <w:r>
              <w:rPr>
                <w:color w:val="auto"/>
              </w:rPr>
              <w:t>显著影响</w:t>
            </w:r>
          </w:p>
        </w:tc>
        <w:tc>
          <w:tcPr>
            <w:tcW w:w="1720" w:type="dxa"/>
            <w:vAlign w:val="center"/>
          </w:tcPr>
          <w:p>
            <w:pPr>
              <w:pStyle w:val="42"/>
              <w:bidi w:val="0"/>
              <w:jc w:val="center"/>
              <w:rPr>
                <w:color w:val="auto"/>
              </w:rPr>
            </w:pPr>
            <w:r>
              <w:rPr>
                <w:color w:val="auto"/>
              </w:rPr>
              <w:t>不可以继续实施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0" w:hRule="atLeast"/>
        </w:trPr>
        <w:tc>
          <w:tcPr>
            <w:tcW w:w="1382" w:type="dxa"/>
            <w:vMerge w:val="continue"/>
            <w:vAlign w:val="center"/>
          </w:tcPr>
          <w:p>
            <w:pPr>
              <w:pStyle w:val="42"/>
              <w:bidi w:val="0"/>
              <w:jc w:val="center"/>
              <w:rPr>
                <w:color w:val="auto"/>
              </w:rPr>
            </w:pPr>
          </w:p>
        </w:tc>
        <w:tc>
          <w:tcPr>
            <w:tcW w:w="1388" w:type="dxa"/>
            <w:vMerge w:val="continue"/>
            <w:vAlign w:val="center"/>
          </w:tcPr>
          <w:p>
            <w:pPr>
              <w:pStyle w:val="42"/>
              <w:bidi w:val="0"/>
              <w:jc w:val="center"/>
              <w:rPr>
                <w:color w:val="auto"/>
              </w:rPr>
            </w:pPr>
          </w:p>
        </w:tc>
        <w:tc>
          <w:tcPr>
            <w:tcW w:w="1354" w:type="dxa"/>
            <w:vMerge w:val="continue"/>
            <w:vAlign w:val="center"/>
          </w:tcPr>
          <w:p>
            <w:pPr>
              <w:pStyle w:val="42"/>
              <w:bidi w:val="0"/>
              <w:jc w:val="center"/>
              <w:rPr>
                <w:color w:val="auto"/>
              </w:rPr>
            </w:pPr>
          </w:p>
        </w:tc>
        <w:tc>
          <w:tcPr>
            <w:tcW w:w="968" w:type="dxa"/>
            <w:vAlign w:val="center"/>
          </w:tcPr>
          <w:p>
            <w:pPr>
              <w:pStyle w:val="42"/>
              <w:bidi w:val="0"/>
              <w:jc w:val="center"/>
              <w:rPr>
                <w:color w:val="auto"/>
              </w:rPr>
            </w:pPr>
            <w:r>
              <w:rPr>
                <w:color w:val="auto"/>
              </w:rPr>
              <w:t>5.9～3.0</w:t>
            </w:r>
          </w:p>
        </w:tc>
        <w:tc>
          <w:tcPr>
            <w:tcW w:w="1523" w:type="dxa"/>
            <w:vAlign w:val="center"/>
          </w:tcPr>
          <w:p>
            <w:pPr>
              <w:pStyle w:val="42"/>
              <w:bidi w:val="0"/>
              <w:jc w:val="center"/>
              <w:rPr>
                <w:color w:val="auto"/>
              </w:rPr>
            </w:pPr>
            <w:r>
              <w:rPr>
                <w:color w:val="auto"/>
              </w:rPr>
              <w:t>中度影响</w:t>
            </w:r>
          </w:p>
        </w:tc>
        <w:tc>
          <w:tcPr>
            <w:tcW w:w="1720" w:type="dxa"/>
            <w:vAlign w:val="center"/>
          </w:tcPr>
          <w:p>
            <w:pPr>
              <w:pStyle w:val="42"/>
              <w:bidi w:val="0"/>
              <w:jc w:val="center"/>
              <w:rPr>
                <w:color w:val="auto"/>
              </w:rPr>
            </w:pPr>
            <w:r>
              <w:rPr>
                <w:color w:val="auto"/>
              </w:rPr>
              <w:t>重新调整技术方案并报主管部门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2" w:hRule="atLeast"/>
        </w:trPr>
        <w:tc>
          <w:tcPr>
            <w:tcW w:w="1382" w:type="dxa"/>
            <w:vMerge w:val="continue"/>
            <w:vAlign w:val="center"/>
          </w:tcPr>
          <w:p>
            <w:pPr>
              <w:pStyle w:val="42"/>
              <w:bidi w:val="0"/>
              <w:jc w:val="center"/>
              <w:rPr>
                <w:color w:val="auto"/>
              </w:rPr>
            </w:pPr>
          </w:p>
        </w:tc>
        <w:tc>
          <w:tcPr>
            <w:tcW w:w="1388" w:type="dxa"/>
            <w:vMerge w:val="continue"/>
            <w:vAlign w:val="center"/>
          </w:tcPr>
          <w:p>
            <w:pPr>
              <w:pStyle w:val="42"/>
              <w:bidi w:val="0"/>
              <w:jc w:val="center"/>
              <w:rPr>
                <w:color w:val="auto"/>
              </w:rPr>
            </w:pPr>
          </w:p>
        </w:tc>
        <w:tc>
          <w:tcPr>
            <w:tcW w:w="1354" w:type="dxa"/>
            <w:vMerge w:val="continue"/>
            <w:vAlign w:val="center"/>
          </w:tcPr>
          <w:p>
            <w:pPr>
              <w:pStyle w:val="42"/>
              <w:bidi w:val="0"/>
              <w:jc w:val="center"/>
              <w:rPr>
                <w:color w:val="auto"/>
              </w:rPr>
            </w:pPr>
          </w:p>
        </w:tc>
        <w:tc>
          <w:tcPr>
            <w:tcW w:w="968" w:type="dxa"/>
            <w:vAlign w:val="center"/>
          </w:tcPr>
          <w:p>
            <w:pPr>
              <w:pStyle w:val="42"/>
              <w:bidi w:val="0"/>
              <w:jc w:val="center"/>
              <w:rPr>
                <w:color w:val="auto"/>
              </w:rPr>
            </w:pPr>
            <w:r>
              <w:rPr>
                <w:color w:val="auto"/>
              </w:rPr>
              <w:t>2.9～1.0</w:t>
            </w:r>
          </w:p>
        </w:tc>
        <w:tc>
          <w:tcPr>
            <w:tcW w:w="1523" w:type="dxa"/>
            <w:vAlign w:val="center"/>
          </w:tcPr>
          <w:p>
            <w:pPr>
              <w:pStyle w:val="42"/>
              <w:bidi w:val="0"/>
              <w:jc w:val="center"/>
              <w:rPr>
                <w:color w:val="auto"/>
              </w:rPr>
            </w:pPr>
            <w:r>
              <w:rPr>
                <w:color w:val="auto"/>
              </w:rPr>
              <w:t>轻微影响</w:t>
            </w:r>
          </w:p>
        </w:tc>
        <w:tc>
          <w:tcPr>
            <w:tcW w:w="1720" w:type="dxa"/>
            <w:vAlign w:val="center"/>
          </w:tcPr>
          <w:p>
            <w:pPr>
              <w:pStyle w:val="42"/>
              <w:bidi w:val="0"/>
              <w:jc w:val="center"/>
              <w:rPr>
                <w:color w:val="auto"/>
              </w:rPr>
            </w:pPr>
            <w:r>
              <w:rPr>
                <w:color w:val="auto"/>
              </w:rPr>
              <w:t>制定和实施专项景观保护措施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3" w:hRule="atLeast"/>
        </w:trPr>
        <w:tc>
          <w:tcPr>
            <w:tcW w:w="1382" w:type="dxa"/>
            <w:vMerge w:val="continue"/>
            <w:vAlign w:val="center"/>
          </w:tcPr>
          <w:p>
            <w:pPr>
              <w:pStyle w:val="42"/>
              <w:bidi w:val="0"/>
              <w:jc w:val="center"/>
              <w:rPr>
                <w:color w:val="auto"/>
              </w:rPr>
            </w:pPr>
          </w:p>
        </w:tc>
        <w:tc>
          <w:tcPr>
            <w:tcW w:w="1388" w:type="dxa"/>
            <w:vMerge w:val="continue"/>
            <w:vAlign w:val="center"/>
          </w:tcPr>
          <w:p>
            <w:pPr>
              <w:pStyle w:val="42"/>
              <w:bidi w:val="0"/>
              <w:jc w:val="center"/>
              <w:rPr>
                <w:color w:val="auto"/>
              </w:rPr>
            </w:pPr>
          </w:p>
        </w:tc>
        <w:tc>
          <w:tcPr>
            <w:tcW w:w="1354" w:type="dxa"/>
            <w:vMerge w:val="continue"/>
            <w:vAlign w:val="center"/>
          </w:tcPr>
          <w:p>
            <w:pPr>
              <w:pStyle w:val="42"/>
              <w:bidi w:val="0"/>
              <w:jc w:val="center"/>
              <w:rPr>
                <w:color w:val="auto"/>
              </w:rPr>
            </w:pPr>
          </w:p>
        </w:tc>
        <w:tc>
          <w:tcPr>
            <w:tcW w:w="968" w:type="dxa"/>
            <w:vAlign w:val="center"/>
          </w:tcPr>
          <w:p>
            <w:pPr>
              <w:pStyle w:val="42"/>
              <w:bidi w:val="0"/>
              <w:jc w:val="center"/>
              <w:rPr>
                <w:color w:val="auto"/>
              </w:rPr>
            </w:pPr>
            <w:r>
              <w:rPr>
                <w:color w:val="auto"/>
              </w:rPr>
              <w:t>0</w:t>
            </w:r>
          </w:p>
        </w:tc>
        <w:tc>
          <w:tcPr>
            <w:tcW w:w="1523" w:type="dxa"/>
            <w:vAlign w:val="center"/>
          </w:tcPr>
          <w:p>
            <w:pPr>
              <w:pStyle w:val="42"/>
              <w:bidi w:val="0"/>
              <w:jc w:val="center"/>
              <w:rPr>
                <w:color w:val="auto"/>
              </w:rPr>
            </w:pPr>
            <w:r>
              <w:rPr>
                <w:color w:val="auto"/>
              </w:rPr>
              <w:t>正向影响或无影响</w:t>
            </w:r>
          </w:p>
        </w:tc>
        <w:tc>
          <w:tcPr>
            <w:tcW w:w="1720" w:type="dxa"/>
            <w:vAlign w:val="center"/>
          </w:tcPr>
          <w:p>
            <w:pPr>
              <w:pStyle w:val="42"/>
              <w:bidi w:val="0"/>
              <w:jc w:val="center"/>
              <w:rPr>
                <w:color w:val="auto"/>
              </w:rPr>
            </w:pPr>
            <w:r>
              <w:rPr>
                <w:color w:val="auto"/>
              </w:rPr>
              <w:t>可以通过，按原项目方案实施</w:t>
            </w:r>
          </w:p>
        </w:tc>
      </w:tr>
    </w:tbl>
    <w:p>
      <w:pPr>
        <w:bidi w:val="0"/>
        <w:rPr>
          <w:rFonts w:hint="eastAsia"/>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相融性分析</w:t>
      </w:r>
    </w:p>
    <w:p>
      <w:pPr>
        <w:bidi w:val="0"/>
        <w:ind w:firstLine="480" w:firstLineChars="200"/>
        <w:rPr>
          <w:rFonts w:hint="eastAsia"/>
          <w:color w:val="auto"/>
          <w:highlight w:val="none"/>
        </w:rPr>
      </w:pPr>
      <w:r>
        <w:rPr>
          <w:rFonts w:hint="eastAsia"/>
          <w:color w:val="auto"/>
          <w:highlight w:val="none"/>
        </w:rPr>
        <w:t>重在分析项目建设形成的新增景观与原有整体景观相融程度，或与周边环境协调性的保持程度。工程影响区位于金沙江北岸的</w:t>
      </w:r>
      <w:r>
        <w:rPr>
          <w:rFonts w:hint="eastAsia"/>
          <w:color w:val="auto"/>
          <w:highlight w:val="none"/>
          <w:lang w:eastAsia="zh-CN"/>
        </w:rPr>
        <w:t>金沙江景区一般影响区边缘山谷区</w:t>
      </w:r>
      <w:r>
        <w:rPr>
          <w:rFonts w:hint="eastAsia"/>
          <w:color w:val="auto"/>
          <w:highlight w:val="none"/>
        </w:rPr>
        <w:t>，区内侵蚀作用强烈，谷坡陡峭，整体上呈现为属中高山深切地形，河谷侵蚀地貌。工程视觉影响区集中</w:t>
      </w:r>
      <w:r>
        <w:rPr>
          <w:rFonts w:hint="eastAsia"/>
          <w:color w:val="auto"/>
          <w:highlight w:val="none"/>
          <w:lang w:eastAsia="zh-CN"/>
        </w:rPr>
        <w:t>在高位水池</w:t>
      </w:r>
      <w:r>
        <w:rPr>
          <w:rFonts w:hint="eastAsia"/>
          <w:color w:val="auto"/>
          <w:highlight w:val="none"/>
        </w:rPr>
        <w:t>等永久占地，经生态修复、景观绿化等措施，工程对原有景观的影响为</w:t>
      </w:r>
      <w:r>
        <w:rPr>
          <w:rFonts w:hint="eastAsia"/>
          <w:color w:val="auto"/>
          <w:highlight w:val="none"/>
          <w:lang w:eastAsia="zh-CN"/>
        </w:rPr>
        <w:t>轻微</w:t>
      </w:r>
      <w:r>
        <w:rPr>
          <w:rFonts w:hint="eastAsia"/>
          <w:color w:val="auto"/>
          <w:highlight w:val="none"/>
        </w:rPr>
        <w:t>影响。</w:t>
      </w:r>
    </w:p>
    <w:p>
      <w:pPr>
        <w:bidi w:val="0"/>
        <w:rPr>
          <w:rFonts w:hint="eastAsia"/>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稳定性影响分析</w:t>
      </w:r>
    </w:p>
    <w:p>
      <w:pPr>
        <w:bidi w:val="0"/>
        <w:ind w:firstLine="480" w:firstLineChars="200"/>
        <w:rPr>
          <w:rFonts w:hint="eastAsia"/>
          <w:color w:val="auto"/>
          <w:highlight w:val="none"/>
        </w:rPr>
      </w:pPr>
      <w:r>
        <w:rPr>
          <w:rFonts w:hint="eastAsia"/>
          <w:color w:val="auto"/>
          <w:highlight w:val="none"/>
        </w:rPr>
        <w:t>旨在分析项目建设是否造成自然景观的分布范围、面积、物种数及利用价值等产生变化，以及变化的性质、程度和导致的效应。工程在风景区新增建设用地</w:t>
      </w:r>
      <w:r>
        <w:rPr>
          <w:rFonts w:hint="eastAsia"/>
          <w:color w:val="auto"/>
          <w:highlight w:val="none"/>
          <w:lang w:val="en-US" w:eastAsia="zh-CN"/>
        </w:rPr>
        <w:t>1.381</w:t>
      </w:r>
      <w:r>
        <w:rPr>
          <w:rFonts w:hint="eastAsia"/>
          <w:color w:val="auto"/>
          <w:highlight w:val="none"/>
        </w:rPr>
        <w:t>hm²</w:t>
      </w:r>
      <w:r>
        <w:rPr>
          <w:rFonts w:hint="eastAsia" w:ascii="宋体" w:hAnsi="宋体" w:eastAsia="宋体" w:cs="宋体"/>
          <w:color w:val="auto"/>
          <w:highlight w:val="none"/>
        </w:rPr>
        <w:t>,</w:t>
      </w:r>
      <w:r>
        <w:rPr>
          <w:rFonts w:hint="eastAsia"/>
          <w:color w:val="auto"/>
          <w:highlight w:val="none"/>
        </w:rPr>
        <w:t>约占金沙江景区面积（12605.26hm²)的0.</w:t>
      </w:r>
      <w:r>
        <w:rPr>
          <w:rFonts w:hint="eastAsia"/>
          <w:color w:val="auto"/>
          <w:highlight w:val="none"/>
          <w:lang w:val="en-US" w:eastAsia="zh-CN"/>
        </w:rPr>
        <w:t>01</w:t>
      </w:r>
      <w:r>
        <w:rPr>
          <w:rFonts w:hint="eastAsia"/>
          <w:color w:val="auto"/>
          <w:highlight w:val="none"/>
        </w:rPr>
        <w:t>%，约占元谋风景名胜区总面积（15859.38hm²)的</w:t>
      </w:r>
      <w:r>
        <w:rPr>
          <w:rFonts w:hint="eastAsia"/>
          <w:color w:val="auto"/>
          <w:highlight w:val="none"/>
          <w:lang w:val="en-US" w:eastAsia="zh-CN"/>
        </w:rPr>
        <w:t>0.009</w:t>
      </w:r>
      <w:r>
        <w:rPr>
          <w:rFonts w:hint="eastAsia"/>
          <w:color w:val="auto"/>
          <w:highlight w:val="none"/>
        </w:rPr>
        <w:t>%。工程建设不会造成风景区内自然景观的范围分布、物种数量变化，仅造成金沙江</w:t>
      </w:r>
      <w:r>
        <w:rPr>
          <w:rFonts w:hint="eastAsia"/>
          <w:color w:val="auto"/>
          <w:highlight w:val="none"/>
          <w:lang w:eastAsia="zh-CN"/>
        </w:rPr>
        <w:t>景区一般影响区边缘山谷地区</w:t>
      </w:r>
      <w:r>
        <w:rPr>
          <w:rFonts w:hint="eastAsia"/>
          <w:color w:val="auto"/>
          <w:highlight w:val="none"/>
        </w:rPr>
        <w:t>的视觉影响。因此，项目建设对自然景观稳定性影响轻微。</w:t>
      </w:r>
    </w:p>
    <w:p>
      <w:pPr>
        <w:bidi w:val="0"/>
        <w:rPr>
          <w:rFonts w:hint="eastAsia"/>
          <w:color w:val="auto"/>
          <w:highlight w:val="none"/>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w:t>
      </w:r>
      <w:r>
        <w:rPr>
          <w:rFonts w:hint="eastAsia"/>
          <w:color w:val="auto"/>
          <w:highlight w:val="none"/>
        </w:rPr>
        <w:t>优美性影响分析</w:t>
      </w:r>
    </w:p>
    <w:p>
      <w:pPr>
        <w:bidi w:val="0"/>
        <w:ind w:firstLine="480" w:firstLineChars="200"/>
        <w:rPr>
          <w:rFonts w:hint="eastAsia"/>
          <w:color w:val="auto"/>
          <w:highlight w:val="none"/>
        </w:rPr>
      </w:pPr>
      <w:r>
        <w:rPr>
          <w:rFonts w:hint="eastAsia"/>
          <w:color w:val="auto"/>
          <w:highlight w:val="none"/>
        </w:rPr>
        <w:t>旨在分析项目建设是否造成原有景观及其环境所具有的愉悦性、宜人性等美学特征及体验感受出现变化，以及变化的性质、程度和导致的效应。工程影响区为</w:t>
      </w:r>
      <w:r>
        <w:rPr>
          <w:rFonts w:hint="eastAsia"/>
          <w:color w:val="auto"/>
          <w:highlight w:val="none"/>
          <w:lang w:eastAsia="zh-CN"/>
        </w:rPr>
        <w:t>金沙江景区一般影响区边缘山谷区</w:t>
      </w:r>
      <w:r>
        <w:rPr>
          <w:rFonts w:hint="eastAsia"/>
          <w:color w:val="auto"/>
          <w:highlight w:val="none"/>
        </w:rPr>
        <w:t>，从大尺度上看，对景点的分割、视觉廊道影响</w:t>
      </w:r>
      <w:r>
        <w:rPr>
          <w:rFonts w:hint="eastAsia"/>
          <w:color w:val="auto"/>
          <w:highlight w:val="none"/>
          <w:lang w:eastAsia="zh-CN"/>
        </w:rPr>
        <w:t>轻微</w:t>
      </w:r>
      <w:r>
        <w:rPr>
          <w:rFonts w:hint="eastAsia"/>
          <w:color w:val="auto"/>
          <w:highlight w:val="none"/>
        </w:rPr>
        <w:t>。</w:t>
      </w:r>
    </w:p>
    <w:p>
      <w:pPr>
        <w:bidi w:val="0"/>
        <w:rPr>
          <w:rFonts w:hint="eastAsia"/>
          <w:color w:val="auto"/>
          <w:highlight w:val="none"/>
        </w:rPr>
      </w:pPr>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w:t>
      </w:r>
      <w:r>
        <w:rPr>
          <w:rFonts w:hint="eastAsia"/>
          <w:color w:val="auto"/>
          <w:highlight w:val="none"/>
        </w:rPr>
        <w:t>敏感度影响分析</w:t>
      </w:r>
    </w:p>
    <w:p>
      <w:pPr>
        <w:bidi w:val="0"/>
        <w:ind w:firstLine="480" w:firstLineChars="200"/>
        <w:jc w:val="left"/>
        <w:rPr>
          <w:rFonts w:hint="eastAsia"/>
          <w:color w:val="auto"/>
          <w:highlight w:val="none"/>
        </w:rPr>
      </w:pPr>
      <w:r>
        <w:rPr>
          <w:rFonts w:hint="eastAsia"/>
          <w:color w:val="auto"/>
          <w:highlight w:val="none"/>
        </w:rPr>
        <w:t>旨在分析项目建设是否造成指示景观环境灵敏度的物种（指示种、伞盖种、关键种）及其生境，或特殊意义地区是否出现变化，及变化的性质、程度和所导致的效应。通过对沿线植被情况的收资调查和实地踏勘，工程</w:t>
      </w:r>
      <w:r>
        <w:rPr>
          <w:rFonts w:hint="eastAsia"/>
          <w:color w:val="auto"/>
          <w:highlight w:val="none"/>
          <w:lang w:val="en-US" w:eastAsia="zh-CN"/>
        </w:rPr>
        <w:t>涉及风景名胜区的区域</w:t>
      </w:r>
      <w:r>
        <w:rPr>
          <w:rFonts w:hint="eastAsia"/>
          <w:color w:val="auto"/>
          <w:highlight w:val="none"/>
        </w:rPr>
        <w:t>生物多样性较低，不涉及重点保护动植物。因此，本项目的建设不会对风景名胜区内景观环境灵敏度的物种及其生境产生影响，对区域指示环境特征的自然景观影响变化轻微。</w:t>
      </w:r>
    </w:p>
    <w:p>
      <w:pPr>
        <w:bidi w:val="0"/>
        <w:rPr>
          <w:rFonts w:hint="eastAsia"/>
          <w:color w:val="auto"/>
          <w:highlight w:val="none"/>
        </w:rPr>
      </w:pPr>
      <w:r>
        <w:rPr>
          <w:rFonts w:hint="eastAsia"/>
          <w:color w:val="auto"/>
          <w:highlight w:val="none"/>
          <w:lang w:eastAsia="zh-CN"/>
        </w:rPr>
        <w:t>（</w:t>
      </w:r>
      <w:r>
        <w:rPr>
          <w:rFonts w:hint="eastAsia"/>
          <w:color w:val="auto"/>
          <w:highlight w:val="none"/>
          <w:lang w:val="en-US" w:eastAsia="zh-CN"/>
        </w:rPr>
        <w:t>6</w:t>
      </w:r>
      <w:r>
        <w:rPr>
          <w:rFonts w:hint="eastAsia"/>
          <w:color w:val="auto"/>
          <w:highlight w:val="none"/>
          <w:lang w:eastAsia="zh-CN"/>
        </w:rPr>
        <w:t>）</w:t>
      </w:r>
      <w:r>
        <w:rPr>
          <w:rFonts w:hint="eastAsia"/>
          <w:color w:val="auto"/>
          <w:highlight w:val="none"/>
        </w:rPr>
        <w:t>变化率分析</w:t>
      </w:r>
    </w:p>
    <w:p>
      <w:pPr>
        <w:bidi w:val="0"/>
        <w:ind w:firstLine="480" w:firstLineChars="200"/>
        <w:rPr>
          <w:color w:val="auto"/>
          <w:highlight w:val="none"/>
        </w:rPr>
      </w:pPr>
      <w:r>
        <w:rPr>
          <w:rFonts w:hint="eastAsia"/>
          <w:color w:val="auto"/>
          <w:highlight w:val="none"/>
        </w:rPr>
        <w:t>重在分析项目建设是否会造成风景区内不同类型的景观单元的数量密度和类型结构发生变化。工程为点状基础设施项目，不会引起自然景观单元数量</w:t>
      </w:r>
      <w:r>
        <w:rPr>
          <w:rFonts w:hint="eastAsia"/>
          <w:color w:val="auto"/>
          <w:highlight w:val="none"/>
          <w:lang w:eastAsia="zh-CN"/>
        </w:rPr>
        <w:t>密度</w:t>
      </w:r>
      <w:r>
        <w:rPr>
          <w:color w:val="auto"/>
          <w:highlight w:val="none"/>
        </w:rPr>
        <w:t>和类型的较大变化，影响轻微。</w:t>
      </w:r>
    </w:p>
    <w:p>
      <w:pPr>
        <w:bidi w:val="0"/>
        <w:rPr>
          <w:rFonts w:hint="eastAsia"/>
          <w:color w:val="auto"/>
          <w:highlight w:val="none"/>
        </w:rPr>
      </w:pPr>
      <w:r>
        <w:rPr>
          <w:rFonts w:hint="eastAsia"/>
          <w:color w:val="auto"/>
          <w:highlight w:val="none"/>
          <w:lang w:eastAsia="zh-CN"/>
        </w:rPr>
        <w:t>（</w:t>
      </w:r>
      <w:r>
        <w:rPr>
          <w:rFonts w:hint="eastAsia"/>
          <w:color w:val="auto"/>
          <w:highlight w:val="none"/>
          <w:lang w:val="en-US" w:eastAsia="zh-CN"/>
        </w:rPr>
        <w:t>7</w:t>
      </w:r>
      <w:r>
        <w:rPr>
          <w:rFonts w:hint="eastAsia"/>
          <w:color w:val="auto"/>
          <w:highlight w:val="none"/>
          <w:lang w:eastAsia="zh-CN"/>
        </w:rPr>
        <w:t>）</w:t>
      </w:r>
      <w:r>
        <w:rPr>
          <w:rFonts w:hint="eastAsia"/>
          <w:color w:val="auto"/>
          <w:highlight w:val="none"/>
        </w:rPr>
        <w:t>生态服务价值影响分析</w:t>
      </w:r>
    </w:p>
    <w:p>
      <w:pPr>
        <w:bidi w:val="0"/>
        <w:ind w:firstLine="480" w:firstLineChars="200"/>
        <w:rPr>
          <w:rFonts w:hint="eastAsia"/>
          <w:color w:val="auto"/>
          <w:highlight w:val="none"/>
        </w:rPr>
      </w:pPr>
      <w:r>
        <w:rPr>
          <w:rFonts w:hint="eastAsia"/>
          <w:color w:val="auto"/>
          <w:highlight w:val="none"/>
        </w:rPr>
        <w:t>旨在分析项目建设是否造成风景区内景观资源的生产力状况及保护大气与水环境、土壤保持、净化空气、动植物生境保护等多方面生态服务功能所产生的变化。项目在施工过程中产生的废水随意排放、工程运输、工程开挖等可能会对水体环境、大气环境有一些影响。但项目位于风景名胜区内工程量不大、工程施工工艺成熟、工期较短，不会对风景名胜区内的生态服务价值造成严重的、不可逆转的改变，属于轻微影响。</w:t>
      </w:r>
    </w:p>
    <w:p>
      <w:pPr>
        <w:pStyle w:val="40"/>
        <w:bidi w:val="0"/>
        <w:rPr>
          <w:rFonts w:hint="eastAsia"/>
          <w:color w:val="auto"/>
          <w:highlight w:val="none"/>
        </w:rPr>
      </w:pPr>
      <w:r>
        <w:rPr>
          <w:color w:val="auto"/>
          <w:highlight w:val="none"/>
        </w:rPr>
        <w:t>表</w:t>
      </w:r>
      <w:r>
        <w:rPr>
          <w:rFonts w:hint="eastAsia"/>
          <w:color w:val="auto"/>
          <w:highlight w:val="none"/>
          <w:lang w:val="en-US" w:eastAsia="zh-CN"/>
        </w:rPr>
        <w:t>5.3.1-5</w:t>
      </w:r>
      <w:r>
        <w:rPr>
          <w:color w:val="auto"/>
          <w:highlight w:val="none"/>
        </w:rPr>
        <w:t xml:space="preserve"> </w:t>
      </w:r>
      <w:r>
        <w:rPr>
          <w:rFonts w:hint="eastAsia"/>
          <w:color w:val="auto"/>
          <w:highlight w:val="none"/>
          <w:lang w:val="en-US" w:eastAsia="zh-CN"/>
        </w:rPr>
        <w:t xml:space="preserve"> </w:t>
      </w:r>
      <w:r>
        <w:rPr>
          <w:color w:val="auto"/>
          <w:highlight w:val="none"/>
        </w:rPr>
        <w:t>工程建设对景区自然景观影响评价指标表</w:t>
      </w:r>
    </w:p>
    <w:tbl>
      <w:tblPr>
        <w:tblStyle w:val="5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78"/>
        <w:gridCol w:w="1555"/>
        <w:gridCol w:w="2484"/>
        <w:gridCol w:w="692"/>
        <w:gridCol w:w="689"/>
        <w:gridCol w:w="828"/>
        <w:gridCol w:w="8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8"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评价指标</w:t>
            </w:r>
          </w:p>
        </w:tc>
        <w:tc>
          <w:tcPr>
            <w:tcW w:w="935"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特征指标现状</w:t>
            </w:r>
          </w:p>
        </w:tc>
        <w:tc>
          <w:tcPr>
            <w:tcW w:w="1493"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影响分析</w:t>
            </w:r>
          </w:p>
        </w:tc>
        <w:tc>
          <w:tcPr>
            <w:tcW w:w="416"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评价得分</w:t>
            </w:r>
          </w:p>
        </w:tc>
        <w:tc>
          <w:tcPr>
            <w:tcW w:w="41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指标权重</w:t>
            </w:r>
          </w:p>
        </w:tc>
        <w:tc>
          <w:tcPr>
            <w:tcW w:w="498"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加权重</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评价得</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分</w:t>
            </w:r>
          </w:p>
        </w:tc>
        <w:tc>
          <w:tcPr>
            <w:tcW w:w="533"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综合评价得分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8"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相融特征（L1）</w:t>
            </w:r>
          </w:p>
        </w:tc>
        <w:tc>
          <w:tcPr>
            <w:tcW w:w="935"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新增景观与原有整体景观相融程度，或与周边环境协调性的保持程度</w:t>
            </w:r>
          </w:p>
        </w:tc>
        <w:tc>
          <w:tcPr>
            <w:tcW w:w="1493"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both"/>
              <w:textAlignment w:val="baseline"/>
              <w:rPr>
                <w:color w:val="auto"/>
                <w:highlight w:val="none"/>
              </w:rPr>
            </w:pPr>
            <w:r>
              <w:rPr>
                <w:rFonts w:hint="eastAsia"/>
                <w:color w:val="auto"/>
                <w:highlight w:val="none"/>
              </w:rPr>
              <w:t>工程影响区位于金沙江北岸的金沙江景区一般影响区边缘山谷区，区内侵蚀作用强烈，谷坡陡峭，整体上呈现为属中高山深切地形，河谷侵蚀地貌。工程视觉影响区集中在高位水池等永久占地，经生态修复、景观绿化等措施，工程对原有景观的影响为轻微影响。</w:t>
            </w:r>
          </w:p>
        </w:tc>
        <w:tc>
          <w:tcPr>
            <w:tcW w:w="416"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rFonts w:hint="eastAsia" w:eastAsia="宋"/>
                <w:color w:val="auto"/>
                <w:highlight w:val="none"/>
                <w:lang w:eastAsia="zh-CN"/>
              </w:rPr>
            </w:pPr>
            <w:r>
              <w:rPr>
                <w:rFonts w:hint="eastAsia"/>
                <w:color w:val="auto"/>
                <w:highlight w:val="none"/>
                <w:lang w:val="en-US" w:eastAsia="zh-CN"/>
              </w:rPr>
              <w:t>2</w:t>
            </w:r>
          </w:p>
        </w:tc>
        <w:tc>
          <w:tcPr>
            <w:tcW w:w="41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0.20</w:t>
            </w:r>
          </w:p>
        </w:tc>
        <w:tc>
          <w:tcPr>
            <w:tcW w:w="498"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0.</w:t>
            </w:r>
            <w:r>
              <w:rPr>
                <w:rFonts w:hint="eastAsia"/>
                <w:color w:val="auto"/>
                <w:highlight w:val="none"/>
                <w:lang w:val="en-US" w:eastAsia="zh-CN"/>
              </w:rPr>
              <w:t>4</w:t>
            </w:r>
            <w:r>
              <w:rPr>
                <w:color w:val="auto"/>
                <w:highlight w:val="none"/>
              </w:rPr>
              <w:t>0</w:t>
            </w:r>
          </w:p>
        </w:tc>
        <w:tc>
          <w:tcPr>
            <w:tcW w:w="533" w:type="pct"/>
            <w:vMerge w:val="restar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rFonts w:hint="default" w:eastAsia="宋"/>
                <w:color w:val="auto"/>
                <w:highlight w:val="none"/>
                <w:lang w:val="en-US" w:eastAsia="zh-CN"/>
              </w:rPr>
            </w:pPr>
            <w:r>
              <w:rPr>
                <w:rFonts w:hint="eastAsia"/>
                <w:color w:val="auto"/>
                <w:highlight w:val="none"/>
                <w:lang w:val="en-US" w:eastAsia="zh-CN"/>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8"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稳定特征（L2）</w:t>
            </w:r>
          </w:p>
        </w:tc>
        <w:tc>
          <w:tcPr>
            <w:tcW w:w="935"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是否造成自然景观的分布范围、面积、物种数及利用价值等产生变化，以及变化的性质、程度和导致的效应。</w:t>
            </w:r>
          </w:p>
        </w:tc>
        <w:tc>
          <w:tcPr>
            <w:tcW w:w="1493"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both"/>
              <w:textAlignment w:val="baseline"/>
              <w:rPr>
                <w:color w:val="auto"/>
                <w:highlight w:val="none"/>
              </w:rPr>
            </w:pPr>
            <w:r>
              <w:rPr>
                <w:rFonts w:hint="default" w:ascii="Times New Roman" w:hAnsi="Times New Roman" w:cs="Times New Roman"/>
                <w:color w:val="auto"/>
                <w:highlight w:val="none"/>
              </w:rPr>
              <w:t>工程在风景区新增建设用地</w:t>
            </w:r>
            <w:r>
              <w:rPr>
                <w:rFonts w:hint="eastAsia" w:cs="Times New Roman"/>
                <w:color w:val="auto"/>
                <w:highlight w:val="none"/>
                <w:lang w:val="en-US" w:eastAsia="zh-CN"/>
              </w:rPr>
              <w:t>1.381</w:t>
            </w:r>
            <w:r>
              <w:rPr>
                <w:rFonts w:hint="default" w:ascii="Times New Roman" w:hAnsi="Times New Roman" w:cs="Times New Roman"/>
                <w:color w:val="auto"/>
                <w:highlight w:val="none"/>
              </w:rPr>
              <w:t>hm²,约占金沙江景区面积（12605.26hm²)的0.</w:t>
            </w:r>
            <w:r>
              <w:rPr>
                <w:rFonts w:hint="eastAsia" w:cs="Times New Roman"/>
                <w:color w:val="auto"/>
                <w:highlight w:val="none"/>
                <w:lang w:val="en-US" w:eastAsia="zh-CN"/>
              </w:rPr>
              <w:t>01</w:t>
            </w:r>
            <w:r>
              <w:rPr>
                <w:rFonts w:hint="default" w:ascii="Times New Roman" w:hAnsi="Times New Roman" w:cs="Times New Roman"/>
                <w:color w:val="auto"/>
                <w:highlight w:val="none"/>
              </w:rPr>
              <w:t>%，约占元谋风景名胜区总面积（15859.38hm²)的0.</w:t>
            </w:r>
            <w:r>
              <w:rPr>
                <w:rFonts w:hint="eastAsia" w:cs="Times New Roman"/>
                <w:color w:val="auto"/>
                <w:highlight w:val="none"/>
                <w:lang w:val="en-US" w:eastAsia="zh-CN"/>
              </w:rPr>
              <w:t>009</w:t>
            </w:r>
            <w:r>
              <w:rPr>
                <w:rFonts w:hint="default" w:ascii="Times New Roman" w:hAnsi="Times New Roman" w:cs="Times New Roman"/>
                <w:color w:val="auto"/>
                <w:highlight w:val="none"/>
              </w:rPr>
              <w:t>%。工程建设不会造成风景区内自然景观的范围分布、物种数量变化，仅造成金沙江景区一般影响区边缘山谷地区的视觉影响。因此，项目建设对自然景观稳定性影响轻微。</w:t>
            </w:r>
          </w:p>
        </w:tc>
        <w:tc>
          <w:tcPr>
            <w:tcW w:w="416"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2</w:t>
            </w:r>
          </w:p>
        </w:tc>
        <w:tc>
          <w:tcPr>
            <w:tcW w:w="41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0.20</w:t>
            </w:r>
          </w:p>
        </w:tc>
        <w:tc>
          <w:tcPr>
            <w:tcW w:w="498"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0.</w:t>
            </w:r>
            <w:r>
              <w:rPr>
                <w:rFonts w:hint="eastAsia"/>
                <w:color w:val="auto"/>
                <w:highlight w:val="none"/>
                <w:lang w:val="en-US" w:eastAsia="zh-CN"/>
              </w:rPr>
              <w:t>4</w:t>
            </w:r>
            <w:r>
              <w:rPr>
                <w:color w:val="auto"/>
                <w:highlight w:val="none"/>
              </w:rPr>
              <w:t>0</w:t>
            </w:r>
          </w:p>
        </w:tc>
        <w:tc>
          <w:tcPr>
            <w:tcW w:w="533"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8"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优美特征（L3）</w:t>
            </w:r>
          </w:p>
        </w:tc>
        <w:tc>
          <w:tcPr>
            <w:tcW w:w="935"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是否造成原有景观及其环境所具有的愉悦性、宜人性等美学特征及体验感受出现变化，以及变化的性质、程度和导致的效应。</w:t>
            </w:r>
          </w:p>
        </w:tc>
        <w:tc>
          <w:tcPr>
            <w:tcW w:w="1493"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rFonts w:hint="eastAsia"/>
                <w:color w:val="auto"/>
                <w:highlight w:val="none"/>
              </w:rPr>
              <w:t>工程影响区为金沙江景区一般影响区边缘山谷区，从大尺度上看，对景点的分割、视觉廊道影响轻微。</w:t>
            </w:r>
          </w:p>
        </w:tc>
        <w:tc>
          <w:tcPr>
            <w:tcW w:w="416"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rFonts w:hint="eastAsia" w:eastAsia="宋"/>
                <w:color w:val="auto"/>
                <w:highlight w:val="none"/>
                <w:lang w:eastAsia="zh-CN"/>
              </w:rPr>
            </w:pPr>
            <w:r>
              <w:rPr>
                <w:rFonts w:hint="eastAsia"/>
                <w:color w:val="auto"/>
                <w:highlight w:val="none"/>
                <w:lang w:val="en-US" w:eastAsia="zh-CN"/>
              </w:rPr>
              <w:t>2</w:t>
            </w:r>
          </w:p>
        </w:tc>
        <w:tc>
          <w:tcPr>
            <w:tcW w:w="41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0.15</w:t>
            </w:r>
          </w:p>
        </w:tc>
        <w:tc>
          <w:tcPr>
            <w:tcW w:w="498"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rFonts w:hint="default" w:eastAsia="宋"/>
                <w:color w:val="auto"/>
                <w:highlight w:val="none"/>
                <w:lang w:val="en-US" w:eastAsia="zh-CN"/>
              </w:rPr>
            </w:pPr>
            <w:r>
              <w:rPr>
                <w:rFonts w:hint="eastAsia"/>
                <w:color w:val="auto"/>
                <w:highlight w:val="none"/>
                <w:lang w:val="en-US" w:eastAsia="zh-CN"/>
              </w:rPr>
              <w:t>0.30</w:t>
            </w:r>
          </w:p>
        </w:tc>
        <w:tc>
          <w:tcPr>
            <w:tcW w:w="533"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8"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敏感特征（L4）</w:t>
            </w:r>
          </w:p>
        </w:tc>
        <w:tc>
          <w:tcPr>
            <w:tcW w:w="935"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旨在分析项目建设是否造成指示景观环境灵敏度的物种及其境，或特殊意义地区是否出现变化，及变化的性质、程度和所导致的效应。</w:t>
            </w:r>
          </w:p>
        </w:tc>
        <w:tc>
          <w:tcPr>
            <w:tcW w:w="1493"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工程建设区不涉及敏感度</w:t>
            </w:r>
          </w:p>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较高的物种，影响变化轻微。</w:t>
            </w:r>
          </w:p>
        </w:tc>
        <w:tc>
          <w:tcPr>
            <w:tcW w:w="416"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rFonts w:hint="eastAsia" w:eastAsia="宋"/>
                <w:color w:val="auto"/>
                <w:highlight w:val="none"/>
                <w:lang w:eastAsia="zh-CN"/>
              </w:rPr>
            </w:pPr>
            <w:r>
              <w:rPr>
                <w:rFonts w:hint="eastAsia"/>
                <w:color w:val="auto"/>
                <w:highlight w:val="none"/>
                <w:lang w:val="en-US" w:eastAsia="zh-CN"/>
              </w:rPr>
              <w:t>2</w:t>
            </w:r>
          </w:p>
        </w:tc>
        <w:tc>
          <w:tcPr>
            <w:tcW w:w="41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0.10</w:t>
            </w:r>
          </w:p>
        </w:tc>
        <w:tc>
          <w:tcPr>
            <w:tcW w:w="498"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0.</w:t>
            </w:r>
            <w:r>
              <w:rPr>
                <w:rFonts w:hint="eastAsia"/>
                <w:color w:val="auto"/>
                <w:highlight w:val="none"/>
                <w:lang w:val="en-US" w:eastAsia="zh-CN"/>
              </w:rPr>
              <w:t>2</w:t>
            </w:r>
            <w:r>
              <w:rPr>
                <w:color w:val="auto"/>
                <w:highlight w:val="none"/>
              </w:rPr>
              <w:t>0</w:t>
            </w:r>
          </w:p>
        </w:tc>
        <w:tc>
          <w:tcPr>
            <w:tcW w:w="533"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8"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变化特征（L5）</w:t>
            </w:r>
          </w:p>
        </w:tc>
        <w:tc>
          <w:tcPr>
            <w:tcW w:w="935"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项目区内不同类型的景观单元的数量密度和类型结构的变化。</w:t>
            </w:r>
          </w:p>
        </w:tc>
        <w:tc>
          <w:tcPr>
            <w:tcW w:w="1493"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rFonts w:hint="eastAsia"/>
                <w:color w:val="auto"/>
                <w:highlight w:val="none"/>
              </w:rPr>
              <w:t>工程为点状基础设施项目，不会引起自然景观单元数量密度和类型的较大变化，影响轻微。</w:t>
            </w:r>
          </w:p>
        </w:tc>
        <w:tc>
          <w:tcPr>
            <w:tcW w:w="416"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2</w:t>
            </w:r>
          </w:p>
        </w:tc>
        <w:tc>
          <w:tcPr>
            <w:tcW w:w="41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0.15</w:t>
            </w:r>
          </w:p>
        </w:tc>
        <w:tc>
          <w:tcPr>
            <w:tcW w:w="498"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0.30</w:t>
            </w:r>
          </w:p>
        </w:tc>
        <w:tc>
          <w:tcPr>
            <w:tcW w:w="533"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708"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baseline"/>
              <w:rPr>
                <w:color w:val="auto"/>
                <w:highlight w:val="none"/>
              </w:rPr>
            </w:pPr>
            <w:r>
              <w:rPr>
                <w:color w:val="auto"/>
                <w:highlight w:val="none"/>
              </w:rPr>
              <w:t>生态服务特征（L6）</w:t>
            </w:r>
          </w:p>
        </w:tc>
        <w:tc>
          <w:tcPr>
            <w:tcW w:w="935"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主要反映景观资源的生产力状况及保护大气与水环境、土壤保持、净化空气、动植物生境保护等变化</w:t>
            </w:r>
          </w:p>
        </w:tc>
        <w:tc>
          <w:tcPr>
            <w:tcW w:w="1493"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工程建设对环境影响轻微。</w:t>
            </w:r>
          </w:p>
        </w:tc>
        <w:tc>
          <w:tcPr>
            <w:tcW w:w="416"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1</w:t>
            </w:r>
          </w:p>
        </w:tc>
        <w:tc>
          <w:tcPr>
            <w:tcW w:w="414"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0.20</w:t>
            </w:r>
          </w:p>
        </w:tc>
        <w:tc>
          <w:tcPr>
            <w:tcW w:w="498"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r>
              <w:rPr>
                <w:color w:val="auto"/>
                <w:highlight w:val="none"/>
              </w:rPr>
              <w:t>0.20</w:t>
            </w:r>
          </w:p>
        </w:tc>
        <w:tc>
          <w:tcPr>
            <w:tcW w:w="533" w:type="pct"/>
            <w:vMerge w:val="continue"/>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baseline"/>
              <w:rPr>
                <w:color w:val="auto"/>
                <w:highlight w:val="none"/>
              </w:rPr>
            </w:pPr>
          </w:p>
        </w:tc>
      </w:tr>
    </w:tbl>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通过上述项目建设对风景区内自然景观的影响评价得出，本项目对自然景观影响评分为</w:t>
      </w:r>
      <w:r>
        <w:rPr>
          <w:rFonts w:hint="default" w:ascii="Times New Roman" w:hAnsi="Times New Roman" w:cs="Times New Roman"/>
          <w:color w:val="auto"/>
          <w:highlight w:val="none"/>
          <w:lang w:val="en-US" w:eastAsia="zh-CN"/>
        </w:rPr>
        <w:t>1.80</w:t>
      </w:r>
      <w:r>
        <w:rPr>
          <w:rFonts w:hint="default" w:ascii="Times New Roman" w:hAnsi="Times New Roman" w:cs="Times New Roman"/>
          <w:color w:val="auto"/>
          <w:highlight w:val="none"/>
        </w:rPr>
        <w:t>，总体评价结果是</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轻微影响</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pPr>
        <w:keepNext w:val="0"/>
        <w:keepLines w:val="0"/>
        <w:pageBreakBefore w:val="0"/>
        <w:widowControl w:val="0"/>
        <w:numPr>
          <w:ilvl w:val="3"/>
          <w:numId w:val="0"/>
        </w:numPr>
        <w:tabs>
          <w:tab w:val="left" w:pos="0"/>
          <w:tab w:val="left" w:pos="283"/>
        </w:tabs>
        <w:kinsoku/>
        <w:wordWrap/>
        <w:overflowPunct/>
        <w:topLinePunct w:val="0"/>
        <w:autoSpaceDE/>
        <w:autoSpaceDN/>
        <w:bidi w:val="0"/>
        <w:adjustRightInd/>
        <w:snapToGrid w:val="0"/>
        <w:ind w:left="0" w:leftChars="0" w:firstLine="482" w:firstLineChars="200"/>
        <w:textAlignment w:val="auto"/>
        <w:outlineLvl w:val="9"/>
        <w:rPr>
          <w:rFonts w:hint="eastAsia"/>
          <w:b/>
          <w:bCs/>
          <w:color w:val="auto"/>
          <w:highlight w:val="none"/>
        </w:rPr>
      </w:pPr>
      <w:r>
        <w:rPr>
          <w:rFonts w:hint="eastAsia"/>
          <w:b/>
          <w:bCs/>
          <w:color w:val="auto"/>
          <w:highlight w:val="none"/>
          <w:lang w:val="en-US" w:eastAsia="zh-CN"/>
        </w:rPr>
        <w:t>4、工程</w:t>
      </w:r>
      <w:r>
        <w:rPr>
          <w:rFonts w:hint="eastAsia"/>
          <w:b/>
          <w:bCs/>
          <w:color w:val="auto"/>
          <w:highlight w:val="none"/>
        </w:rPr>
        <w:t>施工</w:t>
      </w:r>
      <w:r>
        <w:rPr>
          <w:rFonts w:hint="eastAsia"/>
          <w:b/>
          <w:bCs/>
          <w:color w:val="auto"/>
          <w:highlight w:val="none"/>
          <w:lang w:val="en-US" w:eastAsia="zh-CN"/>
        </w:rPr>
        <w:t>对</w:t>
      </w:r>
      <w:r>
        <w:rPr>
          <w:rFonts w:hint="eastAsia"/>
          <w:b/>
          <w:bCs/>
          <w:color w:val="auto"/>
          <w:highlight w:val="none"/>
        </w:rPr>
        <w:t>景观影响评价</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rFonts w:hint="eastAsia"/>
          <w:color w:val="auto"/>
          <w:highlight w:val="none"/>
        </w:rPr>
      </w:pPr>
      <w:r>
        <w:rPr>
          <w:rFonts w:hint="eastAsia"/>
          <w:color w:val="auto"/>
          <w:highlight w:val="none"/>
        </w:rPr>
        <w:t>（1）</w:t>
      </w:r>
      <w:r>
        <w:rPr>
          <w:rFonts w:hint="eastAsia"/>
          <w:color w:val="auto"/>
          <w:highlight w:val="none"/>
          <w:lang w:eastAsia="zh-CN"/>
        </w:rPr>
        <w:t>敷埋式管道</w:t>
      </w:r>
      <w:r>
        <w:rPr>
          <w:rFonts w:hint="eastAsia"/>
          <w:color w:val="auto"/>
          <w:highlight w:val="none"/>
        </w:rPr>
        <w:t>工程</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rFonts w:hint="eastAsia"/>
          <w:color w:val="auto"/>
          <w:highlight w:val="none"/>
        </w:rPr>
      </w:pPr>
      <w:r>
        <w:rPr>
          <w:rFonts w:hint="eastAsia"/>
          <w:color w:val="auto"/>
          <w:highlight w:val="none"/>
          <w:lang w:eastAsia="zh-CN"/>
        </w:rPr>
        <w:t>施工过程</w:t>
      </w:r>
      <w:r>
        <w:rPr>
          <w:rFonts w:hint="eastAsia"/>
          <w:color w:val="auto"/>
          <w:highlight w:val="none"/>
        </w:rPr>
        <w:t>将破坏用地范围内的部分地表植被，形成与施工场地周围环境不相融的裸地景观，从而对施工场地周围人群的视觉产生较大影响。同时，由于对地表植被的破坏和工程区土壤的扰动，在雨季松散裸露的坡面易形成水土流失，导致区域土壤侵蚀模数增大，对下游植被和水体产生影响，从而对区域景观环境质量产生影响。</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rFonts w:hint="eastAsia"/>
          <w:color w:val="auto"/>
          <w:highlight w:val="none"/>
        </w:rPr>
      </w:pPr>
      <w:r>
        <w:rPr>
          <w:rFonts w:hint="eastAsia"/>
          <w:color w:val="auto"/>
          <w:highlight w:val="none"/>
        </w:rPr>
        <w:t>根据环境现状调查可知，</w:t>
      </w:r>
      <w:r>
        <w:rPr>
          <w:rFonts w:hint="eastAsia"/>
          <w:color w:val="auto"/>
          <w:highlight w:val="none"/>
          <w:lang w:eastAsia="zh-CN"/>
        </w:rPr>
        <w:t>施工结束后</w:t>
      </w:r>
      <w:r>
        <w:rPr>
          <w:rFonts w:hint="eastAsia"/>
          <w:color w:val="auto"/>
          <w:highlight w:val="none"/>
        </w:rPr>
        <w:t>对于山林景观的不和谐因素将消失。</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color w:val="auto"/>
          <w:highlight w:val="none"/>
        </w:rPr>
      </w:pPr>
      <w:r>
        <w:rPr>
          <w:color w:val="auto"/>
          <w:highlight w:val="none"/>
        </w:rPr>
        <w:t>（2）</w:t>
      </w:r>
      <w:r>
        <w:rPr>
          <w:rFonts w:hint="eastAsia"/>
          <w:color w:val="auto"/>
          <w:highlight w:val="none"/>
          <w:lang w:eastAsia="zh-CN"/>
        </w:rPr>
        <w:t>施工过程</w:t>
      </w:r>
      <w:r>
        <w:rPr>
          <w:color w:val="auto"/>
          <w:highlight w:val="none"/>
        </w:rPr>
        <w:t>对景观环境的影响</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rFonts w:hint="eastAsia"/>
          <w:color w:val="auto"/>
          <w:highlight w:val="none"/>
          <w:lang w:eastAsia="zh-CN"/>
        </w:rPr>
      </w:pPr>
      <w:r>
        <w:rPr>
          <w:rFonts w:hint="eastAsia"/>
          <w:color w:val="auto"/>
          <w:highlight w:val="none"/>
          <w:lang w:eastAsia="zh-CN"/>
        </w:rPr>
        <w:t>本项目在金沙江景区内</w:t>
      </w:r>
      <w:r>
        <w:rPr>
          <w:color w:val="auto"/>
          <w:highlight w:val="none"/>
        </w:rPr>
        <w:t>施工</w:t>
      </w:r>
      <w:r>
        <w:rPr>
          <w:rFonts w:hint="eastAsia"/>
          <w:color w:val="auto"/>
          <w:highlight w:val="none"/>
          <w:lang w:eastAsia="zh-CN"/>
        </w:rPr>
        <w:t>依托现有的道路</w:t>
      </w:r>
      <w:r>
        <w:rPr>
          <w:color w:val="auto"/>
          <w:highlight w:val="none"/>
        </w:rPr>
        <w:t>。施工期易产生扬尘污染；辅助企业施工期间排放出的废水若不经处置而直接排放，易对水体形成污染，影响水体景观环境质量</w:t>
      </w:r>
      <w:r>
        <w:rPr>
          <w:rFonts w:hint="eastAsia"/>
          <w:color w:val="auto"/>
          <w:highlight w:val="none"/>
          <w:lang w:eastAsia="zh-CN"/>
        </w:rPr>
        <w:t>。</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color w:val="auto"/>
          <w:highlight w:val="none"/>
        </w:rPr>
      </w:pPr>
      <w:r>
        <w:rPr>
          <w:color w:val="auto"/>
          <w:highlight w:val="none"/>
        </w:rPr>
        <w:t>根据环境现状调查可知，</w:t>
      </w:r>
      <w:r>
        <w:rPr>
          <w:rFonts w:hint="eastAsia"/>
          <w:color w:val="auto"/>
          <w:highlight w:val="none"/>
          <w:lang w:eastAsia="zh-CN"/>
        </w:rPr>
        <w:t>现有道路</w:t>
      </w:r>
      <w:r>
        <w:rPr>
          <w:color w:val="auto"/>
          <w:highlight w:val="none"/>
        </w:rPr>
        <w:t>周边植被较为茂密，产生扬尘将会及时被植被所阻断，不会产生大范围逸散。施工期间排放出的废水均设置有沉淀池回用，</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color w:val="auto"/>
          <w:highlight w:val="none"/>
        </w:rPr>
      </w:pPr>
      <w:r>
        <w:rPr>
          <w:color w:val="auto"/>
          <w:highlight w:val="none"/>
        </w:rPr>
        <w:t>不外排。不会影响水体景观环境质量。</w:t>
      </w:r>
    </w:p>
    <w:p>
      <w:pPr>
        <w:keepNext w:val="0"/>
        <w:keepLines w:val="0"/>
        <w:pageBreakBefore w:val="0"/>
        <w:widowControl w:val="0"/>
        <w:numPr>
          <w:ilvl w:val="3"/>
          <w:numId w:val="0"/>
        </w:numPr>
        <w:tabs>
          <w:tab w:val="left" w:pos="0"/>
          <w:tab w:val="left" w:pos="283"/>
        </w:tabs>
        <w:kinsoku/>
        <w:wordWrap/>
        <w:overflowPunct/>
        <w:topLinePunct w:val="0"/>
        <w:autoSpaceDE/>
        <w:autoSpaceDN/>
        <w:bidi w:val="0"/>
        <w:adjustRightInd/>
        <w:snapToGrid w:val="0"/>
        <w:ind w:leftChars="0" w:firstLine="482" w:firstLineChars="200"/>
        <w:textAlignment w:val="auto"/>
        <w:outlineLvl w:val="9"/>
        <w:rPr>
          <w:rFonts w:hint="eastAsia"/>
          <w:b/>
          <w:bCs/>
          <w:color w:val="auto"/>
          <w:highlight w:val="none"/>
        </w:rPr>
      </w:pPr>
      <w:r>
        <w:rPr>
          <w:rFonts w:hint="eastAsia"/>
          <w:b/>
          <w:bCs/>
          <w:color w:val="auto"/>
          <w:highlight w:val="none"/>
          <w:lang w:val="en-US" w:eastAsia="zh-CN"/>
        </w:rPr>
        <w:t>5、工程运行对</w:t>
      </w:r>
      <w:r>
        <w:rPr>
          <w:rFonts w:hint="eastAsia"/>
          <w:b/>
          <w:bCs/>
          <w:color w:val="auto"/>
          <w:highlight w:val="none"/>
        </w:rPr>
        <w:t>景观影响评价</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rFonts w:hint="eastAsia" w:ascii="宋体" w:hAnsi="宋体" w:eastAsia="宋体" w:cs="宋体"/>
          <w:color w:val="auto"/>
          <w:spacing w:val="-2"/>
          <w:sz w:val="24"/>
          <w:szCs w:val="24"/>
          <w:highlight w:val="none"/>
          <w:lang w:eastAsia="zh-CN"/>
        </w:rPr>
      </w:pPr>
      <w:r>
        <w:rPr>
          <w:rFonts w:hint="eastAsia"/>
          <w:color w:val="auto"/>
          <w:highlight w:val="none"/>
        </w:rPr>
        <w:t>本项目</w:t>
      </w:r>
      <w:r>
        <w:rPr>
          <w:rFonts w:hint="eastAsia"/>
          <w:color w:val="auto"/>
          <w:highlight w:val="none"/>
          <w:lang w:eastAsia="zh-CN"/>
        </w:rPr>
        <w:t>输水</w:t>
      </w:r>
      <w:r>
        <w:rPr>
          <w:rFonts w:hint="eastAsia"/>
          <w:color w:val="auto"/>
          <w:highlight w:val="none"/>
        </w:rPr>
        <w:t>管均位于一般景区内，采用</w:t>
      </w:r>
      <w:r>
        <w:rPr>
          <w:rFonts w:hint="eastAsia"/>
          <w:color w:val="auto"/>
          <w:highlight w:val="none"/>
          <w:lang w:eastAsia="zh-CN"/>
        </w:rPr>
        <w:t>地埋方式</w:t>
      </w:r>
      <w:r>
        <w:rPr>
          <w:rFonts w:hint="eastAsia"/>
          <w:color w:val="auto"/>
          <w:highlight w:val="none"/>
        </w:rPr>
        <w:t>进行</w:t>
      </w:r>
      <w:r>
        <w:rPr>
          <w:rFonts w:hint="eastAsia"/>
          <w:color w:val="auto"/>
          <w:highlight w:val="none"/>
          <w:lang w:eastAsia="zh-CN"/>
        </w:rPr>
        <w:t>暗</w:t>
      </w:r>
      <w:r>
        <w:rPr>
          <w:rFonts w:hint="eastAsia"/>
          <w:color w:val="auto"/>
          <w:highlight w:val="none"/>
        </w:rPr>
        <w:t>敷。项目施工</w:t>
      </w:r>
      <w:r>
        <w:rPr>
          <w:rFonts w:hint="eastAsia"/>
          <w:color w:val="auto"/>
          <w:highlight w:val="none"/>
          <w:lang w:eastAsia="zh-CN"/>
        </w:rPr>
        <w:t>结束后</w:t>
      </w:r>
      <w:r>
        <w:rPr>
          <w:rFonts w:hint="eastAsia"/>
          <w:color w:val="auto"/>
          <w:highlight w:val="none"/>
        </w:rPr>
        <w:t>，后期在</w:t>
      </w:r>
      <w:r>
        <w:rPr>
          <w:rFonts w:hint="eastAsia"/>
          <w:color w:val="auto"/>
          <w:highlight w:val="none"/>
          <w:lang w:eastAsia="zh-CN"/>
        </w:rPr>
        <w:t>管道开挖区域</w:t>
      </w:r>
      <w:r>
        <w:rPr>
          <w:rFonts w:hint="eastAsia"/>
          <w:color w:val="auto"/>
          <w:highlight w:val="none"/>
        </w:rPr>
        <w:t>景观绿化，此举还可增加景区的绿化面积。对景观环境的影响是能接受的</w:t>
      </w:r>
      <w:r>
        <w:rPr>
          <w:rFonts w:hint="eastAsia"/>
          <w:color w:val="auto"/>
          <w:highlight w:val="none"/>
          <w:lang w:eastAsia="zh-CN"/>
        </w:rPr>
        <w:t>。</w:t>
      </w:r>
    </w:p>
    <w:p>
      <w:pPr>
        <w:pStyle w:val="4"/>
        <w:bidi w:val="0"/>
        <w:rPr>
          <w:rFonts w:hint="default"/>
          <w:lang w:val="en-US" w:eastAsia="zh-CN"/>
        </w:rPr>
      </w:pPr>
      <w:r>
        <w:rPr>
          <w:rFonts w:hint="eastAsia"/>
          <w:lang w:val="en-US" w:eastAsia="zh-CN"/>
        </w:rPr>
        <w:t xml:space="preserve"> </w:t>
      </w:r>
      <w:bookmarkStart w:id="675" w:name="_Toc11568"/>
      <w:bookmarkStart w:id="676" w:name="_Toc55"/>
      <w:bookmarkStart w:id="677" w:name="_Toc9619"/>
      <w:r>
        <w:rPr>
          <w:rFonts w:hint="eastAsia"/>
          <w:lang w:val="en-US" w:eastAsia="zh-CN"/>
        </w:rPr>
        <w:t>对元谋县“三区三线”的影响分析</w:t>
      </w:r>
    </w:p>
    <w:bookmarkEnd w:id="675"/>
    <w:bookmarkEnd w:id="676"/>
    <w:bookmarkEnd w:id="677"/>
    <w:p>
      <w:pPr>
        <w:pStyle w:val="5"/>
        <w:numPr>
          <w:ilvl w:val="3"/>
          <w:numId w:val="34"/>
        </w:numPr>
        <w:tabs>
          <w:tab w:val="clear" w:pos="0"/>
          <w:tab w:val="clear" w:pos="283"/>
        </w:tabs>
        <w:bidi w:val="0"/>
        <w:ind w:left="0"/>
        <w:rPr>
          <w:rFonts w:hint="default" w:ascii="Times New Roman" w:hAnsi="Times New Roman" w:cs="Times New Roman"/>
          <w:lang w:val="en-US" w:eastAsia="zh-CN"/>
        </w:rPr>
      </w:pPr>
      <w:r>
        <w:rPr>
          <w:rFonts w:hint="eastAsia" w:ascii="Times New Roman" w:hAnsi="Times New Roman" w:cs="Times New Roman"/>
          <w:lang w:val="en-US" w:eastAsia="zh-CN"/>
        </w:rPr>
        <w:t>项目与元谋县“三区三线”的位置关系</w:t>
      </w:r>
    </w:p>
    <w:p>
      <w:pPr>
        <w:rPr>
          <w:rFonts w:hint="eastAsia"/>
          <w:color w:val="0000FF"/>
          <w:lang w:val="en-US" w:eastAsia="zh-CN"/>
        </w:rPr>
      </w:pPr>
      <w:r>
        <w:rPr>
          <w:rFonts w:hint="eastAsia"/>
          <w:color w:val="0000FF"/>
          <w:lang w:val="en-US" w:eastAsia="zh-CN"/>
        </w:rPr>
        <w:t>本次评价根据实施方案设计的建设方案与元谋县“三区三线”进行了叠图，叠图结果如下图所示：</w:t>
      </w:r>
    </w:p>
    <w:p>
      <w:pPr>
        <w:spacing w:line="240" w:lineRule="auto"/>
        <w:jc w:val="center"/>
        <w:rPr>
          <w:rFonts w:hint="default"/>
          <w:color w:val="0000FF"/>
          <w:lang w:val="en-US" w:eastAsia="zh-CN"/>
        </w:rPr>
      </w:pPr>
      <w:r>
        <w:rPr>
          <w:rFonts w:hint="default"/>
          <w:color w:val="0000FF"/>
          <w:lang w:val="en-US" w:eastAsia="zh-CN"/>
        </w:rPr>
        <w:drawing>
          <wp:inline distT="0" distB="0" distL="114300" distR="114300">
            <wp:extent cx="6250940" cy="4413885"/>
            <wp:effectExtent l="0" t="0" r="5715" b="16510"/>
            <wp:docPr id="58" name="图片 58" descr="2024-04-30.z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024-04-30.zip"/>
                    <pic:cNvPicPr>
                      <a:picLocks noChangeAspect="1"/>
                    </pic:cNvPicPr>
                  </pic:nvPicPr>
                  <pic:blipFill>
                    <a:blip r:embed="rId107"/>
                    <a:stretch>
                      <a:fillRect/>
                    </a:stretch>
                  </pic:blipFill>
                  <pic:spPr>
                    <a:xfrm rot="16200000">
                      <a:off x="0" y="0"/>
                      <a:ext cx="6250940" cy="4413885"/>
                    </a:xfrm>
                    <a:prstGeom prst="rect">
                      <a:avLst/>
                    </a:prstGeom>
                  </pic:spPr>
                </pic:pic>
              </a:graphicData>
            </a:graphic>
          </wp:inline>
        </w:drawing>
      </w:r>
    </w:p>
    <w:p>
      <w:pPr>
        <w:pStyle w:val="28"/>
        <w:spacing w:line="240" w:lineRule="auto"/>
        <w:jc w:val="center"/>
        <w:rPr>
          <w:rFonts w:hint="default" w:ascii="Times New Roman" w:hAnsi="Times New Roman" w:cs="Times New Roman"/>
          <w:b/>
          <w:bCs/>
          <w:color w:val="0000FF"/>
          <w:sz w:val="24"/>
          <w:szCs w:val="24"/>
          <w:lang w:val="en-US" w:eastAsia="zh-CN"/>
        </w:rPr>
      </w:pPr>
      <w:r>
        <w:rPr>
          <w:rFonts w:hint="default" w:ascii="Times New Roman" w:hAnsi="Times New Roman" w:cs="Times New Roman"/>
          <w:b/>
          <w:bCs/>
          <w:color w:val="0000FF"/>
          <w:sz w:val="24"/>
          <w:szCs w:val="24"/>
          <w:lang w:val="en-US" w:eastAsia="zh-CN"/>
        </w:rPr>
        <w:t>图5.3.1-</w:t>
      </w:r>
      <w:r>
        <w:rPr>
          <w:rFonts w:hint="eastAsia" w:ascii="Times New Roman" w:hAnsi="Times New Roman" w:cs="Times New Roman"/>
          <w:b/>
          <w:bCs/>
          <w:color w:val="0000FF"/>
          <w:sz w:val="24"/>
          <w:szCs w:val="24"/>
          <w:lang w:val="en-US" w:eastAsia="zh-CN"/>
        </w:rPr>
        <w:t>3</w:t>
      </w:r>
      <w:r>
        <w:rPr>
          <w:rFonts w:hint="default" w:ascii="Times New Roman" w:hAnsi="Times New Roman" w:cs="Times New Roman"/>
          <w:b/>
          <w:bCs/>
          <w:color w:val="0000FF"/>
          <w:sz w:val="24"/>
          <w:szCs w:val="24"/>
          <w:lang w:val="en-US" w:eastAsia="zh-CN"/>
        </w:rPr>
        <w:t xml:space="preserve">  工程</w:t>
      </w:r>
      <w:r>
        <w:rPr>
          <w:rFonts w:hint="eastAsia" w:ascii="Times New Roman" w:hAnsi="Times New Roman" w:cs="Times New Roman"/>
          <w:b/>
          <w:bCs/>
          <w:color w:val="0000FF"/>
          <w:sz w:val="24"/>
          <w:szCs w:val="24"/>
          <w:lang w:val="en-US" w:eastAsia="zh-CN"/>
        </w:rPr>
        <w:t>设计方案与敏感区的位置关系图</w:t>
      </w:r>
    </w:p>
    <w:p>
      <w:pPr>
        <w:rPr>
          <w:rFonts w:hint="default"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根据上图，本项目部分工程建设涉及元谋县“三区三线”中的生态保护红线及永久基本农田，具体占用情况如下：</w:t>
      </w:r>
    </w:p>
    <w:p>
      <w:pPr>
        <w:numPr>
          <w:ilvl w:val="0"/>
          <w:numId w:val="0"/>
        </w:numPr>
        <w:tabs>
          <w:tab w:val="left" w:pos="420"/>
        </w:tabs>
        <w:bidi w:val="0"/>
        <w:ind w:left="480" w:leftChars="0"/>
        <w:rPr>
          <w:rFonts w:hint="default"/>
          <w:b/>
          <w:bCs/>
          <w:color w:val="0000FF"/>
          <w:lang w:val="en-US" w:eastAsia="zh-CN"/>
        </w:rPr>
      </w:pPr>
      <w:r>
        <w:rPr>
          <w:rFonts w:hint="eastAsia"/>
          <w:b/>
          <w:bCs/>
          <w:color w:val="0000FF"/>
          <w:lang w:val="en-US" w:eastAsia="zh-CN"/>
        </w:rPr>
        <w:t>1、生态红线占用情况</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outlineLvl w:val="9"/>
        <w:rPr>
          <w:rFonts w:hint="default"/>
          <w:color w:val="auto"/>
          <w:highlight w:val="none"/>
          <w:lang w:val="en-US" w:eastAsia="zh-CN"/>
        </w:rPr>
      </w:pPr>
      <w:r>
        <w:rPr>
          <w:rFonts w:hint="eastAsia"/>
          <w:color w:val="0000FF"/>
          <w:highlight w:val="none"/>
          <w:shd w:val="clear"/>
          <w:lang w:val="en-US" w:eastAsia="zh-CN"/>
        </w:rPr>
        <w:t>根据“元谋县姜驿中型灌区续建配套与节水改造项目三区三线查询情况说明”：元谋县姜驿中型灌区续建配套与节水改造项目输水管道涉及占用元谋县“三区三线”划定的生态保护红线。根据叠图，项目</w:t>
      </w:r>
      <w:r>
        <w:rPr>
          <w:rFonts w:hint="default"/>
          <w:color w:val="0000FF"/>
          <w:highlight w:val="none"/>
          <w:shd w:val="clear"/>
          <w:lang w:val="en-US" w:eastAsia="zh-CN"/>
        </w:rPr>
        <w:t>涉及</w:t>
      </w:r>
      <w:r>
        <w:rPr>
          <w:rFonts w:hint="eastAsia"/>
          <w:color w:val="0000FF"/>
          <w:highlight w:val="none"/>
          <w:shd w:val="clear"/>
          <w:lang w:val="en-US" w:eastAsia="zh-CN"/>
        </w:rPr>
        <w:t>生态保护红线的面积为</w:t>
      </w:r>
      <w:r>
        <w:rPr>
          <w:rFonts w:hint="default"/>
          <w:color w:val="0000FF"/>
          <w:highlight w:val="none"/>
          <w:shd w:val="clear"/>
          <w:lang w:val="en-US" w:eastAsia="zh-CN"/>
        </w:rPr>
        <w:t>28522.94m</w:t>
      </w:r>
      <w:r>
        <w:rPr>
          <w:rFonts w:hint="default"/>
          <w:color w:val="0000FF"/>
          <w:highlight w:val="none"/>
          <w:shd w:val="clear"/>
          <w:vertAlign w:val="superscript"/>
          <w:lang w:val="en-US" w:eastAsia="zh-CN"/>
        </w:rPr>
        <w:t>2</w:t>
      </w:r>
      <w:r>
        <w:rPr>
          <w:rFonts w:hint="eastAsia"/>
          <w:color w:val="0000FF"/>
          <w:highlight w:val="none"/>
          <w:shd w:val="clear"/>
          <w:vertAlign w:val="baseline"/>
          <w:lang w:val="en-US" w:eastAsia="zh-CN"/>
        </w:rPr>
        <w:t>，主要集中在北干管与金马分干管交叉处附近。涉及到的北干管、金马干管均进行埋管敷设，为临时占用。涉及的</w:t>
      </w:r>
      <w:r>
        <w:rPr>
          <w:rFonts w:hint="eastAsia"/>
          <w:color w:val="0000FF"/>
          <w:highlight w:val="none"/>
          <w:lang w:val="en-US" w:eastAsia="zh-CN"/>
        </w:rPr>
        <w:t>生态保护红线类型为</w:t>
      </w:r>
      <w:r>
        <w:rPr>
          <w:rFonts w:hint="default"/>
          <w:color w:val="0000FF"/>
          <w:highlight w:val="none"/>
          <w:lang w:val="en-US" w:eastAsia="zh-CN"/>
        </w:rPr>
        <w:t>金沙江干热河谷及山原水土保持生态保护红线</w:t>
      </w:r>
      <w:r>
        <w:rPr>
          <w:rFonts w:hint="eastAsia"/>
          <w:color w:val="0000FF"/>
          <w:highlight w:val="none"/>
          <w:lang w:val="en-US" w:eastAsia="zh-CN"/>
        </w:rPr>
        <w:t>，植被</w:t>
      </w:r>
      <w:r>
        <w:rPr>
          <w:rFonts w:hint="default"/>
          <w:color w:val="0000FF"/>
          <w:highlight w:val="none"/>
          <w:lang w:val="en-US" w:eastAsia="zh-CN"/>
        </w:rPr>
        <w:t>以干热河谷稀树灌木草丛、干热河谷灌丛等为代表。</w:t>
      </w:r>
    </w:p>
    <w:p>
      <w:pPr>
        <w:numPr>
          <w:ilvl w:val="0"/>
          <w:numId w:val="0"/>
        </w:numPr>
        <w:tabs>
          <w:tab w:val="left" w:pos="0"/>
          <w:tab w:val="left" w:pos="283"/>
          <w:tab w:val="left" w:pos="420"/>
        </w:tabs>
        <w:bidi w:val="0"/>
        <w:ind w:left="480" w:leftChars="0"/>
        <w:outlineLvl w:val="9"/>
        <w:rPr>
          <w:rFonts w:hint="default"/>
          <w:b/>
          <w:bCs/>
          <w:color w:val="0000FF"/>
          <w:highlight w:val="none"/>
          <w:lang w:val="en-US" w:eastAsia="zh-CN"/>
        </w:rPr>
      </w:pPr>
      <w:r>
        <w:rPr>
          <w:rFonts w:hint="eastAsia"/>
          <w:b/>
          <w:bCs/>
          <w:color w:val="0000FF"/>
          <w:highlight w:val="none"/>
          <w:lang w:val="en-US" w:eastAsia="zh-CN"/>
        </w:rPr>
        <w:t>2、基本农田的占用情况</w:t>
      </w:r>
    </w:p>
    <w:p>
      <w:pPr>
        <w:ind w:firstLine="480" w:firstLineChars="200"/>
        <w:rPr>
          <w:rFonts w:hint="eastAsia"/>
          <w:color w:val="0000FF"/>
          <w:highlight w:val="none"/>
          <w:lang w:eastAsia="zh-CN"/>
        </w:rPr>
      </w:pPr>
      <w:r>
        <w:rPr>
          <w:rFonts w:hint="eastAsia"/>
          <w:color w:val="0000FF"/>
          <w:highlight w:val="none"/>
          <w:shd w:val="clear"/>
          <w:lang w:val="en-US" w:eastAsia="zh-CN"/>
        </w:rPr>
        <w:t>根据“元谋县姜驿中型灌区续建配套与节水改造项目三区三线查询情况说明”：元谋县姜驿中型灌区续建配套与节水改造项目输水管道、临时施工便道涉及占用元谋县“三区三线”划定的永久基本农田。根据叠图，</w:t>
      </w:r>
      <w:r>
        <w:rPr>
          <w:rFonts w:hint="eastAsia"/>
          <w:color w:val="0000FF"/>
          <w:highlight w:val="none"/>
          <w:lang w:eastAsia="zh-CN"/>
        </w:rPr>
        <w:t>临时施工便道</w:t>
      </w:r>
      <w:r>
        <w:rPr>
          <w:rFonts w:hint="eastAsia"/>
          <w:color w:val="0000FF"/>
          <w:highlight w:val="none"/>
          <w:lang w:val="en-US" w:eastAsia="zh-CN"/>
        </w:rPr>
        <w:t>占用基本农田面积为3967.30m</w:t>
      </w:r>
      <w:r>
        <w:rPr>
          <w:rFonts w:hint="eastAsia"/>
          <w:color w:val="0000FF"/>
          <w:highlight w:val="none"/>
          <w:vertAlign w:val="superscript"/>
          <w:lang w:val="en-US" w:eastAsia="zh-CN"/>
        </w:rPr>
        <w:t>2</w:t>
      </w:r>
      <w:r>
        <w:rPr>
          <w:rFonts w:hint="eastAsia"/>
          <w:color w:val="0000FF"/>
          <w:highlight w:val="none"/>
          <w:lang w:val="en-US" w:eastAsia="zh-CN"/>
        </w:rPr>
        <w:t>，主要集中在。管道占用基本农田主要为北干管部分管段、白秧树1#、2#提水管道部分管段，占用长度约8.5km。均为埋管敷设，管道临时占用基本农田面积为25500m</w:t>
      </w:r>
      <w:r>
        <w:rPr>
          <w:rFonts w:hint="eastAsia"/>
          <w:color w:val="0000FF"/>
          <w:highlight w:val="none"/>
          <w:vertAlign w:val="superscript"/>
          <w:lang w:val="en-US" w:eastAsia="zh-CN"/>
        </w:rPr>
        <w:t>2</w:t>
      </w:r>
      <w:r>
        <w:rPr>
          <w:rFonts w:hint="eastAsia"/>
          <w:color w:val="0000FF"/>
          <w:highlight w:val="none"/>
          <w:vertAlign w:val="baseline"/>
          <w:lang w:val="en-US" w:eastAsia="zh-CN"/>
        </w:rPr>
        <w:t>；</w:t>
      </w:r>
      <w:r>
        <w:rPr>
          <w:rFonts w:hint="eastAsia"/>
          <w:color w:val="0000FF"/>
          <w:highlight w:val="none"/>
          <w:lang w:eastAsia="zh-CN"/>
        </w:rPr>
        <w:t>临时施工便道</w:t>
      </w:r>
      <w:r>
        <w:rPr>
          <w:rFonts w:hint="eastAsia"/>
          <w:color w:val="0000FF"/>
          <w:highlight w:val="none"/>
          <w:lang w:val="en-US" w:eastAsia="zh-CN"/>
        </w:rPr>
        <w:t>占用基本农田面积为3967.30m</w:t>
      </w:r>
      <w:r>
        <w:rPr>
          <w:rFonts w:hint="eastAsia"/>
          <w:color w:val="0000FF"/>
          <w:highlight w:val="none"/>
          <w:vertAlign w:val="superscript"/>
          <w:lang w:val="en-US" w:eastAsia="zh-CN"/>
        </w:rPr>
        <w:t>2</w:t>
      </w:r>
      <w:r>
        <w:rPr>
          <w:rFonts w:hint="eastAsia"/>
          <w:color w:val="0000FF"/>
          <w:highlight w:val="none"/>
          <w:lang w:val="en-US" w:eastAsia="zh-CN"/>
        </w:rPr>
        <w:t>，</w:t>
      </w:r>
      <w:r>
        <w:rPr>
          <w:rFonts w:hint="eastAsia"/>
          <w:color w:val="0000FF"/>
          <w:highlight w:val="none"/>
          <w:lang w:eastAsia="zh-CN"/>
        </w:rPr>
        <w:t>为泥结石路面，施工结束后将进行恢复。</w:t>
      </w:r>
    </w:p>
    <w:p>
      <w:pPr>
        <w:pStyle w:val="5"/>
        <w:numPr>
          <w:ilvl w:val="3"/>
          <w:numId w:val="34"/>
        </w:numPr>
        <w:tabs>
          <w:tab w:val="clear" w:pos="0"/>
          <w:tab w:val="clear" w:pos="283"/>
        </w:tabs>
        <w:bidi w:val="0"/>
        <w:rPr>
          <w:rFonts w:hint="default"/>
          <w:lang w:val="en-US" w:eastAsia="zh-CN"/>
        </w:rPr>
      </w:pPr>
      <w:r>
        <w:rPr>
          <w:rFonts w:hint="eastAsia"/>
          <w:lang w:val="en-US" w:eastAsia="zh-CN"/>
        </w:rPr>
        <w:t>方案环境比选及选址选线合理性分析</w:t>
      </w:r>
    </w:p>
    <w:p>
      <w:pPr>
        <w:numPr>
          <w:ilvl w:val="0"/>
          <w:numId w:val="0"/>
        </w:numPr>
        <w:tabs>
          <w:tab w:val="left" w:pos="420"/>
        </w:tabs>
        <w:bidi w:val="0"/>
        <w:ind w:leftChars="200"/>
        <w:rPr>
          <w:rFonts w:hint="eastAsia"/>
          <w:b/>
          <w:bCs/>
          <w:lang w:val="en-US" w:eastAsia="zh-CN"/>
        </w:rPr>
      </w:pPr>
      <w:r>
        <w:rPr>
          <w:rFonts w:hint="eastAsia"/>
          <w:b/>
          <w:bCs/>
          <w:lang w:val="en-US" w:eastAsia="zh-CN"/>
        </w:rPr>
        <w:t>1、建设方案的不可避让性分析</w:t>
      </w:r>
    </w:p>
    <w:p>
      <w:pPr>
        <w:pStyle w:val="28"/>
        <w:spacing w:line="360" w:lineRule="auto"/>
        <w:rPr>
          <w:rFonts w:hint="default" w:ascii="Times New Roman" w:hAnsi="Times New Roman" w:eastAsia="宋体" w:cs="Times New Roman"/>
          <w:color w:val="0000FF"/>
          <w:kern w:val="2"/>
          <w:sz w:val="24"/>
          <w:szCs w:val="21"/>
          <w:highlight w:val="none"/>
          <w:shd w:val="clear"/>
          <w:lang w:val="en-US" w:eastAsia="zh-CN" w:bidi="ar-SA"/>
        </w:rPr>
      </w:pPr>
      <w:r>
        <w:rPr>
          <w:rFonts w:hint="eastAsia" w:ascii="Times New Roman" w:hAnsi="Times New Roman" w:eastAsia="宋体" w:cs="Times New Roman"/>
          <w:color w:val="0000FF"/>
          <w:kern w:val="2"/>
          <w:sz w:val="24"/>
          <w:szCs w:val="21"/>
          <w:highlight w:val="none"/>
          <w:shd w:val="clear"/>
          <w:lang w:val="en-US" w:eastAsia="zh-CN" w:bidi="ar-SA"/>
        </w:rPr>
        <w:t>因项目实施方案中设计的工程建设方案涉及元谋</w:t>
      </w:r>
      <w:r>
        <w:rPr>
          <w:rFonts w:hint="eastAsia" w:ascii="Times New Roman" w:hAnsi="Times New Roman" w:cs="Times New Roman"/>
          <w:color w:val="0000FF"/>
          <w:kern w:val="2"/>
          <w:sz w:val="24"/>
          <w:szCs w:val="21"/>
          <w:highlight w:val="none"/>
          <w:shd w:val="clear"/>
          <w:lang w:val="en-US" w:eastAsia="zh-CN" w:bidi="ar-SA"/>
        </w:rPr>
        <w:t>县</w:t>
      </w:r>
      <w:r>
        <w:rPr>
          <w:rFonts w:hint="eastAsia" w:ascii="Times New Roman" w:hAnsi="Times New Roman" w:eastAsia="宋体" w:cs="Times New Roman"/>
          <w:color w:val="0000FF"/>
          <w:kern w:val="2"/>
          <w:sz w:val="24"/>
          <w:szCs w:val="21"/>
          <w:highlight w:val="none"/>
          <w:shd w:val="clear"/>
          <w:lang w:val="en-US" w:eastAsia="zh-CN" w:bidi="ar-SA"/>
        </w:rPr>
        <w:t>“三区三线”中的生态保护红线、永久基本农田，</w:t>
      </w:r>
      <w:r>
        <w:rPr>
          <w:rFonts w:hint="eastAsia" w:ascii="Times New Roman" w:hAnsi="Times New Roman" w:cs="Times New Roman"/>
          <w:color w:val="0000FF"/>
          <w:kern w:val="2"/>
          <w:sz w:val="24"/>
          <w:szCs w:val="21"/>
          <w:highlight w:val="none"/>
          <w:shd w:val="clear"/>
          <w:lang w:val="en-US" w:eastAsia="zh-CN" w:bidi="ar-SA"/>
        </w:rPr>
        <w:t>本次环评提出避让或减少占用的环境比选方案，该方案与元谋县“三区三线”位置关系如下图所示：</w:t>
      </w:r>
    </w:p>
    <w:p>
      <w:pPr>
        <w:pStyle w:val="28"/>
        <w:jc w:val="center"/>
        <w:rPr>
          <w:rFonts w:hint="default"/>
          <w:color w:val="auto"/>
          <w:lang w:val="en-US" w:eastAsia="zh-CN"/>
        </w:rPr>
      </w:pPr>
      <w:r>
        <w:rPr>
          <w:rFonts w:hint="eastAsia" w:ascii="Times New Roman" w:hAnsi="Times New Roman" w:cs="Times New Roman"/>
          <w:color w:val="0000FF"/>
          <w:kern w:val="2"/>
          <w:sz w:val="24"/>
          <w:szCs w:val="21"/>
          <w:highlight w:val="none"/>
          <w:shd w:val="clear"/>
          <w:lang w:val="en-US" w:eastAsia="zh-CN" w:bidi="ar-SA"/>
        </w:rPr>
        <w:drawing>
          <wp:inline distT="0" distB="0" distL="114300" distR="114300">
            <wp:extent cx="6112510" cy="4316095"/>
            <wp:effectExtent l="0" t="0" r="8255" b="2540"/>
            <wp:docPr id="101" name="图片 101" descr="2与三区三线位置关系-模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2与三区三线位置关系-模型"/>
                    <pic:cNvPicPr>
                      <a:picLocks noChangeAspect="1"/>
                    </pic:cNvPicPr>
                  </pic:nvPicPr>
                  <pic:blipFill>
                    <a:blip r:embed="rId108"/>
                    <a:stretch>
                      <a:fillRect/>
                    </a:stretch>
                  </pic:blipFill>
                  <pic:spPr>
                    <a:xfrm rot="16200000">
                      <a:off x="0" y="0"/>
                      <a:ext cx="6112510" cy="4316095"/>
                    </a:xfrm>
                    <a:prstGeom prst="rect">
                      <a:avLst/>
                    </a:prstGeom>
                  </pic:spPr>
                </pic:pic>
              </a:graphicData>
            </a:graphic>
          </wp:inline>
        </w:drawing>
      </w:r>
    </w:p>
    <w:p>
      <w:pPr>
        <w:pStyle w:val="28"/>
        <w:jc w:val="center"/>
        <w:rPr>
          <w:rFonts w:hint="default"/>
          <w:b/>
          <w:bCs/>
          <w:color w:val="0000FF"/>
          <w:lang w:val="en-US" w:eastAsia="zh-CN"/>
        </w:rPr>
      </w:pPr>
      <w:r>
        <w:rPr>
          <w:rFonts w:hint="default"/>
          <w:b/>
          <w:bCs/>
          <w:color w:val="0000FF"/>
          <w:lang w:val="en-US" w:eastAsia="zh-CN"/>
        </w:rPr>
        <w:t>图5.3.1-</w:t>
      </w:r>
      <w:r>
        <w:rPr>
          <w:rFonts w:hint="eastAsia"/>
          <w:b/>
          <w:bCs/>
          <w:color w:val="0000FF"/>
          <w:lang w:val="en-US" w:eastAsia="zh-CN"/>
        </w:rPr>
        <w:t>4</w:t>
      </w:r>
      <w:r>
        <w:rPr>
          <w:rFonts w:hint="default"/>
          <w:b/>
          <w:bCs/>
          <w:color w:val="0000FF"/>
          <w:lang w:val="en-US" w:eastAsia="zh-CN"/>
        </w:rPr>
        <w:t xml:space="preserve">  工程</w:t>
      </w:r>
      <w:r>
        <w:rPr>
          <w:rFonts w:hint="eastAsia"/>
          <w:b/>
          <w:bCs/>
          <w:color w:val="0000FF"/>
          <w:lang w:val="en-US" w:eastAsia="zh-CN"/>
        </w:rPr>
        <w:t>比选</w:t>
      </w:r>
      <w:r>
        <w:rPr>
          <w:rFonts w:hint="default"/>
          <w:b/>
          <w:bCs/>
          <w:color w:val="0000FF"/>
          <w:lang w:val="en-US" w:eastAsia="zh-CN"/>
        </w:rPr>
        <w:t>方案与元谋县</w:t>
      </w:r>
      <w:r>
        <w:rPr>
          <w:rFonts w:hint="eastAsia"/>
          <w:b/>
          <w:bCs/>
          <w:color w:val="0000FF"/>
          <w:lang w:val="en-US" w:eastAsia="zh-CN"/>
        </w:rPr>
        <w:t>敏感区</w:t>
      </w:r>
      <w:r>
        <w:rPr>
          <w:rFonts w:hint="default"/>
          <w:b/>
          <w:bCs/>
          <w:color w:val="0000FF"/>
          <w:lang w:val="en-US" w:eastAsia="zh-CN"/>
        </w:rPr>
        <w:t>的位置关系图</w:t>
      </w:r>
    </w:p>
    <w:p>
      <w:pPr>
        <w:pStyle w:val="28"/>
        <w:spacing w:line="360" w:lineRule="auto"/>
        <w:jc w:val="left"/>
        <w:rPr>
          <w:rFonts w:hint="eastAsia"/>
          <w:b w:val="0"/>
          <w:bCs w:val="0"/>
          <w:color w:val="0000FF"/>
          <w:sz w:val="24"/>
          <w:szCs w:val="24"/>
          <w:lang w:val="en-US" w:eastAsia="zh-CN"/>
        </w:rPr>
      </w:pPr>
      <w:r>
        <w:rPr>
          <w:rFonts w:hint="eastAsia"/>
          <w:b w:val="0"/>
          <w:bCs w:val="0"/>
          <w:color w:val="0000FF"/>
          <w:sz w:val="24"/>
          <w:szCs w:val="24"/>
          <w:lang w:val="en-US" w:eastAsia="zh-CN"/>
        </w:rPr>
        <w:t>根据上图，环评提出的比选方案可完全避让生态保护红线，但仍不可避免占用永久基本农田。设计方案与比选方案各环境要素影响情况对比如下：</w:t>
      </w:r>
    </w:p>
    <w:p>
      <w:pPr>
        <w:pStyle w:val="40"/>
        <w:bidi w:val="0"/>
        <w:rPr>
          <w:rFonts w:hint="default" w:eastAsia="宋体"/>
          <w:color w:val="0000FF"/>
          <w:highlight w:val="none"/>
          <w:lang w:val="en-US" w:eastAsia="zh-CN"/>
        </w:rPr>
      </w:pPr>
      <w:r>
        <w:rPr>
          <w:color w:val="0000FF"/>
          <w:highlight w:val="none"/>
        </w:rPr>
        <w:t>表</w:t>
      </w:r>
      <w:r>
        <w:rPr>
          <w:rFonts w:hint="eastAsia"/>
          <w:color w:val="0000FF"/>
          <w:highlight w:val="none"/>
          <w:lang w:val="en-US" w:eastAsia="zh-CN"/>
        </w:rPr>
        <w:t>5.3.2-1</w:t>
      </w:r>
      <w:r>
        <w:rPr>
          <w:color w:val="0000FF"/>
          <w:highlight w:val="none"/>
        </w:rPr>
        <w:t xml:space="preserve"> </w:t>
      </w:r>
      <w:r>
        <w:rPr>
          <w:rFonts w:hint="eastAsia"/>
          <w:color w:val="0000FF"/>
          <w:highlight w:val="none"/>
          <w:lang w:val="en-US" w:eastAsia="zh-CN"/>
        </w:rPr>
        <w:t xml:space="preserve"> 不同工程方案对环境影响比较表</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4"/>
        <w:gridCol w:w="1125"/>
        <w:gridCol w:w="2472"/>
        <w:gridCol w:w="2591"/>
        <w:gridCol w:w="13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gridSpan w:val="2"/>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比选因素</w:t>
            </w:r>
          </w:p>
        </w:tc>
        <w:tc>
          <w:tcPr>
            <w:tcW w:w="145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设计方案</w:t>
            </w:r>
          </w:p>
        </w:tc>
        <w:tc>
          <w:tcPr>
            <w:tcW w:w="152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比选方案</w:t>
            </w:r>
          </w:p>
        </w:tc>
        <w:tc>
          <w:tcPr>
            <w:tcW w:w="78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推荐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9" w:type="pct"/>
            <w:vMerge w:val="restar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both"/>
              <w:textAlignment w:val="auto"/>
              <w:rPr>
                <w:rFonts w:hint="eastAsia"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生态环境</w:t>
            </w:r>
          </w:p>
        </w:tc>
        <w:tc>
          <w:tcPr>
            <w:tcW w:w="66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b w:val="0"/>
                <w:bCs w:val="0"/>
                <w:color w:val="0000FF"/>
                <w:sz w:val="21"/>
                <w:szCs w:val="21"/>
                <w:vertAlign w:val="baseline"/>
                <w:lang w:val="en-US" w:eastAsia="zh-CN"/>
              </w:rPr>
            </w:pPr>
            <w:r>
              <w:rPr>
                <w:rFonts w:hint="eastAsia"/>
                <w:b w:val="0"/>
                <w:bCs w:val="0"/>
                <w:color w:val="0000FF"/>
                <w:sz w:val="21"/>
                <w:szCs w:val="21"/>
                <w:vertAlign w:val="baseline"/>
                <w:lang w:val="en-US" w:eastAsia="zh-CN"/>
              </w:rPr>
              <w:t>各构筑物规模</w:t>
            </w:r>
          </w:p>
        </w:tc>
        <w:tc>
          <w:tcPr>
            <w:tcW w:w="145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eastAsia="宋体"/>
                <w:b w:val="0"/>
                <w:bCs w:val="0"/>
                <w:color w:val="0000FF"/>
                <w:sz w:val="21"/>
                <w:szCs w:val="21"/>
                <w:vertAlign w:val="baseline"/>
                <w:lang w:val="en-US" w:eastAsia="zh-CN"/>
              </w:rPr>
            </w:pPr>
            <w:r>
              <w:rPr>
                <w:rFonts w:hint="default" w:ascii="Times New Roman" w:hAnsi="Times New Roman" w:eastAsia="宋体" w:cs="Times New Roman"/>
                <w:color w:val="0000FF"/>
                <w:kern w:val="0"/>
                <w:sz w:val="21"/>
                <w:szCs w:val="21"/>
                <w:highlight w:val="none"/>
                <w:shd w:val="clear"/>
                <w:lang w:val="en-US" w:eastAsia="zh-CN" w:bidi="ar"/>
              </w:rPr>
              <w:t>管首高位调节池</w:t>
            </w:r>
            <w:r>
              <w:rPr>
                <w:rFonts w:hint="default" w:ascii="Times New Roman" w:hAnsi="Times New Roman" w:cs="Times New Roman"/>
                <w:color w:val="0000FF"/>
                <w:kern w:val="0"/>
                <w:sz w:val="21"/>
                <w:szCs w:val="21"/>
                <w:highlight w:val="none"/>
                <w:shd w:val="clear"/>
                <w:lang w:val="en-US" w:eastAsia="zh-CN" w:bidi="ar"/>
              </w:rPr>
              <w:t>：</w:t>
            </w:r>
            <w:r>
              <w:rPr>
                <w:rFonts w:hint="default" w:ascii="Times New Roman" w:hAnsi="Times New Roman" w:eastAsia="宋体" w:cs="Times New Roman"/>
                <w:color w:val="0000FF"/>
                <w:kern w:val="0"/>
                <w:sz w:val="21"/>
                <w:szCs w:val="21"/>
                <w:highlight w:val="none"/>
                <w:shd w:val="clear"/>
                <w:lang w:val="en-US" w:eastAsia="zh-CN" w:bidi="ar"/>
              </w:rPr>
              <w:t>3.9万m³</w:t>
            </w:r>
            <w:r>
              <w:rPr>
                <w:rFonts w:hint="default" w:ascii="Times New Roman" w:hAnsi="Times New Roman" w:cs="Times New Roman"/>
                <w:color w:val="0000FF"/>
                <w:kern w:val="0"/>
                <w:sz w:val="21"/>
                <w:szCs w:val="21"/>
                <w:highlight w:val="none"/>
                <w:shd w:val="clear"/>
                <w:lang w:val="en-US" w:eastAsia="zh-CN" w:bidi="ar"/>
              </w:rPr>
              <w:t>；</w:t>
            </w:r>
            <w:r>
              <w:rPr>
                <w:rFonts w:hint="eastAsia" w:ascii="Times New Roman" w:hAnsi="Times New Roman" w:cs="Times New Roman"/>
                <w:color w:val="0000FF"/>
                <w:kern w:val="0"/>
                <w:sz w:val="21"/>
                <w:szCs w:val="21"/>
                <w:highlight w:val="none"/>
                <w:shd w:val="clear"/>
                <w:lang w:val="en-US" w:eastAsia="zh-CN" w:bidi="ar"/>
              </w:rPr>
              <w:t>引水管：42m；</w:t>
            </w:r>
            <w:r>
              <w:rPr>
                <w:rFonts w:hint="default" w:ascii="Times New Roman" w:hAnsi="Times New Roman" w:eastAsia="宋体" w:cs="Times New Roman"/>
                <w:color w:val="0000FF"/>
                <w:kern w:val="0"/>
                <w:sz w:val="21"/>
                <w:szCs w:val="21"/>
                <w:highlight w:val="none"/>
                <w:shd w:val="clear"/>
                <w:lang w:val="en-US" w:eastAsia="zh-CN" w:bidi="ar"/>
              </w:rPr>
              <w:t>北干管</w:t>
            </w:r>
            <w:r>
              <w:rPr>
                <w:rFonts w:hint="default" w:ascii="Times New Roman" w:hAnsi="Times New Roman" w:cs="Times New Roman"/>
                <w:color w:val="0000FF"/>
                <w:sz w:val="21"/>
                <w:szCs w:val="21"/>
                <w:highlight w:val="none"/>
                <w:vertAlign w:val="baseline"/>
                <w:lang w:val="en-US" w:eastAsia="zh-CN"/>
              </w:rPr>
              <w:t>10.158km</w:t>
            </w:r>
            <w:r>
              <w:rPr>
                <w:rFonts w:hint="default" w:ascii="Times New Roman" w:hAnsi="Times New Roman" w:cs="Times New Roman"/>
                <w:color w:val="0000FF"/>
                <w:kern w:val="0"/>
                <w:sz w:val="21"/>
                <w:szCs w:val="21"/>
                <w:highlight w:val="none"/>
                <w:shd w:val="clear"/>
                <w:lang w:val="en-US" w:eastAsia="zh-CN" w:bidi="ar"/>
              </w:rPr>
              <w:t>；</w:t>
            </w:r>
            <w:r>
              <w:rPr>
                <w:rFonts w:hint="default" w:ascii="Times New Roman" w:hAnsi="Times New Roman" w:eastAsia="宋体" w:cs="Times New Roman"/>
                <w:color w:val="0000FF"/>
                <w:kern w:val="0"/>
                <w:sz w:val="21"/>
                <w:szCs w:val="21"/>
                <w:highlight w:val="none"/>
                <w:shd w:val="clear"/>
                <w:lang w:val="en-US" w:eastAsia="zh-CN" w:bidi="ar"/>
              </w:rPr>
              <w:t>金马分干管</w:t>
            </w:r>
            <w:r>
              <w:rPr>
                <w:rFonts w:hint="default" w:ascii="Times New Roman" w:hAnsi="Times New Roman" w:cs="Times New Roman"/>
                <w:color w:val="0000FF"/>
                <w:sz w:val="21"/>
                <w:szCs w:val="21"/>
                <w:highlight w:val="none"/>
                <w:vertAlign w:val="baseline"/>
                <w:lang w:val="en-US" w:eastAsia="zh-CN"/>
              </w:rPr>
              <w:t>13.24km</w:t>
            </w:r>
            <w:r>
              <w:rPr>
                <w:rFonts w:hint="default" w:ascii="Times New Roman" w:hAnsi="Times New Roman" w:eastAsia="宋体" w:cs="Times New Roman"/>
                <w:color w:val="0000FF"/>
                <w:kern w:val="0"/>
                <w:sz w:val="21"/>
                <w:szCs w:val="21"/>
                <w:highlight w:val="none"/>
                <w:shd w:val="clear"/>
                <w:lang w:val="en-US" w:eastAsia="zh-CN" w:bidi="ar"/>
              </w:rPr>
              <w:t>），金马1#、2#、3#、4#支管，</w:t>
            </w:r>
            <w:r>
              <w:rPr>
                <w:rFonts w:hint="default" w:ascii="Times New Roman" w:hAnsi="Times New Roman" w:cs="Times New Roman"/>
                <w:color w:val="0000FF"/>
                <w:sz w:val="21"/>
                <w:szCs w:val="21"/>
                <w:highlight w:val="none"/>
                <w:vertAlign w:val="baseline"/>
                <w:lang w:val="en-US" w:eastAsia="zh-CN"/>
              </w:rPr>
              <w:t>长分别为1.186km、1.968km、1.475km和0.567km</w:t>
            </w:r>
            <w:r>
              <w:rPr>
                <w:rFonts w:hint="eastAsia" w:ascii="Times New Roman" w:hAnsi="Times New Roman" w:cs="Times New Roman"/>
                <w:color w:val="0000FF"/>
                <w:kern w:val="0"/>
                <w:sz w:val="21"/>
                <w:szCs w:val="21"/>
                <w:highlight w:val="none"/>
                <w:shd w:val="clear"/>
                <w:lang w:val="en-US" w:eastAsia="zh-CN" w:bidi="ar"/>
              </w:rPr>
              <w:t>；</w:t>
            </w:r>
            <w:r>
              <w:rPr>
                <w:rFonts w:hint="default" w:eastAsia="宋体"/>
                <w:b w:val="0"/>
                <w:bCs w:val="0"/>
                <w:color w:val="0000FF"/>
                <w:sz w:val="21"/>
                <w:szCs w:val="21"/>
                <w:vertAlign w:val="baseline"/>
                <w:lang w:val="en-US" w:eastAsia="zh-CN"/>
              </w:rPr>
              <w:t>平坦泵站提水管长4.519km</w:t>
            </w:r>
            <w:r>
              <w:rPr>
                <w:rFonts w:hint="eastAsia"/>
                <w:b w:val="0"/>
                <w:bCs w:val="0"/>
                <w:color w:val="0000FF"/>
                <w:sz w:val="21"/>
                <w:szCs w:val="21"/>
                <w:vertAlign w:val="baseline"/>
                <w:lang w:val="en-US" w:eastAsia="zh-CN"/>
              </w:rPr>
              <w:t>；</w:t>
            </w:r>
            <w:r>
              <w:rPr>
                <w:rFonts w:hint="default" w:eastAsia="宋体"/>
                <w:b w:val="0"/>
                <w:bCs w:val="0"/>
                <w:color w:val="0000FF"/>
                <w:sz w:val="21"/>
                <w:szCs w:val="21"/>
                <w:vertAlign w:val="baseline"/>
                <w:lang w:val="en-US" w:eastAsia="zh-CN"/>
              </w:rPr>
              <w:t>白秧树泵站1#提水管长2.166km</w:t>
            </w:r>
            <w:r>
              <w:rPr>
                <w:rFonts w:hint="eastAsia"/>
                <w:b w:val="0"/>
                <w:bCs w:val="0"/>
                <w:color w:val="0000FF"/>
                <w:sz w:val="21"/>
                <w:szCs w:val="21"/>
                <w:vertAlign w:val="baseline"/>
                <w:lang w:val="en-US" w:eastAsia="zh-CN"/>
              </w:rPr>
              <w:t>；</w:t>
            </w:r>
            <w:r>
              <w:rPr>
                <w:rFonts w:hint="default" w:eastAsia="宋体"/>
                <w:b w:val="0"/>
                <w:bCs w:val="0"/>
                <w:color w:val="0000FF"/>
                <w:sz w:val="21"/>
                <w:szCs w:val="21"/>
                <w:vertAlign w:val="baseline"/>
                <w:lang w:val="en-US" w:eastAsia="zh-CN"/>
              </w:rPr>
              <w:t>白秧树泵站2#提水管长2.653km</w:t>
            </w:r>
            <w:r>
              <w:rPr>
                <w:rFonts w:hint="eastAsia"/>
                <w:b w:val="0"/>
                <w:bCs w:val="0"/>
                <w:color w:val="0000FF"/>
                <w:sz w:val="21"/>
                <w:szCs w:val="21"/>
                <w:vertAlign w:val="baseline"/>
                <w:lang w:val="en-US" w:eastAsia="zh-CN"/>
              </w:rPr>
              <w:t>。</w:t>
            </w:r>
          </w:p>
        </w:tc>
        <w:tc>
          <w:tcPr>
            <w:tcW w:w="152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default" w:ascii="Times New Roman" w:hAnsi="Times New Roman" w:eastAsia="宋体" w:cs="Times New Roman"/>
                <w:color w:val="0000FF"/>
                <w:kern w:val="0"/>
                <w:sz w:val="21"/>
                <w:szCs w:val="21"/>
                <w:highlight w:val="none"/>
                <w:shd w:val="clear"/>
                <w:lang w:val="en-US" w:eastAsia="zh-CN" w:bidi="ar"/>
              </w:rPr>
              <w:t>管首高位调节池</w:t>
            </w:r>
            <w:r>
              <w:rPr>
                <w:rFonts w:hint="default" w:ascii="Times New Roman" w:hAnsi="Times New Roman" w:cs="Times New Roman"/>
                <w:color w:val="0000FF"/>
                <w:kern w:val="0"/>
                <w:sz w:val="21"/>
                <w:szCs w:val="21"/>
                <w:highlight w:val="none"/>
                <w:shd w:val="clear"/>
                <w:lang w:val="en-US" w:eastAsia="zh-CN" w:bidi="ar"/>
              </w:rPr>
              <w:t>：</w:t>
            </w:r>
            <w:r>
              <w:rPr>
                <w:rFonts w:hint="default" w:ascii="Times New Roman" w:hAnsi="Times New Roman" w:eastAsia="宋体" w:cs="Times New Roman"/>
                <w:color w:val="0000FF"/>
                <w:kern w:val="0"/>
                <w:sz w:val="21"/>
                <w:szCs w:val="21"/>
                <w:highlight w:val="none"/>
                <w:shd w:val="clear"/>
                <w:lang w:val="en-US" w:eastAsia="zh-CN" w:bidi="ar"/>
              </w:rPr>
              <w:t>3.9万m³</w:t>
            </w:r>
            <w:r>
              <w:rPr>
                <w:rFonts w:hint="default" w:ascii="Times New Roman" w:hAnsi="Times New Roman" w:cs="Times New Roman"/>
                <w:color w:val="0000FF"/>
                <w:kern w:val="0"/>
                <w:sz w:val="21"/>
                <w:szCs w:val="21"/>
                <w:highlight w:val="none"/>
                <w:shd w:val="clear"/>
                <w:lang w:val="en-US" w:eastAsia="zh-CN" w:bidi="ar"/>
              </w:rPr>
              <w:t>；</w:t>
            </w:r>
            <w:r>
              <w:rPr>
                <w:rFonts w:hint="eastAsia" w:ascii="Times New Roman" w:hAnsi="Times New Roman" w:cs="Times New Roman"/>
                <w:color w:val="0000FF"/>
                <w:kern w:val="0"/>
                <w:sz w:val="21"/>
                <w:szCs w:val="21"/>
                <w:highlight w:val="none"/>
                <w:shd w:val="clear"/>
                <w:lang w:val="en-US" w:eastAsia="zh-CN" w:bidi="ar"/>
              </w:rPr>
              <w:t>引水管：42m；</w:t>
            </w:r>
            <w:r>
              <w:rPr>
                <w:rFonts w:hint="default" w:ascii="Times New Roman" w:hAnsi="Times New Roman" w:eastAsia="宋体" w:cs="Times New Roman"/>
                <w:color w:val="0000FF"/>
                <w:kern w:val="0"/>
                <w:sz w:val="21"/>
                <w:szCs w:val="21"/>
                <w:highlight w:val="none"/>
                <w:shd w:val="clear"/>
                <w:lang w:val="en-US" w:eastAsia="zh-CN" w:bidi="ar"/>
              </w:rPr>
              <w:t>北干管</w:t>
            </w:r>
            <w:r>
              <w:rPr>
                <w:rFonts w:hint="eastAsia" w:ascii="Times New Roman" w:hAnsi="Times New Roman" w:cs="Times New Roman"/>
                <w:color w:val="0000FF"/>
                <w:sz w:val="21"/>
                <w:szCs w:val="21"/>
                <w:highlight w:val="none"/>
                <w:vertAlign w:val="baseline"/>
                <w:lang w:val="en-US" w:eastAsia="zh-CN"/>
              </w:rPr>
              <w:t>13.038</w:t>
            </w:r>
            <w:r>
              <w:rPr>
                <w:rFonts w:hint="default" w:ascii="Times New Roman" w:hAnsi="Times New Roman" w:cs="Times New Roman"/>
                <w:color w:val="0000FF"/>
                <w:sz w:val="21"/>
                <w:szCs w:val="21"/>
                <w:highlight w:val="none"/>
                <w:vertAlign w:val="baseline"/>
                <w:lang w:val="en-US" w:eastAsia="zh-CN"/>
              </w:rPr>
              <w:t>km</w:t>
            </w:r>
            <w:r>
              <w:rPr>
                <w:rFonts w:hint="default" w:ascii="Times New Roman" w:hAnsi="Times New Roman" w:cs="Times New Roman"/>
                <w:color w:val="0000FF"/>
                <w:kern w:val="0"/>
                <w:sz w:val="21"/>
                <w:szCs w:val="21"/>
                <w:highlight w:val="none"/>
                <w:shd w:val="clear"/>
                <w:lang w:val="en-US" w:eastAsia="zh-CN" w:bidi="ar"/>
              </w:rPr>
              <w:t>；</w:t>
            </w:r>
            <w:r>
              <w:rPr>
                <w:rFonts w:hint="default" w:ascii="Times New Roman" w:hAnsi="Times New Roman" w:eastAsia="宋体" w:cs="Times New Roman"/>
                <w:color w:val="0000FF"/>
                <w:kern w:val="0"/>
                <w:sz w:val="21"/>
                <w:szCs w:val="21"/>
                <w:highlight w:val="none"/>
                <w:shd w:val="clear"/>
                <w:lang w:val="en-US" w:eastAsia="zh-CN" w:bidi="ar"/>
              </w:rPr>
              <w:t>金马分干管</w:t>
            </w:r>
            <w:r>
              <w:rPr>
                <w:rFonts w:hint="eastAsia" w:ascii="Times New Roman" w:hAnsi="Times New Roman" w:cs="Times New Roman"/>
                <w:color w:val="0000FF"/>
                <w:sz w:val="21"/>
                <w:szCs w:val="21"/>
                <w:highlight w:val="none"/>
                <w:vertAlign w:val="baseline"/>
                <w:lang w:val="en-US" w:eastAsia="zh-CN"/>
              </w:rPr>
              <w:t>14.378</w:t>
            </w:r>
            <w:r>
              <w:rPr>
                <w:rFonts w:hint="default" w:ascii="Times New Roman" w:hAnsi="Times New Roman" w:cs="Times New Roman"/>
                <w:color w:val="0000FF"/>
                <w:sz w:val="21"/>
                <w:szCs w:val="21"/>
                <w:highlight w:val="none"/>
                <w:vertAlign w:val="baseline"/>
                <w:lang w:val="en-US" w:eastAsia="zh-CN"/>
              </w:rPr>
              <w:t>km</w:t>
            </w:r>
            <w:r>
              <w:rPr>
                <w:rFonts w:hint="default" w:ascii="Times New Roman" w:hAnsi="Times New Roman" w:eastAsia="宋体" w:cs="Times New Roman"/>
                <w:color w:val="0000FF"/>
                <w:kern w:val="0"/>
                <w:sz w:val="21"/>
                <w:szCs w:val="21"/>
                <w:highlight w:val="none"/>
                <w:shd w:val="clear"/>
                <w:lang w:val="en-US" w:eastAsia="zh-CN" w:bidi="ar"/>
              </w:rPr>
              <w:t>），金马1#、2#、3#、4#支管，</w:t>
            </w:r>
            <w:r>
              <w:rPr>
                <w:rFonts w:hint="default" w:ascii="Times New Roman" w:hAnsi="Times New Roman" w:cs="Times New Roman"/>
                <w:color w:val="0000FF"/>
                <w:sz w:val="21"/>
                <w:szCs w:val="21"/>
                <w:highlight w:val="none"/>
                <w:vertAlign w:val="baseline"/>
                <w:lang w:val="en-US" w:eastAsia="zh-CN"/>
              </w:rPr>
              <w:t>长分别为</w:t>
            </w:r>
            <w:r>
              <w:rPr>
                <w:rFonts w:hint="eastAsia" w:ascii="Times New Roman" w:hAnsi="Times New Roman" w:cs="Times New Roman"/>
                <w:color w:val="0000FF"/>
                <w:sz w:val="21"/>
                <w:szCs w:val="21"/>
                <w:highlight w:val="none"/>
                <w:vertAlign w:val="baseline"/>
                <w:lang w:val="en-US" w:eastAsia="zh-CN"/>
              </w:rPr>
              <w:t>1.817</w:t>
            </w:r>
            <w:r>
              <w:rPr>
                <w:rFonts w:hint="default" w:ascii="Times New Roman" w:hAnsi="Times New Roman" w:cs="Times New Roman"/>
                <w:color w:val="0000FF"/>
                <w:sz w:val="21"/>
                <w:szCs w:val="21"/>
                <w:highlight w:val="none"/>
                <w:vertAlign w:val="baseline"/>
                <w:lang w:val="en-US" w:eastAsia="zh-CN"/>
              </w:rPr>
              <w:t>km、</w:t>
            </w:r>
            <w:r>
              <w:rPr>
                <w:rFonts w:hint="eastAsia" w:ascii="Times New Roman" w:hAnsi="Times New Roman" w:cs="Times New Roman"/>
                <w:color w:val="0000FF"/>
                <w:sz w:val="21"/>
                <w:szCs w:val="21"/>
                <w:highlight w:val="none"/>
                <w:vertAlign w:val="baseline"/>
                <w:lang w:val="en-US" w:eastAsia="zh-CN"/>
              </w:rPr>
              <w:t>2.734</w:t>
            </w:r>
            <w:r>
              <w:rPr>
                <w:rFonts w:hint="default" w:ascii="Times New Roman" w:hAnsi="Times New Roman" w:cs="Times New Roman"/>
                <w:color w:val="0000FF"/>
                <w:sz w:val="21"/>
                <w:szCs w:val="21"/>
                <w:highlight w:val="none"/>
                <w:vertAlign w:val="baseline"/>
                <w:lang w:val="en-US" w:eastAsia="zh-CN"/>
              </w:rPr>
              <w:t>km、1.475km和0.567km</w:t>
            </w:r>
            <w:r>
              <w:rPr>
                <w:rFonts w:hint="eastAsia" w:ascii="Times New Roman" w:hAnsi="Times New Roman" w:cs="Times New Roman"/>
                <w:color w:val="0000FF"/>
                <w:kern w:val="0"/>
                <w:sz w:val="21"/>
                <w:szCs w:val="21"/>
                <w:highlight w:val="none"/>
                <w:shd w:val="clear"/>
                <w:lang w:val="en-US" w:eastAsia="zh-CN" w:bidi="ar"/>
              </w:rPr>
              <w:t>；</w:t>
            </w:r>
            <w:r>
              <w:rPr>
                <w:rFonts w:hint="default" w:eastAsia="宋体"/>
                <w:b w:val="0"/>
                <w:bCs w:val="0"/>
                <w:color w:val="0000FF"/>
                <w:sz w:val="21"/>
                <w:szCs w:val="21"/>
                <w:vertAlign w:val="baseline"/>
                <w:lang w:val="en-US" w:eastAsia="zh-CN"/>
              </w:rPr>
              <w:t>平坦泵站提水管长4.</w:t>
            </w:r>
            <w:r>
              <w:rPr>
                <w:rFonts w:hint="eastAsia"/>
                <w:b w:val="0"/>
                <w:bCs w:val="0"/>
                <w:color w:val="0000FF"/>
                <w:sz w:val="21"/>
                <w:szCs w:val="21"/>
                <w:vertAlign w:val="baseline"/>
                <w:lang w:val="en-US" w:eastAsia="zh-CN"/>
              </w:rPr>
              <w:t>602</w:t>
            </w:r>
            <w:r>
              <w:rPr>
                <w:rFonts w:hint="default" w:eastAsia="宋体"/>
                <w:b w:val="0"/>
                <w:bCs w:val="0"/>
                <w:color w:val="0000FF"/>
                <w:sz w:val="21"/>
                <w:szCs w:val="21"/>
                <w:vertAlign w:val="baseline"/>
                <w:lang w:val="en-US" w:eastAsia="zh-CN"/>
              </w:rPr>
              <w:t>km</w:t>
            </w:r>
            <w:r>
              <w:rPr>
                <w:rFonts w:hint="eastAsia"/>
                <w:b w:val="0"/>
                <w:bCs w:val="0"/>
                <w:color w:val="0000FF"/>
                <w:sz w:val="21"/>
                <w:szCs w:val="21"/>
                <w:vertAlign w:val="baseline"/>
                <w:lang w:val="en-US" w:eastAsia="zh-CN"/>
              </w:rPr>
              <w:t>；</w:t>
            </w:r>
            <w:r>
              <w:rPr>
                <w:rFonts w:hint="default" w:eastAsia="宋体"/>
                <w:b w:val="0"/>
                <w:bCs w:val="0"/>
                <w:color w:val="0000FF"/>
                <w:sz w:val="21"/>
                <w:szCs w:val="21"/>
                <w:vertAlign w:val="baseline"/>
                <w:lang w:val="en-US" w:eastAsia="zh-CN"/>
              </w:rPr>
              <w:t>白秧树泵站1#提水管长</w:t>
            </w:r>
            <w:r>
              <w:rPr>
                <w:rFonts w:hint="eastAsia"/>
                <w:b w:val="0"/>
                <w:bCs w:val="0"/>
                <w:color w:val="0000FF"/>
                <w:sz w:val="21"/>
                <w:szCs w:val="21"/>
                <w:vertAlign w:val="baseline"/>
                <w:lang w:val="en-US" w:eastAsia="zh-CN"/>
              </w:rPr>
              <w:t>2.803</w:t>
            </w:r>
            <w:r>
              <w:rPr>
                <w:rFonts w:hint="default" w:eastAsia="宋体"/>
                <w:b w:val="0"/>
                <w:bCs w:val="0"/>
                <w:color w:val="0000FF"/>
                <w:sz w:val="21"/>
                <w:szCs w:val="21"/>
                <w:vertAlign w:val="baseline"/>
                <w:lang w:val="en-US" w:eastAsia="zh-CN"/>
              </w:rPr>
              <w:t>km</w:t>
            </w:r>
            <w:r>
              <w:rPr>
                <w:rFonts w:hint="eastAsia"/>
                <w:b w:val="0"/>
                <w:bCs w:val="0"/>
                <w:color w:val="0000FF"/>
                <w:sz w:val="21"/>
                <w:szCs w:val="21"/>
                <w:vertAlign w:val="baseline"/>
                <w:lang w:val="en-US" w:eastAsia="zh-CN"/>
              </w:rPr>
              <w:t>；</w:t>
            </w:r>
            <w:r>
              <w:rPr>
                <w:rFonts w:hint="default" w:eastAsia="宋体"/>
                <w:b w:val="0"/>
                <w:bCs w:val="0"/>
                <w:color w:val="0000FF"/>
                <w:sz w:val="21"/>
                <w:szCs w:val="21"/>
                <w:vertAlign w:val="baseline"/>
                <w:lang w:val="en-US" w:eastAsia="zh-CN"/>
              </w:rPr>
              <w:t>白秧树泵站2#提水管长</w:t>
            </w:r>
            <w:r>
              <w:rPr>
                <w:rFonts w:hint="eastAsia"/>
                <w:b w:val="0"/>
                <w:bCs w:val="0"/>
                <w:color w:val="0000FF"/>
                <w:sz w:val="21"/>
                <w:szCs w:val="21"/>
                <w:vertAlign w:val="baseline"/>
                <w:lang w:val="en-US" w:eastAsia="zh-CN"/>
              </w:rPr>
              <w:t>2.675</w:t>
            </w:r>
            <w:r>
              <w:rPr>
                <w:rFonts w:hint="default" w:eastAsia="宋体"/>
                <w:b w:val="0"/>
                <w:bCs w:val="0"/>
                <w:color w:val="0000FF"/>
                <w:sz w:val="21"/>
                <w:szCs w:val="21"/>
                <w:vertAlign w:val="baseline"/>
                <w:lang w:val="en-US" w:eastAsia="zh-CN"/>
              </w:rPr>
              <w:t>km</w:t>
            </w:r>
            <w:r>
              <w:rPr>
                <w:rFonts w:hint="eastAsia"/>
                <w:b w:val="0"/>
                <w:bCs w:val="0"/>
                <w:color w:val="0000FF"/>
                <w:sz w:val="21"/>
                <w:szCs w:val="21"/>
                <w:vertAlign w:val="baseline"/>
                <w:lang w:val="en-US" w:eastAsia="zh-CN"/>
              </w:rPr>
              <w:t>。</w:t>
            </w:r>
          </w:p>
        </w:tc>
        <w:tc>
          <w:tcPr>
            <w:tcW w:w="78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设计方案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9" w:type="pct"/>
            <w:vMerge w:val="continue"/>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b w:val="0"/>
                <w:bCs w:val="0"/>
                <w:color w:val="0000FF"/>
                <w:sz w:val="21"/>
                <w:szCs w:val="21"/>
                <w:vertAlign w:val="baseline"/>
                <w:lang w:val="en-US" w:eastAsia="zh-CN"/>
              </w:rPr>
            </w:pPr>
          </w:p>
        </w:tc>
        <w:tc>
          <w:tcPr>
            <w:tcW w:w="66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b w:val="0"/>
                <w:bCs w:val="0"/>
                <w:color w:val="0000FF"/>
                <w:sz w:val="21"/>
                <w:szCs w:val="21"/>
                <w:vertAlign w:val="baseline"/>
                <w:lang w:val="en-US" w:eastAsia="zh-CN"/>
              </w:rPr>
            </w:pPr>
            <w:r>
              <w:rPr>
                <w:rFonts w:hint="eastAsia"/>
                <w:b w:val="0"/>
                <w:bCs w:val="0"/>
                <w:color w:val="0000FF"/>
                <w:sz w:val="21"/>
                <w:szCs w:val="21"/>
                <w:vertAlign w:val="baseline"/>
                <w:lang w:val="en-US" w:eastAsia="zh-CN"/>
              </w:rPr>
              <w:t>工程占地</w:t>
            </w:r>
          </w:p>
        </w:tc>
        <w:tc>
          <w:tcPr>
            <w:tcW w:w="145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ascii="Times New Roman" w:hAnsi="Times New Roman" w:eastAsia="宋体" w:cs="Times New Roman"/>
                <w:color w:val="0000FF"/>
                <w:kern w:val="0"/>
                <w:sz w:val="21"/>
                <w:szCs w:val="21"/>
                <w:lang w:val="en-US" w:eastAsia="zh-CN" w:bidi="ar"/>
              </w:rPr>
              <w:t>永久占用2.46hm</w:t>
            </w:r>
            <w:r>
              <w:rPr>
                <w:rFonts w:hint="eastAsia" w:ascii="Times New Roman" w:hAnsi="Times New Roman" w:eastAsia="宋体" w:cs="Times New Roman"/>
                <w:color w:val="0000FF"/>
                <w:kern w:val="0"/>
                <w:sz w:val="21"/>
                <w:szCs w:val="21"/>
                <w:vertAlign w:val="superscript"/>
                <w:lang w:val="en-US" w:eastAsia="zh-CN" w:bidi="ar"/>
              </w:rPr>
              <w:t>2</w:t>
            </w:r>
            <w:r>
              <w:rPr>
                <w:rFonts w:hint="eastAsia" w:ascii="Times New Roman" w:hAnsi="Times New Roman" w:eastAsia="宋体" w:cs="Times New Roman"/>
                <w:color w:val="0000FF"/>
                <w:kern w:val="0"/>
                <w:sz w:val="21"/>
                <w:szCs w:val="21"/>
                <w:lang w:val="en-US" w:eastAsia="zh-CN" w:bidi="ar"/>
              </w:rPr>
              <w:t>，</w:t>
            </w:r>
            <w:r>
              <w:rPr>
                <w:rFonts w:hint="default" w:ascii="Times New Roman" w:hAnsi="Times New Roman" w:eastAsia="宋体" w:cs="Times New Roman"/>
                <w:color w:val="0000FF"/>
                <w:kern w:val="0"/>
                <w:sz w:val="21"/>
                <w:szCs w:val="21"/>
                <w:lang w:val="en-US" w:eastAsia="zh-CN" w:bidi="ar"/>
              </w:rPr>
              <w:t>临时占地47.32hm²</w:t>
            </w:r>
            <w:r>
              <w:rPr>
                <w:rFonts w:hint="eastAsia" w:ascii="Times New Roman" w:hAnsi="Times New Roman" w:cs="Times New Roman"/>
                <w:color w:val="0000FF"/>
                <w:kern w:val="0"/>
                <w:sz w:val="21"/>
                <w:szCs w:val="21"/>
                <w:lang w:val="en-US" w:eastAsia="zh-CN" w:bidi="ar"/>
              </w:rPr>
              <w:t>；</w:t>
            </w:r>
          </w:p>
        </w:tc>
        <w:tc>
          <w:tcPr>
            <w:tcW w:w="152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ascii="Times New Roman" w:hAnsi="Times New Roman" w:eastAsia="宋体" w:cs="Times New Roman"/>
                <w:color w:val="0000FF"/>
                <w:kern w:val="0"/>
                <w:sz w:val="21"/>
                <w:szCs w:val="21"/>
                <w:lang w:val="en-US" w:eastAsia="zh-CN" w:bidi="ar"/>
              </w:rPr>
              <w:t>永久占地2.46hm</w:t>
            </w:r>
            <w:r>
              <w:rPr>
                <w:rFonts w:hint="eastAsia" w:ascii="Times New Roman" w:hAnsi="Times New Roman" w:eastAsia="宋体" w:cs="Times New Roman"/>
                <w:color w:val="0000FF"/>
                <w:kern w:val="0"/>
                <w:sz w:val="21"/>
                <w:szCs w:val="21"/>
                <w:vertAlign w:val="superscript"/>
                <w:lang w:val="en-US" w:eastAsia="zh-CN" w:bidi="ar"/>
              </w:rPr>
              <w:t>2</w:t>
            </w:r>
            <w:r>
              <w:rPr>
                <w:rFonts w:hint="eastAsia" w:ascii="Times New Roman" w:hAnsi="Times New Roman" w:eastAsia="宋体" w:cs="Times New Roman"/>
                <w:color w:val="0000FF"/>
                <w:kern w:val="0"/>
                <w:sz w:val="21"/>
                <w:szCs w:val="21"/>
                <w:lang w:val="en-US" w:eastAsia="zh-CN" w:bidi="ar"/>
              </w:rPr>
              <w:t>，</w:t>
            </w:r>
            <w:r>
              <w:rPr>
                <w:rFonts w:hint="default" w:ascii="Times New Roman" w:hAnsi="Times New Roman" w:eastAsia="宋体" w:cs="Times New Roman"/>
                <w:color w:val="0000FF"/>
                <w:kern w:val="0"/>
                <w:sz w:val="21"/>
                <w:szCs w:val="21"/>
                <w:lang w:val="en-US" w:eastAsia="zh-CN" w:bidi="ar"/>
              </w:rPr>
              <w:t>临时占地面积为</w:t>
            </w:r>
            <w:r>
              <w:rPr>
                <w:rFonts w:hint="eastAsia" w:ascii="Times New Roman" w:hAnsi="Times New Roman" w:cs="Times New Roman"/>
                <w:color w:val="0000FF"/>
                <w:kern w:val="0"/>
                <w:sz w:val="21"/>
                <w:szCs w:val="21"/>
                <w:lang w:val="en-US" w:eastAsia="zh-CN" w:bidi="ar"/>
              </w:rPr>
              <w:t>65.35</w:t>
            </w:r>
            <w:r>
              <w:rPr>
                <w:rFonts w:hint="default" w:ascii="Times New Roman" w:hAnsi="Times New Roman" w:eastAsia="宋体" w:cs="Times New Roman"/>
                <w:color w:val="0000FF"/>
                <w:kern w:val="0"/>
                <w:sz w:val="21"/>
                <w:szCs w:val="21"/>
                <w:lang w:val="en-US" w:eastAsia="zh-CN" w:bidi="ar"/>
              </w:rPr>
              <w:t>hm²</w:t>
            </w:r>
            <w:r>
              <w:rPr>
                <w:rFonts w:hint="eastAsia" w:ascii="Times New Roman" w:hAnsi="Times New Roman" w:cs="Times New Roman"/>
                <w:color w:val="0000FF"/>
                <w:kern w:val="0"/>
                <w:sz w:val="21"/>
                <w:szCs w:val="21"/>
                <w:lang w:val="en-US" w:eastAsia="zh-CN" w:bidi="ar"/>
              </w:rPr>
              <w:t>；</w:t>
            </w:r>
            <w:r>
              <w:rPr>
                <w:rFonts w:hint="eastAsia" w:ascii="宋体" w:hAnsi="宋体" w:eastAsia="宋体" w:cs="宋体"/>
                <w:color w:val="0000FF"/>
                <w:kern w:val="0"/>
                <w:sz w:val="21"/>
                <w:szCs w:val="21"/>
                <w:lang w:val="en-US" w:eastAsia="zh-CN" w:bidi="ar"/>
              </w:rPr>
              <w:t>。</w:t>
            </w:r>
          </w:p>
        </w:tc>
        <w:tc>
          <w:tcPr>
            <w:tcW w:w="78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设计方案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9" w:type="pct"/>
            <w:vMerge w:val="continue"/>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b w:val="0"/>
                <w:bCs w:val="0"/>
                <w:color w:val="0000FF"/>
                <w:sz w:val="21"/>
                <w:szCs w:val="21"/>
                <w:vertAlign w:val="baseline"/>
                <w:lang w:val="en-US" w:eastAsia="zh-CN"/>
              </w:rPr>
            </w:pPr>
          </w:p>
        </w:tc>
        <w:tc>
          <w:tcPr>
            <w:tcW w:w="66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cs="Times New Roman"/>
                <w:b w:val="0"/>
                <w:bCs w:val="0"/>
                <w:color w:val="0000FF"/>
                <w:sz w:val="21"/>
                <w:szCs w:val="21"/>
                <w:vertAlign w:val="baseline"/>
                <w:lang w:val="en-US" w:eastAsia="zh-CN"/>
              </w:rPr>
              <w:t>生态保护红线</w:t>
            </w:r>
          </w:p>
        </w:tc>
        <w:tc>
          <w:tcPr>
            <w:tcW w:w="145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ascii="Times New Roman" w:hAnsi="Times New Roman" w:eastAsia="宋体" w:cs="Times New Roman"/>
                <w:b w:val="0"/>
                <w:bCs w:val="0"/>
                <w:color w:val="0000FF"/>
                <w:sz w:val="21"/>
                <w:szCs w:val="21"/>
                <w:vertAlign w:val="baseline"/>
                <w:lang w:val="en-US" w:eastAsia="zh-CN"/>
              </w:rPr>
            </w:pPr>
            <w:r>
              <w:rPr>
                <w:rFonts w:hint="default" w:ascii="Times New Roman" w:hAnsi="Times New Roman" w:cs="Times New Roman"/>
                <w:b w:val="0"/>
                <w:bCs w:val="0"/>
                <w:color w:val="0000FF"/>
                <w:sz w:val="21"/>
                <w:szCs w:val="21"/>
                <w:vertAlign w:val="baseline"/>
                <w:lang w:val="en-US" w:eastAsia="zh-CN"/>
              </w:rPr>
              <w:t>管道占用生态保护红线28522.94m</w:t>
            </w:r>
            <w:r>
              <w:rPr>
                <w:rFonts w:hint="default" w:ascii="Times New Roman" w:hAnsi="Times New Roman" w:cs="Times New Roman"/>
                <w:b w:val="0"/>
                <w:bCs w:val="0"/>
                <w:color w:val="0000FF"/>
                <w:sz w:val="21"/>
                <w:szCs w:val="21"/>
                <w:vertAlign w:val="superscript"/>
                <w:lang w:val="en-US" w:eastAsia="zh-CN"/>
              </w:rPr>
              <w:t>2</w:t>
            </w:r>
          </w:p>
        </w:tc>
        <w:tc>
          <w:tcPr>
            <w:tcW w:w="152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0000FF"/>
                <w:sz w:val="21"/>
                <w:szCs w:val="21"/>
                <w:vertAlign w:val="baseline"/>
                <w:lang w:val="en-US" w:eastAsia="zh-CN"/>
              </w:rPr>
            </w:pPr>
            <w:r>
              <w:rPr>
                <w:rFonts w:hint="default" w:ascii="Times New Roman" w:hAnsi="Times New Roman" w:cs="Times New Roman"/>
                <w:b w:val="0"/>
                <w:bCs w:val="0"/>
                <w:color w:val="0000FF"/>
                <w:sz w:val="21"/>
                <w:szCs w:val="21"/>
                <w:vertAlign w:val="baseline"/>
                <w:lang w:val="en-US" w:eastAsia="zh-CN"/>
              </w:rPr>
              <w:t>工程不涉及生态保护红线，但施工便道占用生态红线约3680㎡。</w:t>
            </w:r>
          </w:p>
        </w:tc>
        <w:tc>
          <w:tcPr>
            <w:tcW w:w="78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比选方案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9" w:type="pct"/>
            <w:vMerge w:val="continue"/>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b w:val="0"/>
                <w:bCs w:val="0"/>
                <w:color w:val="0000FF"/>
                <w:sz w:val="21"/>
                <w:szCs w:val="21"/>
                <w:vertAlign w:val="baseline"/>
                <w:lang w:val="en-US" w:eastAsia="zh-CN"/>
              </w:rPr>
            </w:pPr>
          </w:p>
        </w:tc>
        <w:tc>
          <w:tcPr>
            <w:tcW w:w="66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b w:val="0"/>
                <w:bCs w:val="0"/>
                <w:color w:val="0000FF"/>
                <w:sz w:val="21"/>
                <w:szCs w:val="21"/>
                <w:vertAlign w:val="baseline"/>
                <w:lang w:val="en-US" w:eastAsia="zh-CN"/>
              </w:rPr>
            </w:pPr>
            <w:r>
              <w:rPr>
                <w:rFonts w:hint="default" w:ascii="Times New Roman" w:hAnsi="Times New Roman" w:cs="Times New Roman"/>
                <w:b w:val="0"/>
                <w:bCs w:val="0"/>
                <w:color w:val="0000FF"/>
                <w:sz w:val="21"/>
                <w:szCs w:val="21"/>
                <w:vertAlign w:val="baseline"/>
                <w:lang w:val="en-US" w:eastAsia="zh-CN"/>
              </w:rPr>
              <w:t>基本农田</w:t>
            </w:r>
          </w:p>
        </w:tc>
        <w:tc>
          <w:tcPr>
            <w:tcW w:w="145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ascii="Times New Roman" w:hAnsi="Times New Roman" w:eastAsia="宋体" w:cs="Times New Roman"/>
                <w:b w:val="0"/>
                <w:bCs w:val="0"/>
                <w:color w:val="0000FF"/>
                <w:sz w:val="21"/>
                <w:szCs w:val="21"/>
                <w:vertAlign w:val="baseline"/>
                <w:lang w:val="en-US" w:eastAsia="zh-CN"/>
              </w:rPr>
            </w:pPr>
            <w:r>
              <w:rPr>
                <w:rFonts w:hint="default" w:ascii="Times New Roman" w:hAnsi="Times New Roman" w:cs="Times New Roman"/>
                <w:color w:val="0000FF"/>
                <w:highlight w:val="none"/>
                <w:lang w:val="en-US" w:eastAsia="zh-CN"/>
              </w:rPr>
              <w:t>管道临时占用基本农田面积</w:t>
            </w:r>
            <w:r>
              <w:rPr>
                <w:rFonts w:hint="eastAsia" w:ascii="Times New Roman" w:hAnsi="Times New Roman" w:cs="Times New Roman"/>
                <w:color w:val="0000FF"/>
                <w:highlight w:val="none"/>
                <w:lang w:val="en-US" w:eastAsia="zh-CN"/>
              </w:rPr>
              <w:t>约</w:t>
            </w:r>
            <w:r>
              <w:rPr>
                <w:rFonts w:hint="default" w:ascii="Times New Roman" w:hAnsi="Times New Roman" w:cs="Times New Roman"/>
                <w:color w:val="0000FF"/>
                <w:highlight w:val="none"/>
                <w:lang w:val="en-US" w:eastAsia="zh-CN"/>
              </w:rPr>
              <w:t>为25500m</w:t>
            </w:r>
            <w:r>
              <w:rPr>
                <w:rFonts w:hint="default" w:ascii="Times New Roman" w:hAnsi="Times New Roman" w:cs="Times New Roman"/>
                <w:color w:val="0000FF"/>
                <w:highlight w:val="none"/>
                <w:vertAlign w:val="superscript"/>
                <w:lang w:val="en-US" w:eastAsia="zh-CN"/>
              </w:rPr>
              <w:t>2</w:t>
            </w:r>
            <w:r>
              <w:rPr>
                <w:rFonts w:hint="default" w:ascii="Times New Roman" w:hAnsi="Times New Roman" w:cs="Times New Roman"/>
                <w:color w:val="0000FF"/>
                <w:highlight w:val="none"/>
                <w:lang w:val="en-US" w:eastAsia="zh-CN"/>
              </w:rPr>
              <w:t>；临时施工便道占用基本农田面积为3967.30m</w:t>
            </w:r>
            <w:r>
              <w:rPr>
                <w:rFonts w:hint="default" w:ascii="Times New Roman" w:hAnsi="Times New Roman" w:cs="Times New Roman"/>
                <w:color w:val="0000FF"/>
                <w:highlight w:val="none"/>
                <w:vertAlign w:val="superscript"/>
                <w:lang w:val="en-US" w:eastAsia="zh-CN"/>
              </w:rPr>
              <w:t>2</w:t>
            </w:r>
            <w:r>
              <w:rPr>
                <w:rFonts w:hint="eastAsia" w:ascii="Times New Roman" w:hAnsi="Times New Roman" w:cs="Times New Roman"/>
                <w:color w:val="0000FF"/>
                <w:highlight w:val="none"/>
                <w:vertAlign w:val="baseline"/>
                <w:lang w:val="en-US" w:eastAsia="zh-CN"/>
              </w:rPr>
              <w:t>。总占用面积29467.3</w:t>
            </w:r>
            <w:r>
              <w:rPr>
                <w:rFonts w:hint="default" w:ascii="Times New Roman" w:hAnsi="Times New Roman" w:cs="Times New Roman"/>
                <w:color w:val="0000FF"/>
                <w:highlight w:val="none"/>
                <w:lang w:val="en-US" w:eastAsia="zh-CN"/>
              </w:rPr>
              <w:t>m</w:t>
            </w:r>
            <w:r>
              <w:rPr>
                <w:rFonts w:hint="default" w:ascii="Times New Roman" w:hAnsi="Times New Roman" w:cs="Times New Roman"/>
                <w:color w:val="0000FF"/>
                <w:highlight w:val="none"/>
                <w:vertAlign w:val="superscript"/>
                <w:lang w:val="en-US" w:eastAsia="zh-CN"/>
              </w:rPr>
              <w:t>2</w:t>
            </w:r>
            <w:r>
              <w:rPr>
                <w:rFonts w:hint="eastAsia" w:ascii="Times New Roman" w:hAnsi="Times New Roman" w:cs="Times New Roman"/>
                <w:color w:val="0000FF"/>
                <w:highlight w:val="none"/>
                <w:vertAlign w:val="baseline"/>
                <w:lang w:val="en-US" w:eastAsia="zh-CN"/>
              </w:rPr>
              <w:t>。</w:t>
            </w:r>
          </w:p>
        </w:tc>
        <w:tc>
          <w:tcPr>
            <w:tcW w:w="152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val="0"/>
                <w:bCs w:val="0"/>
                <w:color w:val="0000FF"/>
                <w:sz w:val="21"/>
                <w:szCs w:val="21"/>
                <w:vertAlign w:val="baseline"/>
                <w:lang w:val="en-US" w:eastAsia="zh-CN"/>
              </w:rPr>
            </w:pPr>
            <w:r>
              <w:rPr>
                <w:rFonts w:hint="default" w:ascii="Times New Roman" w:hAnsi="Times New Roman" w:cs="Times New Roman"/>
                <w:b w:val="0"/>
                <w:bCs w:val="0"/>
                <w:color w:val="0000FF"/>
                <w:sz w:val="21"/>
                <w:szCs w:val="21"/>
                <w:vertAlign w:val="baseline"/>
                <w:lang w:val="en-US" w:eastAsia="zh-CN"/>
              </w:rPr>
              <w:t>管道占用永久基本农田约</w:t>
            </w:r>
            <w:r>
              <w:rPr>
                <w:rFonts w:hint="eastAsia" w:ascii="Times New Roman" w:hAnsi="Times New Roman" w:cs="Times New Roman"/>
                <w:b w:val="0"/>
                <w:bCs w:val="0"/>
                <w:color w:val="0000FF"/>
                <w:sz w:val="21"/>
                <w:szCs w:val="21"/>
                <w:vertAlign w:val="baseline"/>
                <w:lang w:val="en-US" w:eastAsia="zh-CN"/>
              </w:rPr>
              <w:t>约</w:t>
            </w:r>
            <w:r>
              <w:rPr>
                <w:rFonts w:hint="default" w:ascii="Times New Roman" w:hAnsi="Times New Roman" w:cs="Times New Roman"/>
                <w:b w:val="0"/>
                <w:bCs w:val="0"/>
                <w:color w:val="0000FF"/>
                <w:sz w:val="21"/>
                <w:szCs w:val="21"/>
                <w:vertAlign w:val="baseline"/>
                <w:lang w:val="en-US" w:eastAsia="zh-CN"/>
              </w:rPr>
              <w:t>12600㎡，但因为施工难度大，临时施工便道用永久基本农田面积约</w:t>
            </w:r>
            <w:r>
              <w:rPr>
                <w:rFonts w:hint="eastAsia" w:ascii="Times New Roman" w:hAnsi="Times New Roman" w:cs="Times New Roman"/>
                <w:b w:val="0"/>
                <w:bCs w:val="0"/>
                <w:color w:val="0000FF"/>
                <w:sz w:val="21"/>
                <w:szCs w:val="21"/>
                <w:vertAlign w:val="baseline"/>
                <w:lang w:val="en-US" w:eastAsia="zh-CN"/>
              </w:rPr>
              <w:t>16920</w:t>
            </w:r>
            <w:r>
              <w:rPr>
                <w:rFonts w:hint="default" w:ascii="Times New Roman" w:hAnsi="Times New Roman" w:cs="Times New Roman"/>
                <w:b w:val="0"/>
                <w:bCs w:val="0"/>
                <w:color w:val="0000FF"/>
                <w:sz w:val="21"/>
                <w:szCs w:val="21"/>
                <w:vertAlign w:val="baseline"/>
                <w:lang w:val="en-US" w:eastAsia="zh-CN"/>
              </w:rPr>
              <w:t>㎡。</w:t>
            </w:r>
            <w:r>
              <w:rPr>
                <w:rFonts w:hint="eastAsia" w:ascii="Times New Roman" w:hAnsi="Times New Roman" w:cs="Times New Roman"/>
                <w:b w:val="0"/>
                <w:bCs w:val="0"/>
                <w:color w:val="0000FF"/>
                <w:sz w:val="21"/>
                <w:szCs w:val="21"/>
                <w:vertAlign w:val="baseline"/>
                <w:lang w:val="en-US" w:eastAsia="zh-CN"/>
              </w:rPr>
              <w:t>总占用面积29520</w:t>
            </w:r>
            <w:r>
              <w:rPr>
                <w:rFonts w:hint="default" w:ascii="Times New Roman" w:hAnsi="Times New Roman" w:cs="Times New Roman"/>
                <w:color w:val="0000FF"/>
                <w:highlight w:val="none"/>
                <w:lang w:val="en-US" w:eastAsia="zh-CN"/>
              </w:rPr>
              <w:t>m</w:t>
            </w:r>
            <w:r>
              <w:rPr>
                <w:rFonts w:hint="default" w:ascii="Times New Roman" w:hAnsi="Times New Roman" w:cs="Times New Roman"/>
                <w:color w:val="0000FF"/>
                <w:highlight w:val="none"/>
                <w:vertAlign w:val="superscript"/>
                <w:lang w:val="en-US" w:eastAsia="zh-CN"/>
              </w:rPr>
              <w:t>2</w:t>
            </w:r>
            <w:r>
              <w:rPr>
                <w:rFonts w:hint="eastAsia" w:ascii="Times New Roman" w:hAnsi="Times New Roman" w:cs="Times New Roman"/>
                <w:b w:val="0"/>
                <w:bCs w:val="0"/>
                <w:color w:val="0000FF"/>
                <w:sz w:val="21"/>
                <w:szCs w:val="21"/>
                <w:vertAlign w:val="baseline"/>
                <w:lang w:val="en-US" w:eastAsia="zh-CN"/>
              </w:rPr>
              <w:t>。</w:t>
            </w:r>
          </w:p>
        </w:tc>
        <w:tc>
          <w:tcPr>
            <w:tcW w:w="78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设计方案略优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gridSpan w:val="2"/>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地质环境</w:t>
            </w:r>
          </w:p>
        </w:tc>
        <w:tc>
          <w:tcPr>
            <w:tcW w:w="145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基本一致</w:t>
            </w:r>
          </w:p>
        </w:tc>
        <w:tc>
          <w:tcPr>
            <w:tcW w:w="152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基本一致</w:t>
            </w:r>
          </w:p>
        </w:tc>
        <w:tc>
          <w:tcPr>
            <w:tcW w:w="7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基本一致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gridSpan w:val="2"/>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地表水环境</w:t>
            </w:r>
          </w:p>
        </w:tc>
        <w:tc>
          <w:tcPr>
            <w:tcW w:w="145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跨越沙沟箐、姜驿河各一次</w:t>
            </w:r>
          </w:p>
        </w:tc>
        <w:tc>
          <w:tcPr>
            <w:tcW w:w="152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跨越沙沟箐、姜驿河各一次</w:t>
            </w:r>
          </w:p>
        </w:tc>
        <w:tc>
          <w:tcPr>
            <w:tcW w:w="7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基本一致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gridSpan w:val="2"/>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涉及元谋风景名胜区情况</w:t>
            </w:r>
          </w:p>
        </w:tc>
        <w:tc>
          <w:tcPr>
            <w:tcW w:w="145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基本一致</w:t>
            </w:r>
          </w:p>
        </w:tc>
        <w:tc>
          <w:tcPr>
            <w:tcW w:w="152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基本一致</w:t>
            </w:r>
          </w:p>
        </w:tc>
        <w:tc>
          <w:tcPr>
            <w:tcW w:w="78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基本一致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gridSpan w:val="2"/>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地下水环境</w:t>
            </w:r>
          </w:p>
        </w:tc>
        <w:tc>
          <w:tcPr>
            <w:tcW w:w="145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一般</w:t>
            </w:r>
          </w:p>
        </w:tc>
        <w:tc>
          <w:tcPr>
            <w:tcW w:w="152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一般</w:t>
            </w:r>
          </w:p>
        </w:tc>
        <w:tc>
          <w:tcPr>
            <w:tcW w:w="78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基本一致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gridSpan w:val="2"/>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声、大气环境敏感点</w:t>
            </w:r>
          </w:p>
        </w:tc>
        <w:tc>
          <w:tcPr>
            <w:tcW w:w="145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声环境保护目标11个，大气环境保护目标12个</w:t>
            </w:r>
          </w:p>
        </w:tc>
        <w:tc>
          <w:tcPr>
            <w:tcW w:w="152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声环境保护目标8个，大气环境保护目标9个</w:t>
            </w:r>
          </w:p>
        </w:tc>
        <w:tc>
          <w:tcPr>
            <w:tcW w:w="78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比选方案优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gridSpan w:val="2"/>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社会环境</w:t>
            </w:r>
          </w:p>
        </w:tc>
        <w:tc>
          <w:tcPr>
            <w:tcW w:w="145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更方便灌溉</w:t>
            </w:r>
          </w:p>
        </w:tc>
        <w:tc>
          <w:tcPr>
            <w:tcW w:w="152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为避开敏感区，管道距离农田稍远，不便于灌溉</w:t>
            </w:r>
          </w:p>
        </w:tc>
        <w:tc>
          <w:tcPr>
            <w:tcW w:w="78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设计方案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gridSpan w:val="2"/>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b w:val="0"/>
                <w:bCs w:val="0"/>
                <w:color w:val="0000FF"/>
                <w:sz w:val="21"/>
                <w:szCs w:val="21"/>
                <w:vertAlign w:val="baseline"/>
                <w:lang w:val="en-US" w:eastAsia="zh-CN"/>
              </w:rPr>
            </w:pPr>
            <w:r>
              <w:rPr>
                <w:rFonts w:hint="eastAsia"/>
                <w:b w:val="0"/>
                <w:bCs w:val="0"/>
                <w:color w:val="0000FF"/>
                <w:sz w:val="21"/>
                <w:szCs w:val="21"/>
                <w:vertAlign w:val="baseline"/>
                <w:lang w:val="en-US" w:eastAsia="zh-CN"/>
              </w:rPr>
              <w:t>施工难度</w:t>
            </w:r>
          </w:p>
        </w:tc>
        <w:tc>
          <w:tcPr>
            <w:tcW w:w="145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一般</w:t>
            </w:r>
          </w:p>
        </w:tc>
        <w:tc>
          <w:tcPr>
            <w:tcW w:w="152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较大</w:t>
            </w:r>
          </w:p>
        </w:tc>
        <w:tc>
          <w:tcPr>
            <w:tcW w:w="780" w:type="pct"/>
            <w:vAlign w:val="center"/>
          </w:tcPr>
          <w:p>
            <w:pPr>
              <w:pStyle w:val="28"/>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eastAsia="宋体"/>
                <w:b w:val="0"/>
                <w:bCs w:val="0"/>
                <w:color w:val="0000FF"/>
                <w:sz w:val="21"/>
                <w:szCs w:val="21"/>
                <w:vertAlign w:val="baseline"/>
                <w:lang w:val="en-US" w:eastAsia="zh-CN"/>
              </w:rPr>
            </w:pPr>
            <w:r>
              <w:rPr>
                <w:rFonts w:hint="eastAsia"/>
                <w:b w:val="0"/>
                <w:bCs w:val="0"/>
                <w:color w:val="0000FF"/>
                <w:sz w:val="21"/>
                <w:szCs w:val="21"/>
                <w:vertAlign w:val="baseline"/>
                <w:lang w:val="en-US" w:eastAsia="zh-CN"/>
              </w:rPr>
              <w:t>设计方案</w:t>
            </w:r>
          </w:p>
        </w:tc>
      </w:tr>
    </w:tbl>
    <w:p>
      <w:pPr>
        <w:pStyle w:val="28"/>
        <w:keepNext w:val="0"/>
        <w:keepLines w:val="0"/>
        <w:pageBreakBefore w:val="0"/>
        <w:widowControl w:val="0"/>
        <w:kinsoku/>
        <w:wordWrap w:val="0"/>
        <w:overflowPunct/>
        <w:topLinePunct w:val="0"/>
        <w:autoSpaceDE/>
        <w:autoSpaceDN/>
        <w:bidi w:val="0"/>
        <w:adjustRightInd/>
        <w:snapToGrid w:val="0"/>
        <w:spacing w:line="360" w:lineRule="auto"/>
        <w:jc w:val="left"/>
        <w:textAlignment w:val="auto"/>
        <w:rPr>
          <w:rFonts w:hint="default" w:ascii="Times New Roman" w:hAnsi="Times New Roman" w:cs="Times New Roman"/>
          <w:b w:val="0"/>
          <w:bCs w:val="0"/>
          <w:color w:val="0000FF"/>
          <w:sz w:val="24"/>
          <w:szCs w:val="24"/>
          <w:lang w:val="en-US" w:eastAsia="zh-CN"/>
        </w:rPr>
      </w:pPr>
      <w:r>
        <w:rPr>
          <w:rFonts w:hint="default" w:ascii="Times New Roman" w:hAnsi="Times New Roman" w:cs="Times New Roman"/>
          <w:b w:val="0"/>
          <w:bCs w:val="0"/>
          <w:color w:val="0000FF"/>
          <w:sz w:val="24"/>
          <w:szCs w:val="24"/>
          <w:lang w:val="en-US" w:eastAsia="zh-CN"/>
        </w:rPr>
        <w:t>根据比较，比选方案方案虽</w:t>
      </w:r>
      <w:r>
        <w:rPr>
          <w:rFonts w:hint="eastAsia" w:ascii="Times New Roman" w:hAnsi="Times New Roman" w:cs="Times New Roman"/>
          <w:b w:val="0"/>
          <w:bCs w:val="0"/>
          <w:color w:val="0000FF"/>
          <w:sz w:val="24"/>
          <w:szCs w:val="24"/>
          <w:lang w:val="en-US" w:eastAsia="zh-CN"/>
        </w:rPr>
        <w:t>工程</w:t>
      </w:r>
      <w:r>
        <w:rPr>
          <w:rFonts w:hint="default" w:ascii="Times New Roman" w:hAnsi="Times New Roman" w:cs="Times New Roman"/>
          <w:b w:val="0"/>
          <w:bCs w:val="0"/>
          <w:color w:val="0000FF"/>
          <w:sz w:val="24"/>
          <w:szCs w:val="24"/>
          <w:lang w:val="en-US" w:eastAsia="zh-CN"/>
        </w:rPr>
        <w:t>不占生态保护红线</w:t>
      </w:r>
      <w:r>
        <w:rPr>
          <w:rFonts w:hint="eastAsia" w:ascii="Times New Roman" w:hAnsi="Times New Roman" w:cs="Times New Roman"/>
          <w:b w:val="0"/>
          <w:bCs w:val="0"/>
          <w:color w:val="0000FF"/>
          <w:sz w:val="24"/>
          <w:szCs w:val="24"/>
          <w:lang w:val="en-US" w:eastAsia="zh-CN"/>
        </w:rPr>
        <w:t>、</w:t>
      </w:r>
      <w:r>
        <w:rPr>
          <w:rFonts w:hint="default" w:ascii="Times New Roman" w:hAnsi="Times New Roman" w:cs="Times New Roman"/>
          <w:b w:val="0"/>
          <w:bCs w:val="0"/>
          <w:color w:val="0000FF"/>
          <w:sz w:val="24"/>
          <w:szCs w:val="24"/>
          <w:lang w:val="en-US" w:eastAsia="zh-CN"/>
        </w:rPr>
        <w:t>声环境及大气环境保护目标较少</w:t>
      </w:r>
      <w:r>
        <w:rPr>
          <w:rFonts w:hint="eastAsia" w:ascii="Times New Roman" w:hAnsi="Times New Roman" w:cs="Times New Roman"/>
          <w:b w:val="0"/>
          <w:bCs w:val="0"/>
          <w:color w:val="0000FF"/>
          <w:sz w:val="24"/>
          <w:szCs w:val="24"/>
          <w:lang w:val="en-US" w:eastAsia="zh-CN"/>
        </w:rPr>
        <w:t>、</w:t>
      </w:r>
      <w:r>
        <w:rPr>
          <w:rFonts w:hint="default" w:ascii="Times New Roman" w:hAnsi="Times New Roman" w:cs="Times New Roman"/>
          <w:b w:val="0"/>
          <w:bCs w:val="0"/>
          <w:color w:val="0000FF"/>
          <w:sz w:val="24"/>
          <w:szCs w:val="24"/>
          <w:lang w:val="en-US" w:eastAsia="zh-CN"/>
        </w:rPr>
        <w:t>管道占用永久基本农田较少</w:t>
      </w:r>
      <w:r>
        <w:rPr>
          <w:rFonts w:hint="eastAsia" w:ascii="Times New Roman" w:hAnsi="Times New Roman" w:cs="Times New Roman"/>
          <w:b w:val="0"/>
          <w:bCs w:val="0"/>
          <w:color w:val="0000FF"/>
          <w:sz w:val="24"/>
          <w:szCs w:val="24"/>
          <w:lang w:val="en-US" w:eastAsia="zh-CN"/>
        </w:rPr>
        <w:t>。</w:t>
      </w:r>
      <w:r>
        <w:rPr>
          <w:rFonts w:hint="default" w:ascii="Times New Roman" w:hAnsi="Times New Roman" w:cs="Times New Roman"/>
          <w:b w:val="0"/>
          <w:bCs w:val="0"/>
          <w:color w:val="0000FF"/>
          <w:sz w:val="24"/>
          <w:szCs w:val="24"/>
          <w:lang w:val="en-US" w:eastAsia="zh-CN"/>
        </w:rPr>
        <w:t>但</w:t>
      </w:r>
      <w:r>
        <w:rPr>
          <w:rFonts w:hint="eastAsia" w:ascii="Times New Roman" w:hAnsi="Times New Roman" w:cs="Times New Roman"/>
          <w:b w:val="0"/>
          <w:bCs w:val="0"/>
          <w:color w:val="0000FF"/>
          <w:sz w:val="24"/>
          <w:szCs w:val="24"/>
          <w:lang w:val="en-US" w:eastAsia="zh-CN"/>
        </w:rPr>
        <w:t>施工便道占用生态保护红线、施工便道较设计方案增加占用基本农田面积，</w:t>
      </w:r>
      <w:r>
        <w:rPr>
          <w:rFonts w:hint="eastAsia" w:ascii="Times New Roman" w:hAnsi="Times New Roman" w:cs="Times New Roman"/>
          <w:color w:val="0000FF"/>
          <w:sz w:val="24"/>
          <w:szCs w:val="24"/>
          <w:highlight w:val="none"/>
          <w:vertAlign w:val="baseline"/>
          <w:lang w:val="en-US" w:eastAsia="zh-CN"/>
        </w:rPr>
        <w:t>总占用面积约29467.3</w:t>
      </w:r>
      <w:r>
        <w:rPr>
          <w:rFonts w:hint="default" w:ascii="Times New Roman" w:hAnsi="Times New Roman" w:cs="Times New Roman"/>
          <w:color w:val="0000FF"/>
          <w:sz w:val="24"/>
          <w:szCs w:val="24"/>
          <w:highlight w:val="none"/>
          <w:lang w:val="en-US" w:eastAsia="zh-CN"/>
        </w:rPr>
        <w:t>m</w:t>
      </w:r>
      <w:r>
        <w:rPr>
          <w:rFonts w:hint="default" w:ascii="Times New Roman" w:hAnsi="Times New Roman" w:cs="Times New Roman"/>
          <w:color w:val="0000FF"/>
          <w:sz w:val="24"/>
          <w:szCs w:val="24"/>
          <w:highlight w:val="none"/>
          <w:vertAlign w:val="superscript"/>
          <w:lang w:val="en-US" w:eastAsia="zh-CN"/>
        </w:rPr>
        <w:t>2</w:t>
      </w:r>
      <w:r>
        <w:rPr>
          <w:rFonts w:hint="eastAsia" w:ascii="Times New Roman" w:hAnsi="Times New Roman" w:cs="Times New Roman"/>
          <w:color w:val="0000FF"/>
          <w:sz w:val="24"/>
          <w:szCs w:val="24"/>
          <w:highlight w:val="none"/>
          <w:vertAlign w:val="baseline"/>
          <w:lang w:val="en-US" w:eastAsia="zh-CN"/>
        </w:rPr>
        <w:t>，略多于设计方案。</w:t>
      </w:r>
    </w:p>
    <w:p>
      <w:pPr>
        <w:pStyle w:val="28"/>
        <w:keepNext w:val="0"/>
        <w:keepLines w:val="0"/>
        <w:pageBreakBefore w:val="0"/>
        <w:widowControl w:val="0"/>
        <w:kinsoku/>
        <w:wordWrap w:val="0"/>
        <w:overflowPunct/>
        <w:topLinePunct w:val="0"/>
        <w:autoSpaceDE/>
        <w:autoSpaceDN/>
        <w:bidi w:val="0"/>
        <w:adjustRightInd/>
        <w:snapToGrid w:val="0"/>
        <w:spacing w:line="360" w:lineRule="auto"/>
        <w:jc w:val="left"/>
        <w:textAlignment w:val="auto"/>
        <w:rPr>
          <w:rFonts w:hint="eastAsia"/>
          <w:b w:val="0"/>
          <w:bCs w:val="0"/>
          <w:color w:val="0000FF"/>
          <w:sz w:val="24"/>
          <w:szCs w:val="24"/>
          <w:highlight w:val="none"/>
          <w:lang w:val="en-US" w:eastAsia="zh-CN"/>
        </w:rPr>
      </w:pPr>
      <w:r>
        <w:rPr>
          <w:rFonts w:hint="eastAsia" w:ascii="Times New Roman" w:hAnsi="Times New Roman" w:cs="Times New Roman"/>
          <w:b w:val="0"/>
          <w:bCs w:val="0"/>
          <w:color w:val="0000FF"/>
          <w:sz w:val="24"/>
          <w:szCs w:val="24"/>
          <w:lang w:val="en-US" w:eastAsia="zh-CN"/>
        </w:rPr>
        <w:t>相比之下，设计方案管道临时占用生态红线，但是</w:t>
      </w:r>
      <w:r>
        <w:rPr>
          <w:rFonts w:hint="default" w:ascii="Times New Roman" w:hAnsi="Times New Roman" w:cs="Times New Roman"/>
          <w:b w:val="0"/>
          <w:bCs w:val="0"/>
          <w:color w:val="0000FF"/>
          <w:sz w:val="24"/>
          <w:szCs w:val="24"/>
          <w:lang w:val="en-US" w:eastAsia="zh-CN"/>
        </w:rPr>
        <w:t>施工占地少18.03hm</w:t>
      </w:r>
      <w:r>
        <w:rPr>
          <w:rFonts w:hint="default" w:ascii="Times New Roman" w:hAnsi="Times New Roman" w:cs="Times New Roman"/>
          <w:b w:val="0"/>
          <w:bCs w:val="0"/>
          <w:color w:val="0000FF"/>
          <w:sz w:val="24"/>
          <w:szCs w:val="24"/>
          <w:vertAlign w:val="superscript"/>
          <w:lang w:val="en-US" w:eastAsia="zh-CN"/>
        </w:rPr>
        <w:t>2</w:t>
      </w:r>
      <w:r>
        <w:rPr>
          <w:rFonts w:hint="default" w:ascii="Times New Roman" w:hAnsi="Times New Roman" w:cs="Times New Roman"/>
          <w:b w:val="0"/>
          <w:bCs w:val="0"/>
          <w:color w:val="0000FF"/>
          <w:sz w:val="24"/>
          <w:szCs w:val="24"/>
          <w:lang w:val="en-US" w:eastAsia="zh-CN"/>
        </w:rPr>
        <w:t>，管长少</w:t>
      </w:r>
      <w:r>
        <w:rPr>
          <w:rFonts w:hint="eastAsia" w:ascii="Times New Roman" w:hAnsi="Times New Roman" w:cs="Times New Roman"/>
          <w:b w:val="0"/>
          <w:bCs w:val="0"/>
          <w:color w:val="0000FF"/>
          <w:sz w:val="24"/>
          <w:szCs w:val="24"/>
          <w:lang w:val="en-US" w:eastAsia="zh-CN"/>
        </w:rPr>
        <w:t>占地</w:t>
      </w:r>
      <w:r>
        <w:rPr>
          <w:rFonts w:hint="default" w:ascii="Times New Roman" w:hAnsi="Times New Roman" w:cs="Times New Roman"/>
          <w:b w:val="0"/>
          <w:bCs w:val="0"/>
          <w:color w:val="0000FF"/>
          <w:sz w:val="24"/>
          <w:szCs w:val="24"/>
          <w:lang w:val="en-US" w:eastAsia="zh-CN"/>
        </w:rPr>
        <w:t>6.157hm</w:t>
      </w:r>
      <w:r>
        <w:rPr>
          <w:rFonts w:hint="default" w:ascii="Times New Roman" w:hAnsi="Times New Roman" w:cs="Times New Roman"/>
          <w:b w:val="0"/>
          <w:bCs w:val="0"/>
          <w:color w:val="0000FF"/>
          <w:sz w:val="24"/>
          <w:szCs w:val="24"/>
          <w:vertAlign w:val="superscript"/>
          <w:lang w:val="en-US" w:eastAsia="zh-CN"/>
        </w:rPr>
        <w:t>2</w:t>
      </w:r>
      <w:r>
        <w:rPr>
          <w:rFonts w:hint="default" w:ascii="Times New Roman" w:hAnsi="Times New Roman" w:cs="Times New Roman"/>
          <w:b w:val="0"/>
          <w:bCs w:val="0"/>
          <w:color w:val="0000FF"/>
          <w:sz w:val="24"/>
          <w:szCs w:val="24"/>
          <w:lang w:val="en-US" w:eastAsia="zh-CN"/>
        </w:rPr>
        <w:t>，对土地的扰动更小。为更方便服务于农业灌溉，且更易于施工。设计方案施工</w:t>
      </w:r>
      <w:r>
        <w:rPr>
          <w:rFonts w:hint="default" w:ascii="Times New Roman" w:hAnsi="Times New Roman" w:cs="Times New Roman"/>
          <w:b w:val="0"/>
          <w:bCs w:val="0"/>
          <w:color w:val="0000FF"/>
          <w:sz w:val="24"/>
          <w:szCs w:val="24"/>
          <w:highlight w:val="none"/>
          <w:lang w:val="en-US" w:eastAsia="zh-CN"/>
        </w:rPr>
        <w:t>虽不可避免的穿越基本农田、生态红线，但不修建永久性建（构）筑物，拟施工道路采用泥结石</w:t>
      </w:r>
      <w:r>
        <w:rPr>
          <w:rFonts w:hint="eastAsia"/>
          <w:b w:val="0"/>
          <w:bCs w:val="0"/>
          <w:color w:val="0000FF"/>
          <w:sz w:val="24"/>
          <w:szCs w:val="24"/>
          <w:highlight w:val="none"/>
          <w:lang w:val="en-US" w:eastAsia="zh-CN"/>
        </w:rPr>
        <w:t>，施工结束后该材质道路易于恢复为基本农田；农灌管道采用埋管，完工后将进行进行覆土、复耕，运营期不影响农田正常耕种，生态功能不会降低。</w:t>
      </w:r>
    </w:p>
    <w:p>
      <w:pPr>
        <w:pStyle w:val="28"/>
        <w:spacing w:line="360" w:lineRule="auto"/>
        <w:jc w:val="left"/>
        <w:rPr>
          <w:rFonts w:hint="default"/>
          <w:b w:val="0"/>
          <w:bCs w:val="0"/>
          <w:color w:val="0000FF"/>
          <w:sz w:val="24"/>
          <w:szCs w:val="24"/>
          <w:highlight w:val="none"/>
          <w:lang w:val="en-US" w:eastAsia="zh-CN"/>
        </w:rPr>
      </w:pPr>
      <w:r>
        <w:rPr>
          <w:rFonts w:hint="eastAsia"/>
          <w:b w:val="0"/>
          <w:bCs w:val="0"/>
          <w:color w:val="0000FF"/>
          <w:sz w:val="24"/>
          <w:szCs w:val="24"/>
          <w:highlight w:val="none"/>
          <w:lang w:val="en-US" w:eastAsia="zh-CN"/>
        </w:rPr>
        <w:t>因此，从环保的角度分析，设计方案施工扰动面积较小、施工难度小。对环境的影响更小。本次环评同意实施方案提出的工程建设方案。</w:t>
      </w:r>
    </w:p>
    <w:p>
      <w:pPr>
        <w:numPr>
          <w:ilvl w:val="0"/>
          <w:numId w:val="0"/>
        </w:numPr>
        <w:tabs>
          <w:tab w:val="left" w:pos="420"/>
        </w:tabs>
        <w:bidi w:val="0"/>
        <w:ind w:leftChars="200"/>
        <w:rPr>
          <w:rFonts w:hint="default"/>
          <w:b/>
          <w:bCs/>
          <w:color w:val="0000FF"/>
          <w:lang w:val="en-US" w:eastAsia="zh-CN"/>
        </w:rPr>
      </w:pPr>
      <w:r>
        <w:rPr>
          <w:rFonts w:hint="eastAsia"/>
          <w:b/>
          <w:bCs/>
          <w:color w:val="0000FF"/>
          <w:lang w:val="en-US" w:eastAsia="zh-CN"/>
        </w:rPr>
        <w:t>2、建设方案与相关政策的符合性分析</w:t>
      </w:r>
    </w:p>
    <w:p>
      <w:pPr>
        <w:rPr>
          <w:rFonts w:hint="default"/>
          <w:b/>
          <w:bCs/>
          <w:color w:val="0000FF"/>
          <w:lang w:val="en-US" w:eastAsia="zh-CN"/>
        </w:rPr>
      </w:pPr>
      <w:r>
        <w:rPr>
          <w:rFonts w:hint="eastAsia"/>
          <w:b/>
          <w:bCs/>
          <w:color w:val="0000FF"/>
          <w:lang w:val="en-US" w:eastAsia="zh-CN"/>
        </w:rPr>
        <w:t>（1）占用生态保护红线与相关政策符合性分析</w:t>
      </w:r>
    </w:p>
    <w:p>
      <w:pPr>
        <w:keepNext w:val="0"/>
        <w:keepLines w:val="0"/>
        <w:widowControl/>
        <w:suppressLineNumbers w:val="0"/>
        <w:jc w:val="left"/>
        <w:rPr>
          <w:rFonts w:hint="eastAsia"/>
          <w:color w:val="0000FF"/>
        </w:rPr>
      </w:pPr>
      <w:r>
        <w:rPr>
          <w:rFonts w:hint="eastAsia"/>
          <w:color w:val="0000FF"/>
        </w:rPr>
        <w:t>《关于加强生态保护红线管理的通知（试行）》（自然资发〔2022〕142号）中要求：（一）规范管控对生态功能不造成破坏的有限人为活动。生态保护红线是国土空间规划中的重要管控边界，生态保护红线内自然保护地核心保护区外，禁止开发性、生产性建设活动，在符合法律法规的前提下，仅允许以下对生态功能不造成破坏的有限人为活动。生态保护红线内自然保护区、风景名胜区、饮用水水源保护区等区域，依照法律法规执行。其中有限人为活动包括必须且无法避让、符合县级以上国土空间规划的线性基础设施、通讯和防洪、供水设施建设和船舶航行、航道疏浚清淤等活动；已有的合法水利、交通运输等设施运行维护改造。（二）加强有限人为活动管理。上述生态保护红线管控范围内有限人为活动，涉及新增建设用地、用海用岛审批的，在报批农用地转用、土地征收、海域使用权、无居民海岛开发利用时，附省级人民政府出具符合生态保护红线内允许有限人为活动的认定意见；不涉及新增建设用地、用海用岛审批的，按有关规定进行管理，无明确规定的由省级人民政府制定具体监管办法。上述活动涉及自然保护地的，应征求林业和草原主管部门或自然保护地管理机构意见。</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eastAsia" w:ascii="Times New Roman" w:hAnsi="Times New Roman" w:eastAsia="宋体" w:cs="Times New Roman"/>
          <w:color w:val="0000FF"/>
          <w:lang w:val="en-US" w:eastAsia="zh-CN"/>
        </w:rPr>
      </w:pPr>
      <w:r>
        <w:rPr>
          <w:rFonts w:hint="eastAsia"/>
          <w:color w:val="0000FF"/>
        </w:rPr>
        <w:t>根据“三区三线”查询结果，本项目</w:t>
      </w:r>
      <w:r>
        <w:rPr>
          <w:rFonts w:hint="eastAsia"/>
          <w:color w:val="0000FF"/>
          <w:lang w:val="en-US" w:eastAsia="zh-CN"/>
        </w:rPr>
        <w:t>涉及生态保护红线。</w:t>
      </w:r>
      <w:r>
        <w:rPr>
          <w:rFonts w:hint="eastAsia"/>
          <w:color w:val="0000FF"/>
          <w:highlight w:val="none"/>
          <w:shd w:val="clear"/>
          <w:vertAlign w:val="baseline"/>
          <w:lang w:val="en-US" w:eastAsia="zh-CN"/>
        </w:rPr>
        <w:t>主要集中在北干管与金马分干管交叉处附近。由于地势、施工难度、灌区农田的分布等原因，管道不可不免占用生态红线。根据2024年3月8日元谋县人民政</w:t>
      </w:r>
      <w:r>
        <w:rPr>
          <w:rFonts w:hint="eastAsia" w:ascii="Times New Roman" w:hAnsi="Times New Roman" w:eastAsia="宋体" w:cs="Times New Roman"/>
          <w:color w:val="0000FF"/>
          <w:lang w:val="en-US" w:eastAsia="zh-CN"/>
        </w:rPr>
        <w:t>府出具的关于项目为有限人为活动的认定（附件5）：“经核实，项目工程施工内容不涉及新增建设用地，属于《云南省自然资源厅云南省生态环境厅云南省林业和草原局关于加强生态保护红线管理工作的通知》(云自然资(2023）98号)中有限人为活动准入目录中必须且无法避让、符合县级以上国土空间规划的线性基础设施。”</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eastAsia="宋体" w:cs="Times New Roman"/>
          <w:color w:val="0000FF"/>
          <w:lang w:val="en-US" w:eastAsia="zh-CN"/>
        </w:rPr>
      </w:pPr>
      <w:r>
        <w:rPr>
          <w:rFonts w:hint="eastAsia" w:ascii="Times New Roman" w:hAnsi="Times New Roman" w:eastAsia="宋体" w:cs="Times New Roman"/>
          <w:color w:val="0000FF"/>
          <w:lang w:val="en-US" w:eastAsia="zh-CN"/>
        </w:rPr>
        <w:t>因此，本项目占用生态保护红线符合《关于加强生态保护红线管理的通知（试行）》（自然资发〔2022〕142号）、《云南省自然资源厅云南省生态环境厅云南省林业和草原局关于加强生态保护红线管理工作的通知》(云自然资(2023）98号)等文件的要求。</w:t>
      </w:r>
    </w:p>
    <w:p>
      <w:pPr>
        <w:jc w:val="left"/>
        <w:rPr>
          <w:rFonts w:hint="default"/>
          <w:b/>
          <w:bCs/>
          <w:color w:val="0000FF"/>
          <w:lang w:val="en-US" w:eastAsia="zh-CN"/>
        </w:rPr>
      </w:pPr>
      <w:r>
        <w:rPr>
          <w:rFonts w:hint="eastAsia"/>
          <w:b/>
          <w:bCs/>
          <w:color w:val="0000FF"/>
          <w:lang w:val="en-US" w:eastAsia="zh-CN"/>
        </w:rPr>
        <w:t>（2）占用永久基本农田与相关政策符合性分析</w:t>
      </w:r>
    </w:p>
    <w:p>
      <w:pPr>
        <w:snapToGrid w:val="0"/>
        <w:spacing w:before="0" w:beforeAutospacing="0" w:after="0" w:afterAutospacing="0" w:line="360" w:lineRule="auto"/>
        <w:ind w:firstLine="480" w:firstLineChars="200"/>
        <w:jc w:val="left"/>
        <w:textAlignment w:val="baseline"/>
        <w:rPr>
          <w:rStyle w:val="61"/>
          <w:rFonts w:ascii="Times New Roman" w:hAnsi="Times New Roman" w:eastAsia="宋体"/>
          <w:b w:val="0"/>
          <w:i w:val="0"/>
          <w:caps w:val="0"/>
          <w:color w:val="0000FF"/>
          <w:spacing w:val="0"/>
          <w:w w:val="100"/>
          <w:kern w:val="2"/>
          <w:sz w:val="24"/>
          <w:szCs w:val="24"/>
          <w:lang w:val="en-US" w:eastAsia="zh-CN" w:bidi="ar-SA"/>
        </w:rPr>
      </w:pPr>
      <w:r>
        <w:rPr>
          <w:rStyle w:val="61"/>
          <w:rFonts w:hint="eastAsia" w:ascii="Times New Roman" w:hAnsi="Times New Roman" w:eastAsia="宋体"/>
          <w:b w:val="0"/>
          <w:i w:val="0"/>
          <w:caps w:val="0"/>
          <w:color w:val="0000FF"/>
          <w:spacing w:val="0"/>
          <w:w w:val="100"/>
          <w:kern w:val="2"/>
          <w:sz w:val="24"/>
          <w:szCs w:val="24"/>
          <w:lang w:val="en-US" w:eastAsia="zh-CN" w:bidi="ar-SA"/>
        </w:rPr>
        <w:t>2011</w:t>
      </w:r>
      <w:r>
        <w:rPr>
          <w:rStyle w:val="61"/>
          <w:rFonts w:ascii="Times New Roman" w:hAnsi="Times New Roman" w:eastAsia="宋体"/>
          <w:b w:val="0"/>
          <w:i w:val="0"/>
          <w:caps w:val="0"/>
          <w:color w:val="0000FF"/>
          <w:spacing w:val="0"/>
          <w:w w:val="100"/>
          <w:kern w:val="2"/>
          <w:sz w:val="24"/>
          <w:szCs w:val="24"/>
          <w:lang w:val="en-US" w:eastAsia="zh-CN" w:bidi="ar-SA"/>
        </w:rPr>
        <w:t>年</w:t>
      </w:r>
      <w:r>
        <w:rPr>
          <w:rStyle w:val="61"/>
          <w:rFonts w:hint="eastAsia" w:ascii="Times New Roman" w:hAnsi="Times New Roman" w:eastAsia="宋体"/>
          <w:b w:val="0"/>
          <w:i w:val="0"/>
          <w:caps w:val="0"/>
          <w:color w:val="0000FF"/>
          <w:spacing w:val="0"/>
          <w:w w:val="100"/>
          <w:kern w:val="2"/>
          <w:sz w:val="24"/>
          <w:szCs w:val="24"/>
          <w:lang w:val="en-US" w:eastAsia="zh-CN" w:bidi="ar-SA"/>
        </w:rPr>
        <w:t>1</w:t>
      </w:r>
      <w:r>
        <w:rPr>
          <w:rStyle w:val="61"/>
          <w:rFonts w:ascii="Times New Roman" w:hAnsi="Times New Roman" w:eastAsia="宋体"/>
          <w:b w:val="0"/>
          <w:i w:val="0"/>
          <w:caps w:val="0"/>
          <w:color w:val="0000FF"/>
          <w:spacing w:val="0"/>
          <w:w w:val="100"/>
          <w:kern w:val="2"/>
          <w:sz w:val="24"/>
          <w:szCs w:val="24"/>
          <w:lang w:val="en-US" w:eastAsia="zh-CN" w:bidi="ar-SA"/>
        </w:rPr>
        <w:t>月</w:t>
      </w:r>
      <w:r>
        <w:rPr>
          <w:rStyle w:val="61"/>
          <w:rFonts w:hint="eastAsia" w:ascii="Times New Roman" w:hAnsi="Times New Roman" w:eastAsia="宋体"/>
          <w:b w:val="0"/>
          <w:i w:val="0"/>
          <w:caps w:val="0"/>
          <w:color w:val="0000FF"/>
          <w:spacing w:val="0"/>
          <w:w w:val="100"/>
          <w:kern w:val="2"/>
          <w:sz w:val="24"/>
          <w:szCs w:val="24"/>
          <w:lang w:val="en-US" w:eastAsia="zh-CN" w:bidi="ar-SA"/>
        </w:rPr>
        <w:t>18日，</w:t>
      </w:r>
      <w:r>
        <w:rPr>
          <w:rStyle w:val="61"/>
          <w:rFonts w:ascii="Times New Roman" w:hAnsi="Times New Roman" w:eastAsia="宋体"/>
          <w:b w:val="0"/>
          <w:i w:val="0"/>
          <w:caps w:val="0"/>
          <w:color w:val="0000FF"/>
          <w:spacing w:val="0"/>
          <w:w w:val="100"/>
          <w:kern w:val="2"/>
          <w:sz w:val="24"/>
          <w:szCs w:val="24"/>
          <w:lang w:val="en-US" w:eastAsia="zh-CN" w:bidi="ar-SA"/>
        </w:rPr>
        <w:t>国务院通过的《基本农田保护条例》第十五条规定“基本农田保护区经依法划定后，任何单位和个人不得改变或者占用。国家能源、交通、水利、军事设施等重点建设项目选址确实无法避开基本农田保护区，需要占用基本农田，涉及农用地转用或者征用土地的，必须经国务院批准。”</w:t>
      </w:r>
    </w:p>
    <w:p>
      <w:pPr>
        <w:snapToGrid w:val="0"/>
        <w:spacing w:before="0" w:beforeAutospacing="0" w:after="0" w:afterAutospacing="0" w:line="360" w:lineRule="auto"/>
        <w:ind w:firstLine="480" w:firstLineChars="200"/>
        <w:jc w:val="left"/>
        <w:textAlignment w:val="baseline"/>
        <w:rPr>
          <w:rStyle w:val="61"/>
          <w:rFonts w:ascii="Times New Roman" w:hAnsi="Times New Roman" w:eastAsia="宋体"/>
          <w:b w:val="0"/>
          <w:bCs w:val="0"/>
          <w:i w:val="0"/>
          <w:caps w:val="0"/>
          <w:color w:val="0000FF"/>
          <w:spacing w:val="0"/>
          <w:w w:val="100"/>
          <w:kern w:val="2"/>
          <w:sz w:val="24"/>
          <w:szCs w:val="24"/>
          <w:lang w:val="en-US" w:eastAsia="zh-CN" w:bidi="ar-SA"/>
        </w:rPr>
      </w:pPr>
      <w:r>
        <w:rPr>
          <w:rStyle w:val="61"/>
          <w:rFonts w:ascii="Times New Roman" w:hAnsi="Times New Roman" w:eastAsia="宋体"/>
          <w:b w:val="0"/>
          <w:bCs w:val="0"/>
          <w:i w:val="0"/>
          <w:caps w:val="0"/>
          <w:color w:val="0000FF"/>
          <w:spacing w:val="0"/>
          <w:w w:val="100"/>
          <w:kern w:val="2"/>
          <w:sz w:val="24"/>
          <w:szCs w:val="24"/>
          <w:lang w:val="en-US" w:eastAsia="zh-CN" w:bidi="ar-SA"/>
        </w:rPr>
        <w:t>本工程</w:t>
      </w:r>
      <w:r>
        <w:rPr>
          <w:rStyle w:val="61"/>
          <w:rFonts w:hint="eastAsia" w:ascii="Times New Roman" w:hAnsi="Times New Roman" w:eastAsia="宋体"/>
          <w:b w:val="0"/>
          <w:bCs w:val="0"/>
          <w:i w:val="0"/>
          <w:caps w:val="0"/>
          <w:color w:val="0000FF"/>
          <w:spacing w:val="0"/>
          <w:w w:val="100"/>
          <w:kern w:val="2"/>
          <w:sz w:val="24"/>
          <w:szCs w:val="24"/>
          <w:lang w:val="en-US" w:eastAsia="zh-CN" w:bidi="ar-SA"/>
        </w:rPr>
        <w:t>管道、临时施工道路占用永久基本农田，其中管道</w:t>
      </w:r>
      <w:r>
        <w:rPr>
          <w:rFonts w:hint="eastAsia"/>
          <w:color w:val="0000FF"/>
          <w:highlight w:val="none"/>
          <w:lang w:val="en-US" w:eastAsia="zh-CN"/>
        </w:rPr>
        <w:t>占用基本农田面积为25500m</w:t>
      </w:r>
      <w:r>
        <w:rPr>
          <w:rFonts w:hint="eastAsia"/>
          <w:color w:val="0000FF"/>
          <w:highlight w:val="none"/>
          <w:vertAlign w:val="superscript"/>
          <w:lang w:val="en-US" w:eastAsia="zh-CN"/>
        </w:rPr>
        <w:t>2</w:t>
      </w:r>
      <w:r>
        <w:rPr>
          <w:rFonts w:hint="eastAsia"/>
          <w:color w:val="0000FF"/>
          <w:highlight w:val="none"/>
          <w:vertAlign w:val="baseline"/>
          <w:lang w:val="en-US" w:eastAsia="zh-CN"/>
        </w:rPr>
        <w:t>；</w:t>
      </w:r>
      <w:r>
        <w:rPr>
          <w:rFonts w:hint="eastAsia"/>
          <w:color w:val="0000FF"/>
          <w:highlight w:val="none"/>
          <w:lang w:eastAsia="zh-CN"/>
        </w:rPr>
        <w:t>施工便道</w:t>
      </w:r>
      <w:r>
        <w:rPr>
          <w:rFonts w:hint="eastAsia"/>
          <w:color w:val="0000FF"/>
          <w:highlight w:val="none"/>
          <w:lang w:val="en-US" w:eastAsia="zh-CN"/>
        </w:rPr>
        <w:t>占用基本农田面积为3967.30m</w:t>
      </w:r>
      <w:r>
        <w:rPr>
          <w:rFonts w:hint="eastAsia"/>
          <w:color w:val="0000FF"/>
          <w:highlight w:val="none"/>
          <w:vertAlign w:val="superscript"/>
          <w:lang w:val="en-US" w:eastAsia="zh-CN"/>
        </w:rPr>
        <w:t>2</w:t>
      </w:r>
      <w:r>
        <w:rPr>
          <w:rFonts w:hint="eastAsia"/>
          <w:color w:val="0000FF"/>
          <w:highlight w:val="none"/>
          <w:lang w:val="en-US" w:eastAsia="zh-CN"/>
        </w:rPr>
        <w:t>，</w:t>
      </w:r>
      <w:r>
        <w:rPr>
          <w:rStyle w:val="61"/>
          <w:rFonts w:hint="eastAsia" w:ascii="Times New Roman" w:hAnsi="Times New Roman" w:eastAsia="宋体"/>
          <w:b w:val="0"/>
          <w:bCs w:val="0"/>
          <w:i w:val="0"/>
          <w:caps w:val="0"/>
          <w:color w:val="0000FF"/>
          <w:spacing w:val="0"/>
          <w:w w:val="100"/>
          <w:kern w:val="2"/>
          <w:sz w:val="24"/>
          <w:szCs w:val="24"/>
          <w:lang w:val="en-US" w:eastAsia="zh-CN" w:bidi="ar-SA"/>
        </w:rPr>
        <w:t>管道为埋管敷设，施工临时道路为泥结石路面</w:t>
      </w:r>
      <w:r>
        <w:rPr>
          <w:rStyle w:val="61"/>
          <w:rFonts w:ascii="Times New Roman" w:hAnsi="Times New Roman" w:eastAsia="宋体"/>
          <w:b w:val="0"/>
          <w:bCs w:val="0"/>
          <w:i w:val="0"/>
          <w:caps w:val="0"/>
          <w:color w:val="0000FF"/>
          <w:spacing w:val="0"/>
          <w:w w:val="100"/>
          <w:kern w:val="2"/>
          <w:sz w:val="24"/>
          <w:szCs w:val="24"/>
          <w:lang w:val="en-US" w:eastAsia="zh-CN" w:bidi="ar-SA"/>
        </w:rPr>
        <w:t>，</w:t>
      </w:r>
      <w:r>
        <w:rPr>
          <w:rStyle w:val="61"/>
          <w:rFonts w:hint="eastAsia" w:ascii="Times New Roman" w:hAnsi="Times New Roman" w:eastAsia="宋体"/>
          <w:b w:val="0"/>
          <w:bCs w:val="0"/>
          <w:i w:val="0"/>
          <w:caps w:val="0"/>
          <w:color w:val="0000FF"/>
          <w:spacing w:val="0"/>
          <w:w w:val="100"/>
          <w:kern w:val="2"/>
          <w:sz w:val="24"/>
          <w:szCs w:val="24"/>
          <w:lang w:val="en-US" w:eastAsia="zh-CN" w:bidi="ar-SA"/>
        </w:rPr>
        <w:t>均</w:t>
      </w:r>
      <w:r>
        <w:rPr>
          <w:rStyle w:val="61"/>
          <w:rFonts w:ascii="Times New Roman" w:hAnsi="Times New Roman" w:eastAsia="宋体"/>
          <w:b w:val="0"/>
          <w:bCs w:val="0"/>
          <w:i w:val="0"/>
          <w:caps w:val="0"/>
          <w:color w:val="0000FF"/>
          <w:spacing w:val="0"/>
          <w:w w:val="100"/>
          <w:kern w:val="2"/>
          <w:sz w:val="24"/>
          <w:szCs w:val="24"/>
          <w:lang w:val="en-US" w:eastAsia="zh-CN" w:bidi="ar-SA"/>
        </w:rPr>
        <w:t>为临时占用。环评要求建设单位须落实占用基本农田管段为埋管敷设</w:t>
      </w:r>
      <w:r>
        <w:rPr>
          <w:rStyle w:val="61"/>
          <w:rFonts w:hint="eastAsia" w:ascii="Times New Roman" w:hAnsi="Times New Roman" w:eastAsia="宋体"/>
          <w:b w:val="0"/>
          <w:bCs w:val="0"/>
          <w:i w:val="0"/>
          <w:caps w:val="0"/>
          <w:color w:val="0000FF"/>
          <w:spacing w:val="0"/>
          <w:w w:val="100"/>
          <w:kern w:val="2"/>
          <w:sz w:val="24"/>
          <w:szCs w:val="24"/>
          <w:lang w:val="en-US" w:eastAsia="zh-CN" w:bidi="ar-SA"/>
        </w:rPr>
        <w:t>、施工结束后对施工便道进行恢复，</w:t>
      </w:r>
      <w:r>
        <w:rPr>
          <w:rStyle w:val="61"/>
          <w:rFonts w:ascii="Times New Roman" w:hAnsi="Times New Roman" w:eastAsia="宋体"/>
          <w:b w:val="0"/>
          <w:i w:val="0"/>
          <w:caps w:val="0"/>
          <w:color w:val="0000FF"/>
          <w:spacing w:val="0"/>
          <w:w w:val="100"/>
          <w:kern w:val="2"/>
          <w:sz w:val="24"/>
          <w:szCs w:val="24"/>
          <w:lang w:val="en-US" w:eastAsia="zh-CN" w:bidi="ar-SA"/>
        </w:rPr>
        <w:t>减少对基本农田的影响</w:t>
      </w:r>
      <w:r>
        <w:rPr>
          <w:rStyle w:val="61"/>
          <w:rFonts w:ascii="Times New Roman" w:hAnsi="Times New Roman" w:eastAsia="宋体"/>
          <w:b w:val="0"/>
          <w:bCs w:val="0"/>
          <w:i w:val="0"/>
          <w:caps w:val="0"/>
          <w:color w:val="0000FF"/>
          <w:spacing w:val="0"/>
          <w:w w:val="100"/>
          <w:kern w:val="2"/>
          <w:sz w:val="24"/>
          <w:szCs w:val="24"/>
          <w:lang w:val="en-US" w:eastAsia="zh-CN" w:bidi="ar-SA"/>
        </w:rPr>
        <w:t>。</w:t>
      </w:r>
    </w:p>
    <w:p>
      <w:pPr>
        <w:snapToGrid w:val="0"/>
        <w:spacing w:before="0" w:beforeAutospacing="0" w:after="0" w:afterAutospacing="0" w:line="360" w:lineRule="auto"/>
        <w:ind w:firstLine="480" w:firstLineChars="200"/>
        <w:jc w:val="left"/>
        <w:textAlignment w:val="baseline"/>
        <w:rPr>
          <w:rStyle w:val="61"/>
          <w:rFonts w:ascii="Times New Roman" w:hAnsi="Times New Roman" w:eastAsia="宋体"/>
          <w:b w:val="0"/>
          <w:i w:val="0"/>
          <w:caps w:val="0"/>
          <w:color w:val="0000FF"/>
          <w:spacing w:val="0"/>
          <w:w w:val="100"/>
          <w:kern w:val="2"/>
          <w:sz w:val="24"/>
          <w:szCs w:val="24"/>
          <w:highlight w:val="none"/>
          <w:lang w:val="en-US" w:eastAsia="zh-CN" w:bidi="ar-SA"/>
        </w:rPr>
      </w:pPr>
      <w:r>
        <w:rPr>
          <w:rStyle w:val="61"/>
          <w:rFonts w:ascii="Times New Roman" w:hAnsi="Times New Roman" w:eastAsia="宋体"/>
          <w:b w:val="0"/>
          <w:i w:val="0"/>
          <w:caps w:val="0"/>
          <w:color w:val="0000FF"/>
          <w:spacing w:val="0"/>
          <w:w w:val="100"/>
          <w:kern w:val="2"/>
          <w:sz w:val="24"/>
          <w:szCs w:val="24"/>
          <w:lang w:val="en-US" w:eastAsia="zh-CN" w:bidi="ar-SA"/>
        </w:rPr>
        <w:t>根据自然资源部  农业农村部文件《自然资源部  农业农村部关于加强和改进永久基本农田保护工作的通知》（自然资规[2019]1号），“临时用地一般不得占用永久基本农田，建设项目施工和地质勘查需要临时用地、选址确实难以避让永久基本农田的，在不修建永久性建（构）筑物、经复垦能恢复原种植条件的前提下，土地使用者按法定程序申请临时用地并编制土地复垦方案，经县级自然资源主管部门批准可临时占用，并在市级自然资源主管部门备案，一般不超过两年，同</w:t>
      </w:r>
      <w:r>
        <w:rPr>
          <w:rStyle w:val="61"/>
          <w:rFonts w:ascii="Times New Roman" w:hAnsi="Times New Roman" w:eastAsia="宋体"/>
          <w:b w:val="0"/>
          <w:i w:val="0"/>
          <w:caps w:val="0"/>
          <w:color w:val="0000FF"/>
          <w:spacing w:val="0"/>
          <w:w w:val="100"/>
          <w:kern w:val="2"/>
          <w:sz w:val="24"/>
          <w:szCs w:val="24"/>
          <w:highlight w:val="none"/>
          <w:lang w:val="en-US" w:eastAsia="zh-CN" w:bidi="ar-SA"/>
        </w:rPr>
        <w:t>时，通过耕地耕作层土壤剥离再利用等工程技术措施，减少对耕作层的破坏。”</w:t>
      </w:r>
    </w:p>
    <w:p>
      <w:pPr>
        <w:snapToGrid w:val="0"/>
        <w:spacing w:before="0" w:beforeAutospacing="0" w:after="0" w:afterAutospacing="0" w:line="360" w:lineRule="auto"/>
        <w:ind w:firstLine="480" w:firstLineChars="200"/>
        <w:jc w:val="left"/>
        <w:textAlignment w:val="baseline"/>
        <w:rPr>
          <w:rStyle w:val="61"/>
          <w:rFonts w:ascii="Times New Roman" w:hAnsi="Times New Roman" w:eastAsia="宋体"/>
          <w:b w:val="0"/>
          <w:i w:val="0"/>
          <w:caps w:val="0"/>
          <w:color w:val="0000FF"/>
          <w:spacing w:val="0"/>
          <w:w w:val="100"/>
          <w:kern w:val="2"/>
          <w:sz w:val="24"/>
          <w:szCs w:val="24"/>
          <w:lang w:val="en-US" w:eastAsia="zh-CN" w:bidi="ar-SA"/>
        </w:rPr>
      </w:pPr>
      <w:r>
        <w:rPr>
          <w:rStyle w:val="61"/>
          <w:rFonts w:ascii="Times New Roman" w:hAnsi="Times New Roman" w:eastAsia="宋体"/>
          <w:b w:val="0"/>
          <w:i w:val="0"/>
          <w:caps w:val="0"/>
          <w:color w:val="0000FF"/>
          <w:spacing w:val="0"/>
          <w:w w:val="100"/>
          <w:kern w:val="2"/>
          <w:sz w:val="24"/>
          <w:szCs w:val="24"/>
          <w:highlight w:val="none"/>
          <w:lang w:val="en-US" w:eastAsia="zh-CN" w:bidi="ar-SA"/>
        </w:rPr>
        <w:t>建设单位按照上述要求办理用地审批文件，</w:t>
      </w:r>
      <w:r>
        <w:rPr>
          <w:rStyle w:val="61"/>
          <w:rFonts w:ascii="Times New Roman" w:hAnsi="Times New Roman" w:eastAsia="宋体"/>
          <w:b w:val="0"/>
          <w:i w:val="0"/>
          <w:caps w:val="0"/>
          <w:color w:val="0000FF"/>
          <w:spacing w:val="0"/>
          <w:w w:val="100"/>
          <w:kern w:val="2"/>
          <w:sz w:val="24"/>
          <w:szCs w:val="24"/>
          <w:lang w:val="en-US" w:eastAsia="zh-CN" w:bidi="ar-SA"/>
        </w:rPr>
        <w:t>并对占地采取措施及时恢复后对基本农田影响较小；本工程建成后能够</w:t>
      </w:r>
      <w:r>
        <w:rPr>
          <w:rStyle w:val="61"/>
          <w:rFonts w:hint="eastAsia" w:ascii="Times New Roman" w:hAnsi="Times New Roman" w:eastAsia="宋体"/>
          <w:b w:val="0"/>
          <w:i w:val="0"/>
          <w:caps w:val="0"/>
          <w:color w:val="0000FF"/>
          <w:spacing w:val="0"/>
          <w:w w:val="100"/>
          <w:kern w:val="2"/>
          <w:sz w:val="24"/>
          <w:szCs w:val="24"/>
          <w:lang w:val="en-US" w:eastAsia="zh-CN" w:bidi="ar-SA"/>
        </w:rPr>
        <w:t>本工程建成后能够完善灌溉供水管网、提高供水普及率</w:t>
      </w:r>
      <w:r>
        <w:rPr>
          <w:rStyle w:val="61"/>
          <w:rFonts w:ascii="Times New Roman" w:hAnsi="Times New Roman" w:eastAsia="宋体"/>
          <w:b w:val="0"/>
          <w:i w:val="0"/>
          <w:caps w:val="0"/>
          <w:color w:val="0000FF"/>
          <w:spacing w:val="0"/>
          <w:w w:val="100"/>
          <w:kern w:val="2"/>
          <w:sz w:val="24"/>
          <w:szCs w:val="24"/>
          <w:lang w:val="en-US" w:eastAsia="zh-CN" w:bidi="ar-SA"/>
        </w:rPr>
        <w:t>。因此，本工程与《基本农田保护条例》的有关规定是不冲突的。</w:t>
      </w:r>
    </w:p>
    <w:p>
      <w:pPr>
        <w:pStyle w:val="5"/>
        <w:numPr>
          <w:ilvl w:val="3"/>
          <w:numId w:val="1"/>
        </w:numPr>
        <w:tabs>
          <w:tab w:val="clear" w:pos="0"/>
          <w:tab w:val="clear" w:pos="283"/>
        </w:tabs>
        <w:bidi w:val="0"/>
        <w:rPr>
          <w:rFonts w:hint="default"/>
          <w:color w:val="0000FF"/>
          <w:lang w:val="en-US" w:eastAsia="zh-CN"/>
        </w:rPr>
      </w:pPr>
      <w:r>
        <w:rPr>
          <w:rFonts w:hint="eastAsia"/>
          <w:color w:val="0000FF"/>
          <w:lang w:val="en-US" w:eastAsia="zh-CN"/>
        </w:rPr>
        <w:t>项目对元谋县三区三线的影响分析</w:t>
      </w:r>
    </w:p>
    <w:p>
      <w:pPr>
        <w:rPr>
          <w:rFonts w:hint="default"/>
          <w:b/>
          <w:bCs/>
          <w:color w:val="0000FF"/>
          <w:lang w:val="en-US" w:eastAsia="zh-CN"/>
        </w:rPr>
      </w:pPr>
      <w:r>
        <w:rPr>
          <w:rFonts w:hint="eastAsia"/>
          <w:b/>
          <w:bCs/>
          <w:color w:val="0000FF"/>
          <w:lang w:val="en-US" w:eastAsia="zh-CN"/>
        </w:rPr>
        <w:t>1、对生态红线的影响分析</w:t>
      </w:r>
    </w:p>
    <w:p>
      <w:pPr>
        <w:pStyle w:val="35"/>
        <w:rPr>
          <w:rFonts w:hint="eastAsia"/>
          <w:b w:val="0"/>
          <w:bCs w:val="0"/>
          <w:color w:val="0000FF"/>
          <w:lang w:val="en-US" w:eastAsia="zh-CN"/>
        </w:rPr>
      </w:pPr>
      <w:r>
        <w:rPr>
          <w:rFonts w:hint="default" w:ascii="Times New Roman" w:hAnsi="Times New Roman" w:cs="Times New Roman"/>
          <w:b w:val="0"/>
          <w:bCs w:val="0"/>
          <w:color w:val="0000FF"/>
          <w:sz w:val="24"/>
          <w:szCs w:val="24"/>
          <w:highlight w:val="none"/>
          <w:lang w:val="en-US" w:eastAsia="zh-CN"/>
        </w:rPr>
        <w:t>本项目对生态红线的影响主要表现为：</w:t>
      </w:r>
    </w:p>
    <w:p>
      <w:pPr>
        <w:rPr>
          <w:rFonts w:hint="default"/>
          <w:color w:val="0000FF"/>
          <w:lang w:val="en-US" w:eastAsia="zh-CN"/>
        </w:rPr>
      </w:pPr>
      <w:r>
        <w:rPr>
          <w:rFonts w:hint="eastAsia"/>
          <w:color w:val="0000FF"/>
          <w:lang w:val="en-US" w:eastAsia="zh-CN"/>
        </w:rPr>
        <w:t>（1）施工期</w:t>
      </w:r>
    </w:p>
    <w:p>
      <w:pPr>
        <w:pStyle w:val="35"/>
        <w:rPr>
          <w:rFonts w:hint="default"/>
          <w:b w:val="0"/>
          <w:bCs w:val="0"/>
          <w:color w:val="0000FF"/>
          <w:lang w:val="en-US" w:eastAsia="zh-CN"/>
        </w:rPr>
      </w:pPr>
      <w:r>
        <w:rPr>
          <w:rFonts w:hint="default"/>
          <w:b w:val="0"/>
          <w:bCs w:val="0"/>
          <w:color w:val="0000FF"/>
          <w:lang w:val="en-US" w:eastAsia="zh-CN"/>
        </w:rPr>
        <w:t>根据调查，项目生态红线内的施工区未发现大型陆生野生动物分布，未发现局限分布于项目范围区的特有属、种，也无国家级和云南省重点保护种类。附近的野生动物主要是常见的啮齿类、两栖类、爬行类，以及麻雀等常见鸟类，而且多数种类对人类干扰有一定适应。由于施工的干扰，可能会导致这些动物向邻近地区迁移，远离施工区范围，对动物影响较小。</w:t>
      </w:r>
    </w:p>
    <w:p>
      <w:pPr>
        <w:pStyle w:val="35"/>
        <w:rPr>
          <w:rFonts w:hint="default"/>
          <w:b w:val="0"/>
          <w:bCs w:val="0"/>
          <w:color w:val="0000FF"/>
          <w:lang w:val="en-US" w:eastAsia="zh-CN"/>
        </w:rPr>
      </w:pPr>
      <w:r>
        <w:rPr>
          <w:rFonts w:hint="default"/>
          <w:b w:val="0"/>
          <w:bCs w:val="0"/>
          <w:color w:val="0000FF"/>
          <w:lang w:val="en-US" w:eastAsia="zh-CN"/>
        </w:rPr>
        <w:t>工程建设会扰动原有地貌、占压土地，破坏植被，会造成一定的水土流失。工程在施工严格限制施工范围、对临时堆土及时进行围挡覆盖，并及时回填进一步减少了水土流失量。</w:t>
      </w:r>
    </w:p>
    <w:p>
      <w:pPr>
        <w:pStyle w:val="35"/>
        <w:rPr>
          <w:rFonts w:hint="default"/>
          <w:b w:val="0"/>
          <w:bCs w:val="0"/>
          <w:color w:val="0000FF"/>
          <w:lang w:val="en-US" w:eastAsia="zh-CN"/>
        </w:rPr>
      </w:pPr>
      <w:r>
        <w:rPr>
          <w:rFonts w:hint="default"/>
          <w:b w:val="0"/>
          <w:bCs w:val="0"/>
          <w:color w:val="0000FF"/>
          <w:lang w:val="en-US" w:eastAsia="zh-CN"/>
        </w:rPr>
        <w:t>工程中的管道占用生态红线，该部分工程施工期产生的废水主要为管道试压废水及施工人员清洗废水，施工清洗废水采用废水收集桶收集、管道试压废水回用于场地洒水降尘；运营期无废水产生。因此，项目占用生态红线部分工程施工期废水不外排，运营期不产生废水，对生态红线的影响较小。</w:t>
      </w:r>
    </w:p>
    <w:p>
      <w:pPr>
        <w:rPr>
          <w:rFonts w:hint="default"/>
          <w:b w:val="0"/>
          <w:bCs w:val="0"/>
          <w:color w:val="0000FF"/>
          <w:lang w:val="en-US" w:eastAsia="zh-CN"/>
        </w:rPr>
      </w:pPr>
      <w:r>
        <w:rPr>
          <w:rFonts w:hint="eastAsia"/>
          <w:b w:val="0"/>
          <w:bCs w:val="0"/>
          <w:color w:val="0000FF"/>
          <w:lang w:val="en-US" w:eastAsia="zh-CN"/>
        </w:rPr>
        <w:t>（2）运行期</w:t>
      </w:r>
    </w:p>
    <w:p>
      <w:pPr>
        <w:pStyle w:val="35"/>
        <w:rPr>
          <w:rFonts w:hint="eastAsia"/>
          <w:b w:val="0"/>
          <w:bCs w:val="0"/>
          <w:color w:val="0000FF"/>
          <w:lang w:val="en-US" w:eastAsia="zh-CN"/>
        </w:rPr>
      </w:pPr>
      <w:r>
        <w:rPr>
          <w:rFonts w:hint="eastAsia"/>
          <w:b w:val="0"/>
          <w:bCs w:val="0"/>
          <w:color w:val="0000FF"/>
          <w:lang w:val="en-US" w:eastAsia="zh-CN"/>
        </w:rPr>
        <w:t>本项目为灌溉工程，不涉及永久占用生态保护红线。运营期管道临时占用生态红线部分将进行恢复，不会造成物种阻隔，施工扰动的植被植物也将渐渐恢复，因此，工程运行期对生态保护红线的影响较小。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eastAsia" w:ascii="Times New Roman" w:hAnsi="Times New Roman" w:cs="Times New Roman"/>
          <w:b w:val="0"/>
          <w:bCs w:val="0"/>
          <w:color w:val="0000FF"/>
          <w:sz w:val="24"/>
          <w:szCs w:val="24"/>
          <w:highlight w:val="none"/>
          <w:lang w:val="en-US" w:eastAsia="zh-CN"/>
        </w:rPr>
      </w:pPr>
      <w:r>
        <w:rPr>
          <w:rFonts w:hint="eastAsia" w:ascii="Times New Roman" w:hAnsi="Times New Roman" w:cs="Times New Roman"/>
          <w:color w:val="0000FF"/>
          <w:sz w:val="24"/>
          <w:szCs w:val="24"/>
          <w:highlight w:val="none"/>
          <w:lang w:val="en-US" w:eastAsia="zh-CN"/>
        </w:rPr>
        <w:t>本工程</w:t>
      </w:r>
      <w:r>
        <w:rPr>
          <w:rFonts w:hint="default" w:ascii="Times New Roman" w:hAnsi="Times New Roman" w:cs="Times New Roman"/>
          <w:b w:val="0"/>
          <w:bCs w:val="0"/>
          <w:color w:val="0000FF"/>
          <w:sz w:val="24"/>
          <w:szCs w:val="24"/>
          <w:highlight w:val="none"/>
          <w:lang w:val="en-US" w:eastAsia="zh-CN"/>
        </w:rPr>
        <w:t>属于允许对生态功能不造成破坏的有限人为活动，符合《关于在国土空间规划中统筹划定落实三条控制线的指导意见》；本工程占用生态红线的工程为管线工程，为临时占地，施工完成后经采取土地恢复、植被恢复后对生态红线影响较小，符合《关于划定并严守生态保护红线的若干意见》中</w:t>
      </w:r>
      <w:r>
        <w:rPr>
          <w:rFonts w:hint="eastAsia" w:ascii="Times New Roman" w:hAnsi="Times New Roman" w:cs="Times New Roman"/>
          <w:b w:val="0"/>
          <w:bCs w:val="0"/>
          <w:color w:val="0000FF"/>
          <w:sz w:val="24"/>
          <w:szCs w:val="24"/>
          <w:highlight w:val="none"/>
          <w:lang w:val="en-US" w:eastAsia="zh-CN"/>
        </w:rPr>
        <w:t>“</w:t>
      </w:r>
      <w:r>
        <w:rPr>
          <w:rFonts w:hint="default" w:ascii="Times New Roman" w:hAnsi="Times New Roman" w:cs="Times New Roman"/>
          <w:b w:val="0"/>
          <w:bCs w:val="0"/>
          <w:color w:val="0000FF"/>
          <w:sz w:val="24"/>
          <w:szCs w:val="24"/>
          <w:highlight w:val="none"/>
          <w:lang w:val="en-US" w:eastAsia="zh-CN"/>
        </w:rPr>
        <w:t>生态功能不降低、面积不减少、性质不改变</w:t>
      </w:r>
      <w:r>
        <w:rPr>
          <w:rFonts w:hint="eastAsia" w:ascii="Times New Roman" w:hAnsi="Times New Roman" w:cs="Times New Roman"/>
          <w:b w:val="0"/>
          <w:bCs w:val="0"/>
          <w:color w:val="0000FF"/>
          <w:sz w:val="24"/>
          <w:szCs w:val="24"/>
          <w:highlight w:val="none"/>
          <w:lang w:val="en-US" w:eastAsia="zh-CN"/>
        </w:rPr>
        <w:t>”</w:t>
      </w:r>
      <w:r>
        <w:rPr>
          <w:rFonts w:hint="default" w:ascii="Times New Roman" w:hAnsi="Times New Roman" w:cs="Times New Roman"/>
          <w:b w:val="0"/>
          <w:bCs w:val="0"/>
          <w:color w:val="0000FF"/>
          <w:sz w:val="24"/>
          <w:szCs w:val="24"/>
          <w:highlight w:val="none"/>
          <w:lang w:val="en-US" w:eastAsia="zh-CN"/>
        </w:rPr>
        <w:t>的要求。</w:t>
      </w:r>
      <w:r>
        <w:rPr>
          <w:rFonts w:hint="eastAsia" w:ascii="Times New Roman" w:hAnsi="Times New Roman" w:cs="Times New Roman"/>
          <w:b w:val="0"/>
          <w:bCs w:val="0"/>
          <w:color w:val="0000FF"/>
          <w:sz w:val="24"/>
          <w:szCs w:val="24"/>
          <w:highlight w:val="none"/>
          <w:lang w:val="en-US" w:eastAsia="zh-CN"/>
        </w:rPr>
        <w:t>总体来说，多生态保护红线的影响较小。</w:t>
      </w:r>
    </w:p>
    <w:p>
      <w:pPr>
        <w:pStyle w:val="35"/>
        <w:rPr>
          <w:rFonts w:hint="default" w:ascii="Times New Roman" w:hAnsi="Times New Roman" w:cs="Times New Roman"/>
          <w:b/>
          <w:bCs/>
          <w:color w:val="0000FF"/>
          <w:sz w:val="24"/>
          <w:szCs w:val="24"/>
          <w:highlight w:val="none"/>
          <w:lang w:val="en-US" w:eastAsia="zh-CN"/>
        </w:rPr>
      </w:pPr>
      <w:r>
        <w:rPr>
          <w:rFonts w:hint="eastAsia" w:ascii="Times New Roman" w:hAnsi="Times New Roman" w:cs="Times New Roman"/>
          <w:b/>
          <w:bCs/>
          <w:color w:val="0000FF"/>
          <w:sz w:val="24"/>
          <w:szCs w:val="24"/>
          <w:highlight w:val="none"/>
          <w:lang w:val="en-US" w:eastAsia="zh-CN"/>
        </w:rPr>
        <w:t>2、对永久基本农田的影响</w:t>
      </w:r>
    </w:p>
    <w:p>
      <w:pPr>
        <w:rPr>
          <w:rFonts w:hint="default" w:ascii="Times New Roman" w:hAnsi="Times New Roman" w:cs="Times New Roman"/>
          <w:b w:val="0"/>
          <w:bCs w:val="0"/>
          <w:color w:val="0000FF"/>
          <w:sz w:val="24"/>
          <w:szCs w:val="24"/>
          <w:highlight w:val="none"/>
          <w:lang w:val="en-US" w:eastAsia="zh-CN"/>
        </w:rPr>
      </w:pPr>
      <w:r>
        <w:rPr>
          <w:rFonts w:hint="eastAsia" w:ascii="Times New Roman" w:hAnsi="Times New Roman" w:cs="Times New Roman"/>
          <w:b w:val="0"/>
          <w:bCs w:val="0"/>
          <w:color w:val="0000FF"/>
          <w:sz w:val="24"/>
          <w:szCs w:val="24"/>
          <w:highlight w:val="none"/>
          <w:lang w:val="en-US" w:eastAsia="zh-CN"/>
        </w:rPr>
        <w:t>根据“三区三线”查询结果，本项目管道和施工临时便道占用永久基本农田。根据叠图，</w:t>
      </w:r>
      <w:r>
        <w:rPr>
          <w:rStyle w:val="61"/>
          <w:rFonts w:hint="eastAsia" w:ascii="Times New Roman" w:hAnsi="Times New Roman" w:eastAsia="宋体"/>
          <w:b w:val="0"/>
          <w:bCs w:val="0"/>
          <w:i w:val="0"/>
          <w:caps w:val="0"/>
          <w:color w:val="0000FF"/>
          <w:spacing w:val="0"/>
          <w:w w:val="100"/>
          <w:kern w:val="2"/>
          <w:sz w:val="24"/>
          <w:szCs w:val="24"/>
          <w:lang w:val="en-US" w:eastAsia="zh-CN" w:bidi="ar-SA"/>
        </w:rPr>
        <w:t>管道</w:t>
      </w:r>
      <w:r>
        <w:rPr>
          <w:rFonts w:hint="eastAsia"/>
          <w:color w:val="0000FF"/>
          <w:highlight w:val="none"/>
          <w:lang w:val="en-US" w:eastAsia="zh-CN"/>
        </w:rPr>
        <w:t>占用基本农田面积为25500m</w:t>
      </w:r>
      <w:r>
        <w:rPr>
          <w:rFonts w:hint="eastAsia"/>
          <w:color w:val="0000FF"/>
          <w:highlight w:val="none"/>
          <w:vertAlign w:val="superscript"/>
          <w:lang w:val="en-US" w:eastAsia="zh-CN"/>
        </w:rPr>
        <w:t>2</w:t>
      </w:r>
      <w:r>
        <w:rPr>
          <w:rFonts w:hint="eastAsia"/>
          <w:color w:val="0000FF"/>
          <w:highlight w:val="none"/>
          <w:vertAlign w:val="baseline"/>
          <w:lang w:val="en-US" w:eastAsia="zh-CN"/>
        </w:rPr>
        <w:t>；</w:t>
      </w:r>
      <w:r>
        <w:rPr>
          <w:rFonts w:hint="eastAsia"/>
          <w:color w:val="0000FF"/>
          <w:highlight w:val="none"/>
          <w:lang w:eastAsia="zh-CN"/>
        </w:rPr>
        <w:t>施工便道</w:t>
      </w:r>
      <w:r>
        <w:rPr>
          <w:rFonts w:hint="eastAsia"/>
          <w:color w:val="0000FF"/>
          <w:highlight w:val="none"/>
          <w:lang w:val="en-US" w:eastAsia="zh-CN"/>
        </w:rPr>
        <w:t>占用基本农田面积为3967.30m</w:t>
      </w:r>
      <w:r>
        <w:rPr>
          <w:rFonts w:hint="eastAsia"/>
          <w:color w:val="0000FF"/>
          <w:highlight w:val="none"/>
          <w:vertAlign w:val="superscript"/>
          <w:lang w:val="en-US" w:eastAsia="zh-CN"/>
        </w:rPr>
        <w:t>2</w:t>
      </w:r>
      <w:r>
        <w:rPr>
          <w:rFonts w:hint="eastAsia"/>
          <w:color w:val="0000FF"/>
          <w:highlight w:val="none"/>
          <w:lang w:val="en-US" w:eastAsia="zh-CN"/>
        </w:rPr>
        <w:t>。工程对基本农田的影响分析如下：</w:t>
      </w:r>
    </w:p>
    <w:p>
      <w:pPr>
        <w:pStyle w:val="35"/>
        <w:rPr>
          <w:rFonts w:hint="default"/>
          <w:lang w:val="en-US" w:eastAsia="zh-CN"/>
        </w:rPr>
      </w:pPr>
      <w:r>
        <w:rPr>
          <w:rFonts w:hint="eastAsia" w:ascii="Times New Roman" w:hAnsi="Times New Roman" w:cs="Times New Roman"/>
          <w:b w:val="0"/>
          <w:bCs w:val="0"/>
          <w:color w:val="0000FF"/>
          <w:sz w:val="24"/>
          <w:szCs w:val="24"/>
          <w:highlight w:val="none"/>
          <w:lang w:val="en-US" w:eastAsia="zh-CN"/>
        </w:rPr>
        <w:t>工程管道为埋管，主要工艺为场地清理、管沟开挖、管道焊接、下管、清管试压、回填；施工便道场为单车道，路基宽4.5m，路面宽3.5m，为泥结石路面。施工期间用于管道的施工及施工便道的修建、施工。碾压、占用永久基本农田影响了正常耕作。施工结束后，建设单位通过耕地耕作层土壤剥离再利用等工程技术措施，减少对耕作层的破坏，恢复耕种条件，不影响基本农田的正常耕作。项目建成后向片区农田供水灌溉，有利于改善缺水的现状，对基本农田有利。</w:t>
      </w:r>
    </w:p>
    <w:p>
      <w:pPr>
        <w:pStyle w:val="4"/>
        <w:numPr>
          <w:ilvl w:val="2"/>
          <w:numId w:val="2"/>
        </w:numPr>
        <w:tabs>
          <w:tab w:val="left" w:pos="420"/>
        </w:tabs>
        <w:bidi w:val="0"/>
        <w:rPr>
          <w:rFonts w:hint="default"/>
          <w:color w:val="auto"/>
          <w:lang w:val="en-US" w:eastAsia="zh-CN"/>
        </w:rPr>
      </w:pPr>
      <w:bookmarkStart w:id="678" w:name="_Toc10055"/>
      <w:bookmarkStart w:id="679" w:name="_Toc16443"/>
      <w:bookmarkStart w:id="680" w:name="_Toc30421"/>
      <w:r>
        <w:rPr>
          <w:rFonts w:hint="eastAsia"/>
          <w:color w:val="auto"/>
          <w:lang w:val="en-US" w:eastAsia="zh-CN"/>
        </w:rPr>
        <w:t>对公益林</w:t>
      </w:r>
      <w:bookmarkEnd w:id="678"/>
      <w:bookmarkEnd w:id="679"/>
      <w:bookmarkEnd w:id="680"/>
      <w:r>
        <w:rPr>
          <w:rFonts w:hint="eastAsia"/>
          <w:color w:val="auto"/>
          <w:lang w:val="en-US" w:eastAsia="zh-CN"/>
        </w:rPr>
        <w:t>的影响</w:t>
      </w:r>
    </w:p>
    <w:p>
      <w:pPr>
        <w:pStyle w:val="5"/>
        <w:numPr>
          <w:ilvl w:val="3"/>
          <w:numId w:val="35"/>
        </w:numPr>
        <w:bidi w:val="0"/>
        <w:ind w:left="480" w:leftChars="0" w:firstLineChars="0"/>
        <w:rPr>
          <w:rFonts w:hint="default"/>
          <w:color w:val="0000FF"/>
          <w:lang w:val="en-US" w:eastAsia="zh-CN"/>
        </w:rPr>
      </w:pPr>
      <w:r>
        <w:rPr>
          <w:rFonts w:hint="eastAsia"/>
          <w:color w:val="0000FF"/>
          <w:lang w:val="en-US" w:eastAsia="zh-CN"/>
        </w:rPr>
        <w:t>占用公益林的情况</w:t>
      </w:r>
    </w:p>
    <w:p>
      <w:pPr>
        <w:rPr>
          <w:rFonts w:hint="default"/>
          <w:color w:val="0000FF"/>
          <w:lang w:val="en-US" w:eastAsia="zh-CN"/>
        </w:rPr>
      </w:pPr>
      <w:r>
        <w:rPr>
          <w:rFonts w:hint="eastAsia"/>
          <w:color w:val="0000FF"/>
          <w:lang w:val="en-US" w:eastAsia="zh-CN"/>
        </w:rPr>
        <w:t>建设单位已委托</w:t>
      </w:r>
      <w:r>
        <w:rPr>
          <w:rFonts w:hint="default"/>
          <w:color w:val="0000FF"/>
          <w:lang w:val="en-US" w:eastAsia="zh-CN"/>
        </w:rPr>
        <w:t>云南木嵘林业勘察设计有限公司</w:t>
      </w:r>
      <w:r>
        <w:rPr>
          <w:rFonts w:hint="eastAsia"/>
          <w:color w:val="0000FF"/>
          <w:lang w:val="en-US" w:eastAsia="zh-CN"/>
        </w:rPr>
        <w:t>编制林勘报告，目前正组织报送至楚雄州林业和草原局中。根据林勘单位提供资料，北干管羊腊席至火焰山段、金马分干管接近沙沟箐段占用省二级公益林5.7437hm</w:t>
      </w:r>
      <w:r>
        <w:rPr>
          <w:rFonts w:hint="eastAsia"/>
          <w:color w:val="0000FF"/>
          <w:vertAlign w:val="superscript"/>
          <w:lang w:val="en-US" w:eastAsia="zh-CN"/>
        </w:rPr>
        <w:t>2</w:t>
      </w:r>
      <w:r>
        <w:rPr>
          <w:rFonts w:hint="eastAsia"/>
          <w:color w:val="0000FF"/>
          <w:lang w:val="en-US" w:eastAsia="zh-CN"/>
        </w:rPr>
        <w:t>；金马分干管干海梁子~金马村沿路部分管段占用国家二级公益林0.8939hm</w:t>
      </w:r>
      <w:r>
        <w:rPr>
          <w:rFonts w:hint="eastAsia"/>
          <w:color w:val="0000FF"/>
          <w:vertAlign w:val="superscript"/>
          <w:lang w:val="en-US" w:eastAsia="zh-CN"/>
        </w:rPr>
        <w:t>2</w:t>
      </w:r>
      <w:r>
        <w:rPr>
          <w:rFonts w:hint="eastAsia"/>
          <w:color w:val="0000FF"/>
          <w:vertAlign w:val="baseline"/>
          <w:lang w:val="en-US" w:eastAsia="zh-CN"/>
        </w:rPr>
        <w:t>。</w:t>
      </w:r>
    </w:p>
    <w:p>
      <w:pPr>
        <w:rPr>
          <w:rFonts w:hint="default"/>
          <w:color w:val="0000FF"/>
          <w:lang w:val="en-US" w:eastAsia="zh-CN"/>
        </w:rPr>
      </w:pPr>
      <w:r>
        <w:rPr>
          <w:rFonts w:hint="eastAsia"/>
          <w:color w:val="0000FF"/>
          <w:lang w:val="en-US" w:eastAsia="zh-CN"/>
        </w:rPr>
        <w:t>本项目与公益林的位置关系图如下所示：</w:t>
      </w:r>
    </w:p>
    <w:p>
      <w:pPr>
        <w:pStyle w:val="35"/>
        <w:spacing w:line="240" w:lineRule="auto"/>
        <w:ind w:left="0" w:leftChars="0" w:firstLine="0" w:firstLineChars="0"/>
        <w:jc w:val="left"/>
        <w:rPr>
          <w:rFonts w:hint="eastAsia"/>
          <w:color w:val="0000FF"/>
          <w:lang w:val="en-US" w:eastAsia="zh-CN"/>
        </w:rPr>
      </w:pPr>
      <w:r>
        <w:rPr>
          <w:rFonts w:hint="eastAsia"/>
          <w:color w:val="0000FF"/>
          <w:lang w:val="en-US" w:eastAsia="zh-CN"/>
        </w:rPr>
        <w:drawing>
          <wp:inline distT="0" distB="0" distL="114300" distR="114300">
            <wp:extent cx="6478905" cy="4904105"/>
            <wp:effectExtent l="0" t="0" r="10795" b="17145"/>
            <wp:docPr id="119" name="图片 119" descr="公益林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公益林22"/>
                    <pic:cNvPicPr>
                      <a:picLocks noChangeAspect="1"/>
                    </pic:cNvPicPr>
                  </pic:nvPicPr>
                  <pic:blipFill>
                    <a:blip r:embed="rId109"/>
                    <a:srcRect l="3432" r="3288"/>
                    <a:stretch>
                      <a:fillRect/>
                    </a:stretch>
                  </pic:blipFill>
                  <pic:spPr>
                    <a:xfrm rot="16200000">
                      <a:off x="0" y="0"/>
                      <a:ext cx="6478905" cy="4904105"/>
                    </a:xfrm>
                    <a:prstGeom prst="rect">
                      <a:avLst/>
                    </a:prstGeom>
                  </pic:spPr>
                </pic:pic>
              </a:graphicData>
            </a:graphic>
          </wp:inline>
        </w:drawing>
      </w:r>
    </w:p>
    <w:p>
      <w:pPr>
        <w:spacing w:line="240" w:lineRule="auto"/>
        <w:jc w:val="center"/>
        <w:rPr>
          <w:rFonts w:hint="eastAsia"/>
          <w:b/>
          <w:bCs/>
          <w:color w:val="0000FF"/>
          <w:lang w:val="en-US" w:eastAsia="zh-CN"/>
        </w:rPr>
      </w:pPr>
      <w:r>
        <w:rPr>
          <w:rFonts w:hint="eastAsia"/>
          <w:b/>
          <w:bCs/>
          <w:color w:val="0000FF"/>
          <w:lang w:val="en-US" w:eastAsia="zh-CN"/>
        </w:rPr>
        <w:t>图5.3.1-5  工程与公益林的位置关系图</w:t>
      </w:r>
    </w:p>
    <w:p>
      <w:pPr>
        <w:pStyle w:val="35"/>
        <w:rPr>
          <w:rFonts w:hint="default"/>
          <w:color w:val="0000FF"/>
          <w:lang w:val="en-US" w:eastAsia="zh-CN"/>
        </w:rPr>
      </w:pPr>
    </w:p>
    <w:p>
      <w:pPr>
        <w:pStyle w:val="35"/>
        <w:jc w:val="center"/>
        <w:rPr>
          <w:rFonts w:hint="eastAsia"/>
          <w:color w:val="0000FF"/>
          <w:lang w:val="en-US" w:eastAsia="zh-CN"/>
        </w:rPr>
      </w:pPr>
      <w:r>
        <w:rPr>
          <w:rFonts w:hint="eastAsia"/>
          <w:color w:val="0000FF"/>
          <w:lang w:val="en-US" w:eastAsia="zh-CN"/>
        </w:rPr>
        <w:drawing>
          <wp:inline distT="0" distB="0" distL="114300" distR="114300">
            <wp:extent cx="5272405" cy="3578860"/>
            <wp:effectExtent l="0" t="0" r="4445" b="2540"/>
            <wp:docPr id="121" name="图片 121" descr="4057ce5e28d1ee9acb39491338e4a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4057ce5e28d1ee9acb39491338e4a33"/>
                    <pic:cNvPicPr>
                      <a:picLocks noChangeAspect="1"/>
                    </pic:cNvPicPr>
                  </pic:nvPicPr>
                  <pic:blipFill>
                    <a:blip r:embed="rId110"/>
                    <a:stretch>
                      <a:fillRect/>
                    </a:stretch>
                  </pic:blipFill>
                  <pic:spPr>
                    <a:xfrm>
                      <a:off x="0" y="0"/>
                      <a:ext cx="5272405" cy="3578860"/>
                    </a:xfrm>
                    <a:prstGeom prst="rect">
                      <a:avLst/>
                    </a:prstGeom>
                  </pic:spPr>
                </pic:pic>
              </a:graphicData>
            </a:graphic>
          </wp:inline>
        </w:drawing>
      </w:r>
    </w:p>
    <w:p>
      <w:pPr>
        <w:pStyle w:val="35"/>
        <w:jc w:val="center"/>
        <w:rPr>
          <w:rFonts w:hint="default"/>
          <w:color w:val="0000FF"/>
          <w:lang w:val="en-US" w:eastAsia="zh-CN"/>
        </w:rPr>
      </w:pPr>
      <w:r>
        <w:rPr>
          <w:rFonts w:hint="eastAsia"/>
          <w:color w:val="0000FF"/>
          <w:lang w:val="en-US" w:eastAsia="zh-CN"/>
        </w:rPr>
        <w:t>图5.3.1-5  工程与公益林位置关系的局部放大图</w:t>
      </w:r>
    </w:p>
    <w:p>
      <w:pPr>
        <w:pStyle w:val="5"/>
        <w:numPr>
          <w:ilvl w:val="3"/>
          <w:numId w:val="2"/>
        </w:numPr>
        <w:bidi w:val="0"/>
        <w:ind w:left="480" w:leftChars="0" w:firstLineChars="0"/>
        <w:rPr>
          <w:rFonts w:hint="default"/>
          <w:color w:val="0000FF"/>
          <w:lang w:val="en-US" w:eastAsia="zh-CN"/>
        </w:rPr>
      </w:pPr>
      <w:r>
        <w:rPr>
          <w:rFonts w:hint="eastAsia"/>
          <w:color w:val="0000FF"/>
          <w:lang w:val="en-US" w:eastAsia="zh-CN"/>
        </w:rPr>
        <w:t>占用公益林的相关符合性分析</w:t>
      </w:r>
    </w:p>
    <w:p>
      <w:pPr>
        <w:bidi w:val="0"/>
        <w:rPr>
          <w:rFonts w:hint="eastAsia"/>
          <w:color w:val="auto"/>
          <w:highlight w:val="none"/>
          <w:lang w:val="en-US" w:eastAsia="zh-CN"/>
        </w:rPr>
      </w:pPr>
      <w:r>
        <w:rPr>
          <w:rFonts w:hint="default"/>
          <w:color w:val="auto"/>
          <w:highlight w:val="none"/>
          <w:lang w:val="en-US" w:eastAsia="zh-CN"/>
        </w:rPr>
        <w:t>根据《国家级公益林管理办法》第十</w:t>
      </w:r>
      <w:r>
        <w:rPr>
          <w:rFonts w:hint="eastAsia"/>
          <w:color w:val="auto"/>
          <w:highlight w:val="none"/>
          <w:lang w:val="en-US" w:eastAsia="zh-CN"/>
        </w:rPr>
        <w:t>三</w:t>
      </w:r>
      <w:r>
        <w:rPr>
          <w:rFonts w:hint="default"/>
          <w:color w:val="auto"/>
          <w:highlight w:val="none"/>
          <w:lang w:val="en-US" w:eastAsia="zh-CN"/>
        </w:rPr>
        <w:t>条</w:t>
      </w:r>
      <w:r>
        <w:rPr>
          <w:rFonts w:hint="eastAsia"/>
          <w:color w:val="auto"/>
          <w:highlight w:val="none"/>
          <w:lang w:val="en-US" w:eastAsia="zh-CN"/>
        </w:rPr>
        <w:t xml:space="preserve"> 二级国家级公益林在不影响整体森林生态系统功能发挥的前提下，可以按照第十二条第三款相关技术规程的规定开展抚育和更新性质的采伐。在不破坏森林植被的前提下，可以合理利用其林地资源，适度开展林下种植养殖和森林游憩等非木质资源开发与利用，科学发展林下经济。</w:t>
      </w:r>
    </w:p>
    <w:p>
      <w:pPr>
        <w:bidi w:val="0"/>
        <w:rPr>
          <w:rFonts w:hint="eastAsia"/>
          <w:color w:val="auto"/>
          <w:highlight w:val="none"/>
          <w:lang w:val="en-US" w:eastAsia="zh-CN"/>
        </w:rPr>
      </w:pPr>
      <w:r>
        <w:rPr>
          <w:rFonts w:hint="eastAsia"/>
          <w:color w:val="auto"/>
          <w:highlight w:val="none"/>
          <w:lang w:val="en-US" w:eastAsia="zh-CN"/>
        </w:rPr>
        <w:t>根据《云南省地方公益林管理办法》，未经批准，不得在地方公益林内进行开垦、采矿、采石、采砂、取土、筑坟等破坏森林资源的活动。因建设工程需要占用征用公益林林地的，县级以上林业行政主管部门应当进行核查，确需占用征用公益林林地的，必须依法办理用地审核、林木采伐审批手续。县级以上林业行政主管部门和财政部门根据占用征用情况适时调整公益林林地面积和补偿金。</w:t>
      </w:r>
    </w:p>
    <w:p>
      <w:pPr>
        <w:bidi w:val="0"/>
        <w:rPr>
          <w:rFonts w:hint="eastAsia"/>
          <w:color w:val="auto"/>
          <w:highlight w:val="none"/>
          <w:lang w:val="en-US" w:eastAsia="zh-CN"/>
        </w:rPr>
      </w:pPr>
      <w:r>
        <w:rPr>
          <w:rFonts w:hint="eastAsia"/>
          <w:color w:val="auto"/>
          <w:highlight w:val="none"/>
          <w:lang w:val="en-US" w:eastAsia="zh-CN"/>
        </w:rPr>
        <w:t>根据《国家级公益林管理办法》和《云南省地方公益林管理办法》，</w:t>
      </w:r>
      <w:r>
        <w:rPr>
          <w:rFonts w:hint="eastAsia"/>
          <w:color w:val="auto"/>
          <w:lang w:val="en-US" w:eastAsia="zh-CN"/>
        </w:rPr>
        <w:t>建设单位已委托</w:t>
      </w:r>
      <w:r>
        <w:rPr>
          <w:rFonts w:hint="default"/>
          <w:color w:val="auto"/>
          <w:lang w:val="en-US" w:eastAsia="zh-CN"/>
        </w:rPr>
        <w:t>云南木嵘林业勘察设计有限公司</w:t>
      </w:r>
      <w:r>
        <w:rPr>
          <w:rFonts w:hint="eastAsia"/>
          <w:color w:val="auto"/>
          <w:lang w:val="en-US" w:eastAsia="zh-CN"/>
        </w:rPr>
        <w:t>编制林勘报告，目前正组织报送至楚雄州林业和草原局中</w:t>
      </w:r>
      <w:r>
        <w:rPr>
          <w:rFonts w:hint="eastAsia"/>
          <w:color w:val="auto"/>
          <w:highlight w:val="none"/>
          <w:lang w:val="en-US" w:eastAsia="zh-CN"/>
        </w:rPr>
        <w:t>。建设单位按照《国家级公益林管理办法》和《云南省地方公益林管理办法》的要求，依法办理用地审核和林木采伐审批手续，项目占用公益林不存在制约因素。</w:t>
      </w:r>
    </w:p>
    <w:p>
      <w:pPr>
        <w:bidi w:val="0"/>
        <w:rPr>
          <w:rFonts w:hint="eastAsia"/>
          <w:color w:val="0000FF"/>
          <w:highlight w:val="none"/>
          <w:lang w:val="en-US" w:eastAsia="zh-CN"/>
        </w:rPr>
      </w:pPr>
      <w:r>
        <w:rPr>
          <w:rFonts w:hint="eastAsia"/>
          <w:color w:val="0000FF"/>
          <w:highlight w:val="none"/>
          <w:lang w:val="en-US" w:eastAsia="zh-CN"/>
        </w:rPr>
        <w:t>因此，本项目占用公益林符合《国家级公益林管理办法》、《云南省地方公益林管理办法》等文件要求。</w:t>
      </w:r>
    </w:p>
    <w:p>
      <w:pPr>
        <w:pStyle w:val="5"/>
        <w:bidi w:val="0"/>
        <w:rPr>
          <w:rFonts w:hint="default"/>
          <w:lang w:val="en-US" w:eastAsia="zh-CN"/>
        </w:rPr>
      </w:pPr>
      <w:r>
        <w:rPr>
          <w:rFonts w:hint="eastAsia"/>
          <w:lang w:val="en-US" w:eastAsia="zh-CN"/>
        </w:rPr>
        <w:t>占用公益林的影响分析</w:t>
      </w:r>
    </w:p>
    <w:p>
      <w:pPr>
        <w:bidi w:val="0"/>
        <w:rPr>
          <w:rFonts w:hint="eastAsia"/>
          <w:color w:val="0000FF"/>
          <w:highlight w:val="none"/>
          <w:lang w:val="en-US" w:eastAsia="zh-CN"/>
        </w:rPr>
      </w:pPr>
      <w:r>
        <w:rPr>
          <w:rFonts w:hint="eastAsia"/>
          <w:color w:val="0000FF"/>
          <w:highlight w:val="none"/>
          <w:lang w:val="en-US" w:eastAsia="zh-CN"/>
        </w:rPr>
        <w:t>根据查询，本项目占用公益林部分主要为管道，在施工过程中沿线的公益林将会遭到破坏，在施工过程中加强施工管理，尽量不占或少占林地，秉承节约使用林地的原则科学合理施工。按照《中央财政森林生态效益补偿基金管理办法》的规定进行补偿，并由地方林业部门做好生态公益林的占补平衡工作，缴纳森林植被恢复费，做好生态公益林的占补平衡工作的基础上，可减轻工程占地对生态公益林的影响。</w:t>
      </w:r>
    </w:p>
    <w:p>
      <w:pPr>
        <w:bidi w:val="0"/>
        <w:rPr>
          <w:rFonts w:hint="default"/>
          <w:color w:val="0000FF"/>
          <w:highlight w:val="none"/>
          <w:lang w:val="en-US" w:eastAsia="zh-CN"/>
        </w:rPr>
      </w:pPr>
      <w:r>
        <w:rPr>
          <w:rFonts w:hint="eastAsia"/>
          <w:color w:val="0000FF"/>
          <w:highlight w:val="none"/>
          <w:lang w:val="en-US" w:eastAsia="zh-CN"/>
        </w:rPr>
        <w:t>根据《国家级公益林管理办法》和《云南省地方公益林管理办法》，</w:t>
      </w:r>
      <w:r>
        <w:rPr>
          <w:rFonts w:hint="eastAsia"/>
          <w:color w:val="0000FF"/>
          <w:lang w:val="en-US" w:eastAsia="zh-CN"/>
        </w:rPr>
        <w:t>建设单位已委托</w:t>
      </w:r>
      <w:r>
        <w:rPr>
          <w:rFonts w:hint="default"/>
          <w:color w:val="0000FF"/>
          <w:lang w:val="en-US" w:eastAsia="zh-CN"/>
        </w:rPr>
        <w:t>云南木嵘林业勘察设计有限公司</w:t>
      </w:r>
      <w:r>
        <w:rPr>
          <w:rFonts w:hint="eastAsia"/>
          <w:color w:val="0000FF"/>
          <w:lang w:val="en-US" w:eastAsia="zh-CN"/>
        </w:rPr>
        <w:t>编制林勘报告，目前正组织报送至楚雄州林业和草原局中</w:t>
      </w:r>
      <w:r>
        <w:rPr>
          <w:rFonts w:hint="eastAsia"/>
          <w:color w:val="0000FF"/>
          <w:highlight w:val="none"/>
          <w:lang w:val="en-US" w:eastAsia="zh-CN"/>
        </w:rPr>
        <w:t>。建设单位按照《国家级公益林管理办法》和《云南省地方公益林管理办法》的要求，依法办理用地审核和林木采伐审批手续，项目占用公益林不存在制约因素。本次环评要求，建设单位应尽快落实公益林审批手续，未取得；林业部门的许可，不得开工建设。</w:t>
      </w:r>
    </w:p>
    <w:p>
      <w:pPr>
        <w:rPr>
          <w:rFonts w:hint="default"/>
          <w:color w:val="0000FF"/>
          <w:highlight w:val="none"/>
          <w:lang w:val="en-US" w:eastAsia="zh-CN"/>
        </w:rPr>
      </w:pPr>
    </w:p>
    <w:p>
      <w:pPr>
        <w:pStyle w:val="35"/>
        <w:rPr>
          <w:rFonts w:hint="eastAsia"/>
          <w:color w:val="0000FF"/>
          <w:highlight w:val="none"/>
          <w:lang w:val="en-US" w:eastAsia="zh-CN"/>
        </w:rPr>
      </w:pPr>
    </w:p>
    <w:p>
      <w:pPr>
        <w:rPr>
          <w:rFonts w:hint="eastAsia"/>
          <w:color w:val="0000FF"/>
          <w:highlight w:val="none"/>
          <w:lang w:val="en-US" w:eastAsia="zh-CN"/>
        </w:rPr>
      </w:pPr>
    </w:p>
    <w:p>
      <w:pPr>
        <w:ind w:firstLine="480" w:firstLineChars="200"/>
        <w:rPr>
          <w:rFonts w:hint="eastAsia"/>
          <w:color w:val="auto"/>
          <w:highlight w:val="none"/>
        </w:rPr>
        <w:sectPr>
          <w:pgSz w:w="11906" w:h="16838"/>
          <w:pgMar w:top="1440" w:right="1800" w:bottom="1440" w:left="1800" w:header="851" w:footer="992" w:gutter="0"/>
          <w:pgNumType w:fmt="decimal"/>
          <w:cols w:space="720" w:num="1"/>
          <w:docGrid w:type="lines" w:linePitch="312" w:charSpace="0"/>
        </w:sectPr>
      </w:pPr>
    </w:p>
    <w:p>
      <w:pPr>
        <w:pStyle w:val="2"/>
        <w:numPr>
          <w:ilvl w:val="0"/>
          <w:numId w:val="2"/>
        </w:numPr>
        <w:tabs>
          <w:tab w:val="left" w:pos="420"/>
        </w:tabs>
        <w:bidi w:val="0"/>
        <w:rPr>
          <w:rFonts w:hint="eastAsia"/>
          <w:color w:val="auto"/>
          <w:lang w:val="en-US" w:eastAsia="zh-CN"/>
        </w:rPr>
      </w:pPr>
      <w:bookmarkStart w:id="681" w:name="_Toc4581"/>
      <w:bookmarkStart w:id="682" w:name="_Toc7070"/>
      <w:bookmarkStart w:id="683" w:name="_Toc31877"/>
      <w:bookmarkStart w:id="684" w:name="_Toc254"/>
      <w:bookmarkStart w:id="685" w:name="_Toc6013"/>
      <w:r>
        <w:rPr>
          <w:rFonts w:hint="eastAsia"/>
          <w:color w:val="auto"/>
          <w:lang w:val="en-US" w:eastAsia="zh-CN"/>
        </w:rPr>
        <w:t>环境保护措施及可行性分析</w:t>
      </w:r>
      <w:bookmarkEnd w:id="681"/>
      <w:bookmarkEnd w:id="682"/>
      <w:bookmarkEnd w:id="683"/>
      <w:bookmarkEnd w:id="684"/>
      <w:bookmarkEnd w:id="685"/>
    </w:p>
    <w:p>
      <w:pPr>
        <w:pStyle w:val="3"/>
        <w:numPr>
          <w:ilvl w:val="1"/>
          <w:numId w:val="2"/>
        </w:numPr>
        <w:tabs>
          <w:tab w:val="left" w:pos="420"/>
        </w:tabs>
        <w:bidi w:val="0"/>
        <w:rPr>
          <w:color w:val="auto"/>
        </w:rPr>
      </w:pPr>
      <w:bookmarkStart w:id="686" w:name="_Toc24098"/>
      <w:bookmarkStart w:id="687" w:name="_Toc10731"/>
      <w:bookmarkStart w:id="688" w:name="_Toc2260"/>
      <w:bookmarkStart w:id="689" w:name="_Toc9805"/>
      <w:bookmarkStart w:id="690" w:name="_Toc6615"/>
      <w:r>
        <w:rPr>
          <w:color w:val="auto"/>
        </w:rPr>
        <w:t>地表水环境保护措施</w:t>
      </w:r>
      <w:bookmarkEnd w:id="686"/>
      <w:bookmarkEnd w:id="687"/>
      <w:bookmarkEnd w:id="688"/>
      <w:bookmarkEnd w:id="689"/>
      <w:bookmarkEnd w:id="690"/>
    </w:p>
    <w:p>
      <w:pPr>
        <w:pStyle w:val="4"/>
        <w:numPr>
          <w:ilvl w:val="2"/>
          <w:numId w:val="2"/>
        </w:numPr>
        <w:tabs>
          <w:tab w:val="left" w:pos="420"/>
        </w:tabs>
        <w:bidi w:val="0"/>
        <w:rPr>
          <w:color w:val="auto"/>
        </w:rPr>
      </w:pPr>
      <w:bookmarkStart w:id="691" w:name="_Toc25279"/>
      <w:bookmarkStart w:id="692" w:name="_Toc23322"/>
      <w:bookmarkStart w:id="693" w:name="_Toc11782"/>
      <w:bookmarkStart w:id="694" w:name="_Toc991"/>
      <w:r>
        <w:rPr>
          <w:color w:val="auto"/>
        </w:rPr>
        <w:t>施工期水环境保护措施</w:t>
      </w:r>
      <w:bookmarkEnd w:id="691"/>
      <w:bookmarkEnd w:id="692"/>
      <w:bookmarkEnd w:id="693"/>
      <w:bookmarkEnd w:id="694"/>
    </w:p>
    <w:p>
      <w:pPr>
        <w:pStyle w:val="5"/>
        <w:numPr>
          <w:ilvl w:val="3"/>
          <w:numId w:val="2"/>
        </w:numPr>
        <w:bidi w:val="0"/>
        <w:ind w:left="480" w:leftChars="0" w:firstLineChars="0"/>
        <w:rPr>
          <w:color w:val="auto"/>
          <w:highlight w:val="none"/>
        </w:rPr>
      </w:pPr>
      <w:r>
        <w:rPr>
          <w:color w:val="auto"/>
          <w:highlight w:val="none"/>
        </w:rPr>
        <w:t>施工人员生活污水处理措施</w:t>
      </w:r>
    </w:p>
    <w:p>
      <w:pPr>
        <w:pStyle w:val="37"/>
        <w:ind w:firstLine="480" w:firstLineChars="200"/>
        <w:rPr>
          <w:rFonts w:hint="eastAsia"/>
          <w:color w:val="auto"/>
          <w:highlight w:val="none"/>
        </w:rPr>
      </w:pPr>
      <w:r>
        <w:rPr>
          <w:rFonts w:hint="eastAsia" w:cs="Times New Roman"/>
          <w:color w:val="0000FF"/>
          <w:highlight w:val="none"/>
          <w:lang w:val="en-US" w:eastAsia="zh-CN"/>
        </w:rPr>
        <w:t>进行分段施工。粪便污水设置设置2座移动式无害化厕所处理后清掏用于附近农田施肥；其余生活污水2个容积为1m</w:t>
      </w:r>
      <w:r>
        <w:rPr>
          <w:rFonts w:hint="eastAsia" w:cs="Times New Roman"/>
          <w:color w:val="0000FF"/>
          <w:highlight w:val="none"/>
          <w:vertAlign w:val="superscript"/>
          <w:lang w:val="en-US" w:eastAsia="zh-CN"/>
        </w:rPr>
        <w:t>3</w:t>
      </w:r>
      <w:r>
        <w:rPr>
          <w:rFonts w:hint="eastAsia" w:cs="Times New Roman"/>
          <w:color w:val="0000FF"/>
          <w:highlight w:val="none"/>
          <w:lang w:val="en-US" w:eastAsia="zh-CN"/>
        </w:rPr>
        <w:t>移动式的沉淀池处理后用于场地洒水降尘。</w:t>
      </w:r>
    </w:p>
    <w:p>
      <w:pPr>
        <w:pStyle w:val="5"/>
        <w:numPr>
          <w:ilvl w:val="3"/>
          <w:numId w:val="2"/>
        </w:numPr>
        <w:bidi w:val="0"/>
        <w:ind w:left="480" w:leftChars="0" w:firstLineChars="0"/>
        <w:rPr>
          <w:rFonts w:hint="eastAsia"/>
          <w:color w:val="auto"/>
        </w:rPr>
      </w:pPr>
      <w:r>
        <w:rPr>
          <w:rFonts w:hint="eastAsia"/>
          <w:color w:val="auto"/>
          <w:lang w:val="en-US" w:eastAsia="zh-CN"/>
        </w:rPr>
        <w:t>施工废水处理措施</w:t>
      </w:r>
    </w:p>
    <w:p>
      <w:pPr>
        <w:bidi w:val="0"/>
        <w:ind w:firstLine="480" w:firstLineChars="200"/>
        <w:outlineLvl w:val="9"/>
        <w:rPr>
          <w:rFonts w:hint="default" w:eastAsia="宋体"/>
          <w:color w:val="auto"/>
          <w:highlight w:val="none"/>
          <w:lang w:val="en-US"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w:t>
      </w:r>
      <w:r>
        <w:rPr>
          <w:color w:val="auto"/>
          <w:highlight w:val="none"/>
        </w:rPr>
        <w:t>混凝土搅拌</w:t>
      </w:r>
      <w:r>
        <w:rPr>
          <w:rFonts w:hint="eastAsia"/>
          <w:color w:val="auto"/>
          <w:highlight w:val="none"/>
          <w:lang w:val="en-US" w:eastAsia="zh-CN"/>
        </w:rPr>
        <w:t>机</w:t>
      </w:r>
      <w:r>
        <w:rPr>
          <w:color w:val="auto"/>
          <w:highlight w:val="none"/>
        </w:rPr>
        <w:t>冲洗废水</w:t>
      </w:r>
    </w:p>
    <w:p>
      <w:pPr>
        <w:bidi w:val="0"/>
        <w:ind w:firstLine="480" w:firstLineChars="200"/>
        <w:outlineLvl w:val="9"/>
        <w:rPr>
          <w:color w:val="auto"/>
          <w:highlight w:val="none"/>
        </w:rPr>
      </w:pPr>
      <w:r>
        <w:rPr>
          <w:color w:val="0000FF"/>
          <w:highlight w:val="none"/>
        </w:rPr>
        <w:t>施工期</w:t>
      </w:r>
      <w:r>
        <w:rPr>
          <w:rFonts w:hint="eastAsia"/>
          <w:color w:val="0000FF"/>
          <w:highlight w:val="none"/>
          <w:lang w:val="en-US" w:eastAsia="zh-CN"/>
        </w:rPr>
        <w:t>2台</w:t>
      </w:r>
      <w:r>
        <w:rPr>
          <w:color w:val="0000FF"/>
          <w:highlight w:val="none"/>
        </w:rPr>
        <w:t>移动式混凝土搅拌</w:t>
      </w:r>
      <w:r>
        <w:rPr>
          <w:rFonts w:hint="eastAsia"/>
          <w:color w:val="0000FF"/>
          <w:highlight w:val="none"/>
          <w:lang w:val="en-US" w:eastAsia="zh-CN"/>
        </w:rPr>
        <w:t>机</w:t>
      </w:r>
      <w:r>
        <w:rPr>
          <w:color w:val="0000FF"/>
          <w:highlight w:val="none"/>
        </w:rPr>
        <w:t>冲洗废水</w:t>
      </w:r>
      <w:r>
        <w:rPr>
          <w:color w:val="auto"/>
          <w:highlight w:val="none"/>
        </w:rPr>
        <w:t>可就地采用</w:t>
      </w:r>
      <w:r>
        <w:rPr>
          <w:rFonts w:hint="eastAsia"/>
          <w:color w:val="auto"/>
          <w:highlight w:val="none"/>
          <w:lang w:eastAsia="zh-CN"/>
        </w:rPr>
        <w:t>移动式沉淀池</w:t>
      </w:r>
      <w:r>
        <w:rPr>
          <w:color w:val="auto"/>
          <w:highlight w:val="none"/>
        </w:rPr>
        <w:t>收集，</w:t>
      </w:r>
      <w:r>
        <w:rPr>
          <w:rFonts w:hint="eastAsia"/>
          <w:color w:val="auto"/>
          <w:highlight w:val="none"/>
          <w:lang w:eastAsia="zh-CN"/>
        </w:rPr>
        <w:t>移动式沉淀池</w:t>
      </w:r>
      <w:r>
        <w:rPr>
          <w:color w:val="auto"/>
          <w:highlight w:val="none"/>
        </w:rPr>
        <w:t>大小为</w:t>
      </w:r>
      <w:r>
        <w:rPr>
          <w:rFonts w:hint="eastAsia"/>
          <w:color w:val="auto"/>
          <w:highlight w:val="none"/>
          <w:lang w:val="en-US" w:eastAsia="zh-CN"/>
        </w:rPr>
        <w:t>2</w:t>
      </w:r>
      <w:r>
        <w:rPr>
          <w:color w:val="auto"/>
          <w:highlight w:val="none"/>
        </w:rPr>
        <w:t>m</w:t>
      </w:r>
      <w:r>
        <w:rPr>
          <w:color w:val="auto"/>
          <w:highlight w:val="none"/>
          <w:vertAlign w:val="superscript"/>
        </w:rPr>
        <w:t>3</w:t>
      </w:r>
      <w:r>
        <w:rPr>
          <w:color w:val="auto"/>
          <w:highlight w:val="none"/>
        </w:rPr>
        <w:t>，</w:t>
      </w:r>
      <w:r>
        <w:rPr>
          <w:rFonts w:hint="eastAsia"/>
          <w:color w:val="auto"/>
          <w:highlight w:val="none"/>
          <w:lang w:val="en-US" w:eastAsia="zh-CN"/>
        </w:rPr>
        <w:t>沉淀后回用于施工</w:t>
      </w:r>
      <w:r>
        <w:rPr>
          <w:color w:val="auto"/>
          <w:highlight w:val="none"/>
        </w:rPr>
        <w:t>，不外排。</w:t>
      </w:r>
    </w:p>
    <w:p>
      <w:pPr>
        <w:outlineLvl w:val="9"/>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en-US" w:eastAsia="zh-CN"/>
        </w:rPr>
        <w:t>施工机械冲洗废水</w:t>
      </w:r>
    </w:p>
    <w:p>
      <w:pPr>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施工机械冲洗废水产生量为</w:t>
      </w:r>
      <w:r>
        <w:rPr>
          <w:rFonts w:hint="eastAsia" w:cs="Times New Roman"/>
          <w:color w:val="auto"/>
          <w:highlight w:val="none"/>
          <w:lang w:val="en-US" w:eastAsia="zh-CN"/>
        </w:rPr>
        <w:t>3.2</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w:t>
      </w:r>
      <w:r>
        <w:rPr>
          <w:rFonts w:hint="eastAsia" w:cs="Times New Roman"/>
          <w:color w:val="auto"/>
          <w:highlight w:val="none"/>
          <w:lang w:val="en-US" w:eastAsia="zh-CN"/>
        </w:rPr>
        <w:t>2304</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/工期（</w:t>
      </w:r>
      <w:r>
        <w:rPr>
          <w:rFonts w:hint="eastAsia" w:cs="Times New Roman"/>
          <w:color w:val="auto"/>
          <w:highlight w:val="none"/>
          <w:lang w:val="en-US" w:eastAsia="zh-CN"/>
        </w:rPr>
        <w:t>24</w:t>
      </w:r>
      <w:r>
        <w:rPr>
          <w:rFonts w:hint="default" w:ascii="Times New Roman" w:hAnsi="Times New Roman" w:cs="Times New Roman"/>
          <w:color w:val="auto"/>
          <w:highlight w:val="none"/>
          <w:lang w:val="en-US" w:eastAsia="zh-CN"/>
        </w:rPr>
        <w:t>个月，约</w:t>
      </w:r>
      <w:r>
        <w:rPr>
          <w:rFonts w:hint="eastAsia" w:cs="Times New Roman"/>
          <w:color w:val="auto"/>
          <w:highlight w:val="none"/>
          <w:lang w:val="en-US" w:eastAsia="zh-CN"/>
        </w:rPr>
        <w:t>720</w:t>
      </w:r>
      <w:r>
        <w:rPr>
          <w:rFonts w:hint="default" w:ascii="Times New Roman" w:hAnsi="Times New Roman" w:cs="Times New Roman"/>
          <w:color w:val="auto"/>
          <w:highlight w:val="none"/>
          <w:lang w:val="en-US" w:eastAsia="zh-CN"/>
        </w:rPr>
        <w:t>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环评要求在</w:t>
      </w:r>
      <w:r>
        <w:rPr>
          <w:rFonts w:hint="eastAsia" w:cs="Times New Roman"/>
          <w:color w:val="auto"/>
          <w:highlight w:val="none"/>
          <w:lang w:val="en-US" w:eastAsia="zh-CN"/>
        </w:rPr>
        <w:t>施工</w:t>
      </w:r>
      <w:r>
        <w:rPr>
          <w:rFonts w:hint="default" w:ascii="Times New Roman" w:hAnsi="Times New Roman" w:cs="Times New Roman"/>
          <w:color w:val="auto"/>
          <w:highlight w:val="none"/>
          <w:lang w:val="en-US" w:eastAsia="zh-CN"/>
        </w:rPr>
        <w:t>场地设</w:t>
      </w:r>
      <w:r>
        <w:rPr>
          <w:rFonts w:hint="default" w:ascii="Times New Roman" w:hAnsi="Times New Roman" w:cs="Times New Roman"/>
          <w:color w:val="auto"/>
          <w:highlight w:val="none"/>
          <w:shd w:val="clear"/>
          <w:lang w:val="en-US" w:eastAsia="zh-CN"/>
        </w:rPr>
        <w:t>置1个隔油池（容积为</w:t>
      </w:r>
      <w:r>
        <w:rPr>
          <w:rFonts w:hint="eastAsia" w:cs="Times New Roman"/>
          <w:color w:val="auto"/>
          <w:highlight w:val="none"/>
          <w:shd w:val="clear"/>
          <w:lang w:val="en-US" w:eastAsia="zh-CN"/>
        </w:rPr>
        <w:t>4</w:t>
      </w:r>
      <w:r>
        <w:rPr>
          <w:rFonts w:hint="default" w:ascii="Times New Roman" w:hAnsi="Times New Roman" w:cs="Times New Roman"/>
          <w:color w:val="auto"/>
          <w:highlight w:val="none"/>
          <w:shd w:val="clear"/>
          <w:lang w:val="en-US" w:eastAsia="zh-CN"/>
        </w:rPr>
        <w:t>m</w:t>
      </w:r>
      <w:r>
        <w:rPr>
          <w:rFonts w:hint="default" w:ascii="Times New Roman" w:hAnsi="Times New Roman" w:cs="Times New Roman"/>
          <w:color w:val="auto"/>
          <w:highlight w:val="none"/>
          <w:shd w:val="clear"/>
          <w:vertAlign w:val="superscript"/>
          <w:lang w:val="en-US" w:eastAsia="zh-CN"/>
        </w:rPr>
        <w:t>3</w:t>
      </w:r>
      <w:r>
        <w:rPr>
          <w:rFonts w:hint="default" w:ascii="Times New Roman" w:hAnsi="Times New Roman" w:cs="Times New Roman"/>
          <w:color w:val="auto"/>
          <w:highlight w:val="none"/>
          <w:shd w:val="clear"/>
          <w:lang w:val="en-US" w:eastAsia="zh-CN"/>
        </w:rPr>
        <w:t>）和1个沉淀池（容积为</w:t>
      </w:r>
      <w:r>
        <w:rPr>
          <w:rFonts w:hint="eastAsia" w:cs="Times New Roman"/>
          <w:color w:val="auto"/>
          <w:highlight w:val="none"/>
          <w:shd w:val="clear"/>
          <w:lang w:val="en-US" w:eastAsia="zh-CN"/>
        </w:rPr>
        <w:t>4</w:t>
      </w:r>
      <w:r>
        <w:rPr>
          <w:rFonts w:hint="default" w:ascii="Times New Roman" w:hAnsi="Times New Roman" w:cs="Times New Roman"/>
          <w:color w:val="auto"/>
          <w:highlight w:val="none"/>
          <w:shd w:val="clear"/>
          <w:lang w:val="en-US" w:eastAsia="zh-CN"/>
        </w:rPr>
        <w:t>m</w:t>
      </w:r>
      <w:r>
        <w:rPr>
          <w:rFonts w:hint="default" w:ascii="Times New Roman" w:hAnsi="Times New Roman" w:cs="Times New Roman"/>
          <w:color w:val="auto"/>
          <w:highlight w:val="none"/>
          <w:shd w:val="clear"/>
          <w:vertAlign w:val="superscript"/>
          <w:lang w:val="en-US" w:eastAsia="zh-CN"/>
        </w:rPr>
        <w:t>3</w:t>
      </w:r>
      <w:r>
        <w:rPr>
          <w:rFonts w:hint="default" w:ascii="Times New Roman" w:hAnsi="Times New Roman" w:cs="Times New Roman"/>
          <w:color w:val="auto"/>
          <w:highlight w:val="none"/>
          <w:shd w:val="clear"/>
          <w:lang w:val="en-US" w:eastAsia="zh-CN"/>
        </w:rPr>
        <w:t>）</w:t>
      </w:r>
      <w:r>
        <w:rPr>
          <w:rFonts w:hint="default" w:ascii="Times New Roman" w:hAnsi="Times New Roman" w:cs="Times New Roman"/>
          <w:color w:val="auto"/>
          <w:highlight w:val="none"/>
          <w:lang w:val="en-US" w:eastAsia="zh-CN"/>
        </w:rPr>
        <w:t>处理机修含油废水，经处理后</w:t>
      </w:r>
      <w:r>
        <w:rPr>
          <w:rFonts w:hint="eastAsia" w:cs="Times New Roman"/>
          <w:color w:val="auto"/>
          <w:highlight w:val="none"/>
          <w:lang w:val="en-US" w:eastAsia="zh-CN"/>
        </w:rPr>
        <w:t>用于场地洒水降尘</w:t>
      </w:r>
      <w:r>
        <w:rPr>
          <w:rFonts w:hint="default" w:ascii="Times New Roman" w:hAnsi="Times New Roman" w:cs="Times New Roman"/>
          <w:color w:val="auto"/>
          <w:highlight w:val="none"/>
          <w:lang w:val="en-US" w:eastAsia="zh-CN"/>
        </w:rPr>
        <w:t>。</w:t>
      </w:r>
    </w:p>
    <w:p>
      <w:pPr>
        <w:outlineLvl w:val="9"/>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（3）管道试压废水</w:t>
      </w:r>
    </w:p>
    <w:p>
      <w:pPr>
        <w:bidi w:val="0"/>
        <w:rPr>
          <w:color w:val="auto"/>
        </w:rPr>
      </w:pPr>
      <w:r>
        <w:rPr>
          <w:rFonts w:hint="default" w:ascii="Times New Roman" w:hAnsi="Times New Roman" w:cs="Times New Roman"/>
          <w:color w:val="auto"/>
          <w:lang w:val="en-US" w:eastAsia="zh-CN"/>
        </w:rPr>
        <w:t>管道安装完成后，进行闭水试验过程中会产生试验废水。本项目闭水试验主要抽取</w:t>
      </w:r>
      <w:r>
        <w:rPr>
          <w:rFonts w:hint="eastAsia" w:ascii="Times New Roman" w:hAnsi="Times New Roman" w:cs="Times New Roman"/>
          <w:color w:val="auto"/>
          <w:lang w:val="en-US" w:eastAsia="zh-CN"/>
        </w:rPr>
        <w:t>水源处高位水池中的水</w:t>
      </w:r>
      <w:r>
        <w:rPr>
          <w:rFonts w:hint="default" w:ascii="Times New Roman" w:hAnsi="Times New Roman" w:cs="Times New Roman"/>
          <w:color w:val="auto"/>
          <w:lang w:val="en-US" w:eastAsia="zh-CN"/>
        </w:rPr>
        <w:t>进行，</w:t>
      </w:r>
      <w:r>
        <w:rPr>
          <w:rFonts w:hint="eastAsia" w:ascii="Times New Roman" w:hAnsi="Times New Roman" w:cs="Times New Roman"/>
          <w:color w:val="auto"/>
          <w:lang w:val="en-US" w:eastAsia="zh-CN"/>
        </w:rPr>
        <w:t>产生的试压废水约1000m³，</w:t>
      </w:r>
      <w:r>
        <w:rPr>
          <w:rFonts w:hint="eastAsia" w:cs="Times New Roman"/>
          <w:color w:val="0000FF"/>
          <w:lang w:val="en-US" w:eastAsia="zh-CN"/>
        </w:rPr>
        <w:t>主要污染物为SS，可回场地洒水降尘</w:t>
      </w:r>
      <w:r>
        <w:rPr>
          <w:rFonts w:hint="default" w:ascii="Times New Roman" w:hAnsi="Times New Roman" w:cs="Times New Roman"/>
          <w:color w:val="auto"/>
          <w:lang w:val="en-US" w:eastAsia="zh-CN"/>
        </w:rPr>
        <w:t>。</w:t>
      </w:r>
    </w:p>
    <w:p>
      <w:pPr>
        <w:pStyle w:val="5"/>
        <w:numPr>
          <w:ilvl w:val="3"/>
          <w:numId w:val="2"/>
        </w:numPr>
        <w:bidi w:val="0"/>
        <w:ind w:left="480" w:leftChars="0" w:firstLineChars="0"/>
        <w:rPr>
          <w:rFonts w:hint="eastAsia"/>
          <w:color w:val="auto"/>
        </w:rPr>
      </w:pPr>
      <w:r>
        <w:rPr>
          <w:rFonts w:hint="eastAsia"/>
          <w:color w:val="auto"/>
        </w:rPr>
        <w:t>跨河建筑物施工水污染防治措施</w:t>
      </w:r>
    </w:p>
    <w:p>
      <w:pPr>
        <w:keepNext w:val="0"/>
        <w:keepLines w:val="0"/>
        <w:pageBreakBefore w:val="0"/>
        <w:widowControl w:val="0"/>
        <w:kinsoku/>
        <w:wordWrap/>
        <w:overflowPunct/>
        <w:topLinePunct w:val="0"/>
        <w:autoSpaceDE/>
        <w:autoSpaceDN/>
        <w:bidi w:val="0"/>
        <w:adjustRightInd w:val="0"/>
        <w:snapToGrid w:val="0"/>
        <w:ind w:firstLine="520"/>
        <w:textAlignment w:val="auto"/>
        <w:rPr>
          <w:rStyle w:val="61"/>
          <w:rFonts w:hint="default" w:ascii="Times New Roman" w:hAnsi="Times New Roman" w:eastAsia="宋体" w:cs="Times New Roman"/>
          <w:b w:val="0"/>
          <w:i w:val="0"/>
          <w:caps w:val="0"/>
          <w:color w:val="auto"/>
          <w:spacing w:val="0"/>
          <w:w w:val="100"/>
          <w:kern w:val="2"/>
          <w:sz w:val="24"/>
          <w:szCs w:val="24"/>
          <w:lang w:val="en-US" w:eastAsia="zh-CN" w:bidi="ar-SA"/>
        </w:rPr>
      </w:pPr>
      <w:r>
        <w:rPr>
          <w:rFonts w:hint="eastAsia"/>
          <w:color w:val="auto"/>
          <w:highlight w:val="none"/>
        </w:rPr>
        <w:t>本</w:t>
      </w:r>
      <w:r>
        <w:rPr>
          <w:rStyle w:val="61"/>
          <w:rFonts w:hint="default" w:ascii="Times New Roman" w:hAnsi="Times New Roman" w:eastAsia="宋体" w:cs="Times New Roman"/>
          <w:b w:val="0"/>
          <w:i w:val="0"/>
          <w:caps w:val="0"/>
          <w:color w:val="auto"/>
          <w:spacing w:val="0"/>
          <w:w w:val="100"/>
          <w:kern w:val="2"/>
          <w:sz w:val="24"/>
          <w:szCs w:val="24"/>
          <w:lang w:val="en-US" w:eastAsia="zh-CN" w:bidi="ar-SA"/>
        </w:rPr>
        <w:t>本项目管道共有</w:t>
      </w:r>
      <w:r>
        <w:rPr>
          <w:rStyle w:val="61"/>
          <w:rFonts w:hint="eastAsia" w:ascii="Times New Roman" w:hAnsi="Times New Roman" w:cs="Times New Roman"/>
          <w:b w:val="0"/>
          <w:i w:val="0"/>
          <w:caps w:val="0"/>
          <w:color w:val="auto"/>
          <w:spacing w:val="0"/>
          <w:w w:val="100"/>
          <w:kern w:val="2"/>
          <w:sz w:val="24"/>
          <w:szCs w:val="24"/>
          <w:lang w:val="en-US" w:eastAsia="zh-CN" w:bidi="ar-SA"/>
        </w:rPr>
        <w:t>2</w:t>
      </w:r>
      <w:r>
        <w:rPr>
          <w:rStyle w:val="61"/>
          <w:rFonts w:hint="default" w:ascii="Times New Roman" w:hAnsi="Times New Roman" w:eastAsia="宋体" w:cs="Times New Roman"/>
          <w:b w:val="0"/>
          <w:i w:val="0"/>
          <w:caps w:val="0"/>
          <w:color w:val="auto"/>
          <w:spacing w:val="0"/>
          <w:w w:val="100"/>
          <w:kern w:val="2"/>
          <w:sz w:val="24"/>
          <w:szCs w:val="24"/>
          <w:lang w:val="en-US" w:eastAsia="zh-CN" w:bidi="ar-SA"/>
        </w:rPr>
        <w:t>处跨越河流</w:t>
      </w:r>
      <w:r>
        <w:rPr>
          <w:rStyle w:val="61"/>
          <w:rFonts w:hint="eastAsia" w:ascii="Times New Roman" w:hAnsi="Times New Roman" w:cs="Times New Roman"/>
          <w:b w:val="0"/>
          <w:i w:val="0"/>
          <w:caps w:val="0"/>
          <w:color w:val="auto"/>
          <w:spacing w:val="0"/>
          <w:w w:val="100"/>
          <w:kern w:val="2"/>
          <w:sz w:val="24"/>
          <w:szCs w:val="24"/>
          <w:lang w:val="en-US" w:eastAsia="zh-CN" w:bidi="ar-SA"/>
        </w:rPr>
        <w:t>：北干管</w:t>
      </w:r>
      <w:r>
        <w:rPr>
          <w:rFonts w:hint="eastAsia" w:cs="Times New Roman"/>
          <w:color w:val="auto"/>
          <w:sz w:val="24"/>
          <w:highlight w:val="none"/>
          <w:lang w:val="en-US" w:eastAsia="zh-CN"/>
        </w:rPr>
        <w:t>K7+845~K7+855</w:t>
      </w:r>
      <w:r>
        <w:rPr>
          <w:rStyle w:val="61"/>
          <w:rFonts w:hint="eastAsia" w:ascii="Times New Roman" w:hAnsi="Times New Roman" w:cs="Times New Roman"/>
          <w:b w:val="0"/>
          <w:i w:val="0"/>
          <w:caps w:val="0"/>
          <w:color w:val="auto"/>
          <w:spacing w:val="0"/>
          <w:w w:val="100"/>
          <w:kern w:val="2"/>
          <w:sz w:val="24"/>
          <w:szCs w:val="24"/>
          <w:lang w:val="en-US" w:eastAsia="zh-CN" w:bidi="ar-SA"/>
        </w:rPr>
        <w:t>管段跨姜驿河；金马分干管K1+711~K1+720段跨沙沟箐。</w:t>
      </w:r>
      <w:r>
        <w:rPr>
          <w:rStyle w:val="61"/>
          <w:rFonts w:hint="default" w:ascii="Times New Roman" w:hAnsi="Times New Roman" w:eastAsia="宋体" w:cs="Times New Roman"/>
          <w:b w:val="0"/>
          <w:i w:val="0"/>
          <w:caps w:val="0"/>
          <w:color w:val="auto"/>
          <w:spacing w:val="0"/>
          <w:w w:val="100"/>
          <w:kern w:val="2"/>
          <w:sz w:val="24"/>
          <w:szCs w:val="24"/>
          <w:lang w:val="en-US" w:eastAsia="zh-CN" w:bidi="ar-SA"/>
        </w:rPr>
        <w:t>采用DN300钢管跨越。</w:t>
      </w:r>
      <w:r>
        <w:rPr>
          <w:rStyle w:val="61"/>
          <w:rFonts w:hint="eastAsia" w:ascii="Times New Roman" w:hAnsi="Times New Roman" w:eastAsia="宋体" w:cs="Times New Roman"/>
          <w:b w:val="0"/>
          <w:i w:val="0"/>
          <w:caps w:val="0"/>
          <w:color w:val="auto"/>
          <w:spacing w:val="0"/>
          <w:w w:val="100"/>
          <w:kern w:val="2"/>
          <w:sz w:val="24"/>
          <w:szCs w:val="24"/>
          <w:lang w:val="en-US" w:eastAsia="zh-CN" w:bidi="ar-SA"/>
        </w:rPr>
        <w:t>采用高空管架桥架空方式</w:t>
      </w:r>
      <w:r>
        <w:rPr>
          <w:rStyle w:val="61"/>
          <w:rFonts w:hint="default" w:ascii="Times New Roman" w:hAnsi="Times New Roman" w:eastAsia="宋体" w:cs="Times New Roman"/>
          <w:b w:val="0"/>
          <w:i w:val="0"/>
          <w:caps w:val="0"/>
          <w:color w:val="auto"/>
          <w:spacing w:val="0"/>
          <w:w w:val="100"/>
          <w:kern w:val="2"/>
          <w:sz w:val="24"/>
          <w:szCs w:val="24"/>
          <w:lang w:val="en-US" w:eastAsia="zh-CN" w:bidi="ar-SA"/>
        </w:rPr>
        <w:t>，在河岸岸堤两侧设置支墩，其上设置钢结构支柱，在支柱上方设置钢架，管道沿</w:t>
      </w:r>
      <w:r>
        <w:rPr>
          <w:rStyle w:val="61"/>
          <w:rFonts w:hint="eastAsia" w:ascii="Times New Roman" w:hAnsi="Times New Roman" w:cs="Times New Roman"/>
          <w:b w:val="0"/>
          <w:i w:val="0"/>
          <w:caps w:val="0"/>
          <w:color w:val="auto"/>
          <w:spacing w:val="0"/>
          <w:w w:val="100"/>
          <w:kern w:val="2"/>
          <w:sz w:val="24"/>
          <w:szCs w:val="24"/>
          <w:lang w:val="en-US" w:eastAsia="zh-CN" w:bidi="ar-SA"/>
        </w:rPr>
        <w:t>钢</w:t>
      </w:r>
      <w:r>
        <w:rPr>
          <w:rStyle w:val="61"/>
          <w:rFonts w:hint="default" w:ascii="Times New Roman" w:hAnsi="Times New Roman" w:eastAsia="宋体" w:cs="Times New Roman"/>
          <w:b w:val="0"/>
          <w:i w:val="0"/>
          <w:caps w:val="0"/>
          <w:color w:val="auto"/>
          <w:spacing w:val="0"/>
          <w:w w:val="100"/>
          <w:kern w:val="2"/>
          <w:sz w:val="24"/>
          <w:szCs w:val="24"/>
          <w:lang w:val="en-US" w:eastAsia="zh-CN" w:bidi="ar-SA"/>
        </w:rPr>
        <w:t>架布设。</w:t>
      </w:r>
    </w:p>
    <w:p>
      <w:pPr>
        <w:keepNext w:val="0"/>
        <w:keepLines w:val="0"/>
        <w:pageBreakBefore w:val="0"/>
        <w:widowControl w:val="0"/>
        <w:kinsoku/>
        <w:wordWrap/>
        <w:overflowPunct/>
        <w:topLinePunct w:val="0"/>
        <w:autoSpaceDE/>
        <w:autoSpaceDN/>
        <w:bidi w:val="0"/>
        <w:adjustRightInd w:val="0"/>
        <w:snapToGrid w:val="0"/>
        <w:ind w:firstLine="52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为防止此地段施工对河道的影响，环评提出以下措施：</w:t>
      </w:r>
    </w:p>
    <w:p>
      <w:pPr>
        <w:keepNext w:val="0"/>
        <w:keepLines w:val="0"/>
        <w:pageBreakBefore w:val="0"/>
        <w:widowControl w:val="0"/>
        <w:kinsoku/>
        <w:wordWrap/>
        <w:overflowPunct/>
        <w:topLinePunct w:val="0"/>
        <w:autoSpaceDE/>
        <w:autoSpaceDN/>
        <w:bidi w:val="0"/>
        <w:adjustRightInd w:val="0"/>
        <w:snapToGrid w:val="0"/>
        <w:ind w:firstLine="52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①河堤开挖因设置临时围挡措施，避免废土石及建筑垃圾等落入河道；</w:t>
      </w:r>
    </w:p>
    <w:p>
      <w:pPr>
        <w:keepNext w:val="0"/>
        <w:keepLines w:val="0"/>
        <w:pageBreakBefore w:val="0"/>
        <w:widowControl w:val="0"/>
        <w:kinsoku/>
        <w:wordWrap/>
        <w:overflowPunct/>
        <w:topLinePunct w:val="0"/>
        <w:autoSpaceDE/>
        <w:autoSpaceDN/>
        <w:bidi w:val="0"/>
        <w:adjustRightInd w:val="0"/>
        <w:snapToGrid w:val="0"/>
        <w:ind w:firstLine="52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②该地段施工尽可能避让雨天，缩短工期，如遇雨天应采用布对临时废土石及细质材料进行遮盖；</w:t>
      </w:r>
    </w:p>
    <w:p>
      <w:pPr>
        <w:keepNext w:val="0"/>
        <w:keepLines w:val="0"/>
        <w:pageBreakBefore w:val="0"/>
        <w:widowControl w:val="0"/>
        <w:kinsoku/>
        <w:wordWrap/>
        <w:overflowPunct/>
        <w:topLinePunct w:val="0"/>
        <w:autoSpaceDE/>
        <w:autoSpaceDN/>
        <w:bidi w:val="0"/>
        <w:adjustRightInd w:val="0"/>
        <w:snapToGrid w:val="0"/>
        <w:ind w:firstLine="52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③废弃土石方及建筑垃圾远离河道堆置，同时及时清运，减少临时堆存量，减轻水土流失。</w:t>
      </w:r>
    </w:p>
    <w:p>
      <w:pPr>
        <w:keepNext w:val="0"/>
        <w:keepLines w:val="0"/>
        <w:pageBreakBefore w:val="0"/>
        <w:widowControl w:val="0"/>
        <w:kinsoku/>
        <w:wordWrap/>
        <w:overflowPunct/>
        <w:topLinePunct w:val="0"/>
        <w:autoSpaceDE/>
        <w:autoSpaceDN/>
        <w:bidi w:val="0"/>
        <w:adjustRightInd w:val="0"/>
        <w:snapToGrid w:val="0"/>
        <w:ind w:firstLine="52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采取以上措施的情况下，可避免或减缓因管道跨河施工对</w:t>
      </w:r>
      <w:r>
        <w:rPr>
          <w:rFonts w:hint="eastAsia" w:cs="Times New Roman"/>
          <w:color w:val="auto"/>
          <w:lang w:val="en-US" w:eastAsia="zh-CN"/>
        </w:rPr>
        <w:t>勐甸河</w:t>
      </w:r>
      <w:r>
        <w:rPr>
          <w:rFonts w:hint="default" w:ascii="Times New Roman" w:hAnsi="Times New Roman" w:cs="Times New Roman"/>
          <w:color w:val="auto"/>
          <w:lang w:val="en-US" w:eastAsia="zh-CN"/>
        </w:rPr>
        <w:t>造成的影响。总体而言，跨河管道施工不建设水中墩及桥梁，采用架空铺设的方式进行，对</w:t>
      </w:r>
      <w:r>
        <w:rPr>
          <w:rFonts w:hint="eastAsia" w:cs="Times New Roman"/>
          <w:color w:val="auto"/>
          <w:lang w:val="en-US" w:eastAsia="zh-CN"/>
        </w:rPr>
        <w:t>河道</w:t>
      </w:r>
      <w:r>
        <w:rPr>
          <w:rFonts w:hint="default" w:ascii="Times New Roman" w:hAnsi="Times New Roman" w:cs="Times New Roman"/>
          <w:color w:val="auto"/>
          <w:lang w:val="en-US" w:eastAsia="zh-CN"/>
        </w:rPr>
        <w:t>总体较小。</w:t>
      </w:r>
    </w:p>
    <w:p>
      <w:pPr>
        <w:pStyle w:val="4"/>
        <w:numPr>
          <w:ilvl w:val="2"/>
          <w:numId w:val="2"/>
        </w:numPr>
        <w:tabs>
          <w:tab w:val="left" w:pos="420"/>
        </w:tabs>
        <w:bidi w:val="0"/>
        <w:rPr>
          <w:rFonts w:hint="eastAsia"/>
          <w:color w:val="auto"/>
        </w:rPr>
      </w:pPr>
      <w:bookmarkStart w:id="695" w:name="_Toc26982"/>
      <w:bookmarkStart w:id="696" w:name="_Toc14618"/>
      <w:bookmarkStart w:id="697" w:name="_Toc2517"/>
      <w:bookmarkStart w:id="698" w:name="_Toc12025"/>
      <w:r>
        <w:rPr>
          <w:rFonts w:hint="eastAsia"/>
          <w:color w:val="auto"/>
        </w:rPr>
        <w:t>运行期水环境保护措施及可行性</w:t>
      </w:r>
      <w:bookmarkEnd w:id="695"/>
      <w:bookmarkEnd w:id="696"/>
      <w:bookmarkEnd w:id="697"/>
      <w:bookmarkEnd w:id="698"/>
    </w:p>
    <w:p>
      <w:pPr>
        <w:pStyle w:val="5"/>
        <w:numPr>
          <w:ilvl w:val="3"/>
          <w:numId w:val="36"/>
        </w:numPr>
        <w:bidi w:val="0"/>
        <w:ind w:left="480" w:leftChars="0" w:firstLineChars="0"/>
        <w:rPr>
          <w:rFonts w:hint="eastAsia"/>
          <w:color w:val="auto"/>
          <w:lang w:eastAsia="zh-CN"/>
        </w:rPr>
      </w:pPr>
      <w:r>
        <w:rPr>
          <w:rFonts w:hint="eastAsia"/>
          <w:color w:val="auto"/>
          <w:lang w:val="en-US" w:eastAsia="zh-CN"/>
        </w:rPr>
        <w:t xml:space="preserve"> </w:t>
      </w:r>
      <w:r>
        <w:rPr>
          <w:rFonts w:hint="eastAsia"/>
          <w:color w:val="auto"/>
        </w:rPr>
        <w:t>灌区</w:t>
      </w:r>
      <w:r>
        <w:rPr>
          <w:rFonts w:hint="eastAsia"/>
          <w:color w:val="auto"/>
          <w:lang w:eastAsia="zh-CN"/>
        </w:rPr>
        <w:t>水环境保护措施</w:t>
      </w:r>
    </w:p>
    <w:p>
      <w:pPr>
        <w:pStyle w:val="37"/>
        <w:ind w:firstLine="480" w:firstLineChars="200"/>
        <w:rPr>
          <w:rFonts w:hint="eastAsia"/>
          <w:color w:val="auto"/>
          <w:highlight w:val="none"/>
          <w:lang w:eastAsia="zh-CN"/>
        </w:rPr>
      </w:pPr>
      <w:r>
        <w:rPr>
          <w:rFonts w:hint="eastAsia"/>
          <w:color w:val="auto"/>
          <w:highlight w:val="none"/>
          <w:lang w:eastAsia="zh-CN"/>
        </w:rPr>
        <w:t>为保护纳污水体水质，在地方有关的水污染治理规划基础上，具体提出本项目灌区实施的污染治理和防范措施，包括区域面源为主的污染源控制措施及针对纳污水体的灌溉回归水影响控制措施。</w:t>
      </w:r>
    </w:p>
    <w:p>
      <w:pPr>
        <w:pStyle w:val="37"/>
        <w:numPr>
          <w:ilvl w:val="0"/>
          <w:numId w:val="0"/>
        </w:numPr>
        <w:ind w:firstLine="480" w:firstLineChars="200"/>
        <w:rPr>
          <w:rFonts w:hint="eastAsia"/>
          <w:color w:val="0000FF"/>
          <w:highlight w:val="none"/>
          <w:lang w:eastAsia="zh-CN"/>
        </w:rPr>
      </w:pPr>
      <w:r>
        <w:rPr>
          <w:rFonts w:hint="eastAsia" w:ascii="Times New Roman" w:hAnsi="Times New Roman" w:eastAsia="宋体" w:cs="Times New Roman"/>
          <w:color w:val="0000FF"/>
          <w:kern w:val="0"/>
          <w:sz w:val="24"/>
          <w:szCs w:val="21"/>
          <w:highlight w:val="none"/>
          <w:lang w:val="en-US" w:eastAsia="zh-CN" w:bidi="ar-SA"/>
        </w:rPr>
        <w:t>（</w:t>
      </w:r>
      <w:r>
        <w:rPr>
          <w:rFonts w:hint="eastAsia" w:cs="Times New Roman"/>
          <w:color w:val="0000FF"/>
          <w:kern w:val="0"/>
          <w:sz w:val="24"/>
          <w:szCs w:val="21"/>
          <w:highlight w:val="none"/>
          <w:lang w:val="en-US" w:eastAsia="zh-CN" w:bidi="ar-SA"/>
        </w:rPr>
        <w:t>1</w:t>
      </w:r>
      <w:r>
        <w:rPr>
          <w:rFonts w:hint="eastAsia" w:ascii="Times New Roman" w:hAnsi="Times New Roman" w:eastAsia="宋体" w:cs="Times New Roman"/>
          <w:color w:val="0000FF"/>
          <w:kern w:val="0"/>
          <w:sz w:val="24"/>
          <w:szCs w:val="21"/>
          <w:highlight w:val="none"/>
          <w:lang w:val="en-US" w:eastAsia="zh-CN" w:bidi="ar-SA"/>
        </w:rPr>
        <w:t>）</w:t>
      </w:r>
      <w:r>
        <w:rPr>
          <w:rFonts w:hint="eastAsia"/>
          <w:color w:val="0000FF"/>
          <w:highlight w:val="none"/>
          <w:lang w:eastAsia="zh-CN"/>
        </w:rPr>
        <w:t>推动农村环境综合治理</w:t>
      </w:r>
    </w:p>
    <w:p>
      <w:pPr>
        <w:pStyle w:val="37"/>
        <w:ind w:firstLine="480" w:firstLineChars="200"/>
        <w:rPr>
          <w:rFonts w:hint="eastAsia"/>
          <w:color w:val="auto"/>
          <w:highlight w:val="none"/>
          <w:lang w:eastAsia="zh-CN"/>
        </w:rPr>
      </w:pPr>
      <w:r>
        <w:rPr>
          <w:rFonts w:hint="eastAsia"/>
          <w:color w:val="auto"/>
          <w:highlight w:val="none"/>
          <w:lang w:eastAsia="zh-CN"/>
        </w:rPr>
        <w:t>制定实施姜驿乡、江边乡农业面源污染综合防止方案。推广使用高效、低毒、低残留农药，构建病虫监测预警与防控体系，推进农作物病虫害绿色防控和统防统治。实行测土配方施肥，推广精准施肥技术和机具，推广更环保的生物粪肥。完善高标准农田建设、土地开发整理等标准规范，明确环保要求，续建高标准农田要达到相关环保要求。在化肥施用强度较大的地区开展农田排水及地表径流氨磷含量监测。敏感区域和大中型灌区，要利用现有沟、塘、窖等，配置水生植物群落、格栅和透水坝，建设生态沟渠、污水净化塘、地表径流集蓄池等设施，净化农田排水及地表径流。</w:t>
      </w:r>
    </w:p>
    <w:p>
      <w:pPr>
        <w:pStyle w:val="37"/>
        <w:numPr>
          <w:ilvl w:val="0"/>
          <w:numId w:val="0"/>
        </w:numPr>
        <w:ind w:left="0" w:leftChars="0" w:firstLine="480" w:firstLineChars="200"/>
        <w:rPr>
          <w:rFonts w:hint="eastAsia"/>
          <w:color w:val="auto"/>
          <w:highlight w:val="none"/>
          <w:lang w:eastAsia="zh-CN"/>
        </w:rPr>
      </w:pPr>
      <w:r>
        <w:rPr>
          <w:rFonts w:hint="eastAsia" w:ascii="Times New Roman" w:hAnsi="Times New Roman" w:eastAsia="宋体" w:cs="Times New Roman"/>
          <w:color w:val="auto"/>
          <w:kern w:val="0"/>
          <w:sz w:val="24"/>
          <w:szCs w:val="21"/>
          <w:highlight w:val="none"/>
          <w:lang w:val="en-US" w:eastAsia="zh-CN" w:bidi="ar-SA"/>
        </w:rPr>
        <w:t>（</w:t>
      </w:r>
      <w:r>
        <w:rPr>
          <w:rFonts w:hint="eastAsia" w:cs="Times New Roman"/>
          <w:color w:val="auto"/>
          <w:kern w:val="0"/>
          <w:sz w:val="24"/>
          <w:szCs w:val="21"/>
          <w:highlight w:val="none"/>
          <w:lang w:val="en-US" w:eastAsia="zh-CN" w:bidi="ar-SA"/>
        </w:rPr>
        <w:t>2</w:t>
      </w:r>
      <w:r>
        <w:rPr>
          <w:rFonts w:hint="eastAsia" w:ascii="Times New Roman" w:hAnsi="Times New Roman" w:eastAsia="宋体" w:cs="Times New Roman"/>
          <w:color w:val="auto"/>
          <w:kern w:val="0"/>
          <w:sz w:val="24"/>
          <w:szCs w:val="21"/>
          <w:highlight w:val="none"/>
          <w:lang w:val="en-US" w:eastAsia="zh-CN" w:bidi="ar-SA"/>
        </w:rPr>
        <w:t>）</w:t>
      </w:r>
      <w:r>
        <w:rPr>
          <w:rFonts w:hint="eastAsia"/>
          <w:color w:val="auto"/>
          <w:highlight w:val="none"/>
          <w:lang w:eastAsia="zh-CN"/>
        </w:rPr>
        <w:t>调整种植业结构与布局</w:t>
      </w:r>
    </w:p>
    <w:p>
      <w:pPr>
        <w:pStyle w:val="37"/>
        <w:numPr>
          <w:ilvl w:val="0"/>
          <w:numId w:val="0"/>
        </w:numPr>
        <w:ind w:leftChars="0" w:firstLine="480" w:firstLineChars="200"/>
        <w:rPr>
          <w:rFonts w:hint="eastAsia"/>
          <w:color w:val="auto"/>
          <w:highlight w:val="none"/>
          <w:lang w:val="en-US" w:eastAsia="zh-CN"/>
        </w:rPr>
      </w:pPr>
      <w:r>
        <w:rPr>
          <w:rFonts w:hint="eastAsia"/>
          <w:color w:val="auto"/>
          <w:highlight w:val="none"/>
          <w:lang w:val="en-US" w:eastAsia="zh-CN"/>
        </w:rPr>
        <w:t>在缺水地区鼓励发展节水栽培技术。在地下水易受污染地区，优先种植需肥需药量低、环境效益突出的农作物。</w:t>
      </w:r>
    </w:p>
    <w:p>
      <w:pPr>
        <w:pStyle w:val="37"/>
        <w:numPr>
          <w:ilvl w:val="0"/>
          <w:numId w:val="0"/>
        </w:numPr>
        <w:ind w:left="0" w:leftChars="0" w:firstLine="480" w:firstLineChars="200"/>
        <w:rPr>
          <w:rFonts w:hint="eastAsia"/>
          <w:color w:val="auto"/>
          <w:highlight w:val="none"/>
          <w:lang w:val="en-US" w:eastAsia="zh-CN"/>
        </w:rPr>
      </w:pPr>
      <w:r>
        <w:rPr>
          <w:rFonts w:hint="eastAsia" w:ascii="Times New Roman" w:hAnsi="Times New Roman" w:eastAsia="宋体" w:cs="Times New Roman"/>
          <w:color w:val="auto"/>
          <w:kern w:val="0"/>
          <w:sz w:val="24"/>
          <w:szCs w:val="21"/>
          <w:highlight w:val="none"/>
          <w:lang w:val="en-US" w:eastAsia="zh-CN" w:bidi="ar-SA"/>
        </w:rPr>
        <w:t>（</w:t>
      </w:r>
      <w:r>
        <w:rPr>
          <w:rFonts w:hint="eastAsia" w:cs="Times New Roman"/>
          <w:color w:val="auto"/>
          <w:kern w:val="0"/>
          <w:sz w:val="24"/>
          <w:szCs w:val="21"/>
          <w:highlight w:val="none"/>
          <w:lang w:val="en-US" w:eastAsia="zh-CN" w:bidi="ar-SA"/>
        </w:rPr>
        <w:t>3</w:t>
      </w:r>
      <w:r>
        <w:rPr>
          <w:rFonts w:hint="eastAsia" w:ascii="Times New Roman" w:hAnsi="Times New Roman" w:eastAsia="宋体" w:cs="Times New Roman"/>
          <w:color w:val="auto"/>
          <w:kern w:val="0"/>
          <w:sz w:val="24"/>
          <w:szCs w:val="21"/>
          <w:highlight w:val="none"/>
          <w:lang w:val="en-US" w:eastAsia="zh-CN" w:bidi="ar-SA"/>
        </w:rPr>
        <w:t>）</w:t>
      </w:r>
      <w:r>
        <w:rPr>
          <w:rFonts w:hint="eastAsia"/>
          <w:color w:val="auto"/>
          <w:highlight w:val="none"/>
          <w:lang w:val="en-US" w:eastAsia="zh-CN"/>
        </w:rPr>
        <w:t>灌溉退水处理措施</w:t>
      </w:r>
    </w:p>
    <w:p>
      <w:pPr>
        <w:pStyle w:val="37"/>
        <w:numPr>
          <w:ilvl w:val="0"/>
          <w:numId w:val="0"/>
        </w:numPr>
        <w:ind w:firstLine="480" w:firstLineChars="200"/>
        <w:rPr>
          <w:rFonts w:hint="default"/>
          <w:color w:val="auto"/>
          <w:highlight w:val="none"/>
          <w:lang w:val="en-US" w:eastAsia="zh-CN"/>
        </w:rPr>
      </w:pPr>
      <w:r>
        <w:rPr>
          <w:rFonts w:hint="eastAsia"/>
          <w:color w:val="auto"/>
          <w:highlight w:val="none"/>
          <w:lang w:val="en-US" w:eastAsia="zh-CN"/>
        </w:rPr>
        <w:t>灌区规划灌溉退水仍按照现有退水形式退水，灌区退水就近排放至天然河沟。根据就近排水的原则，灌溉退水在经过干支渠、斗、农沟及农沟以下的田间沟道的自然净化后排入天然河沟汇入相应的承排泄河流，正常情况下灌溉退水不会对承排泄河流水质造成明显不利影响，但在雨洪期可能会对河流水质造成一定的不利影响，但本项目退水区没有水环境敏感保护目标，故对退水区的水体影响将降低。</w:t>
      </w:r>
    </w:p>
    <w:p>
      <w:pPr>
        <w:pStyle w:val="5"/>
        <w:numPr>
          <w:ilvl w:val="3"/>
          <w:numId w:val="2"/>
        </w:numPr>
        <w:bidi w:val="0"/>
        <w:ind w:left="480" w:leftChars="0" w:firstLineChars="0"/>
        <w:rPr>
          <w:rFonts w:hint="eastAsia"/>
          <w:color w:val="auto"/>
        </w:rPr>
      </w:pPr>
      <w:r>
        <w:rPr>
          <w:rFonts w:hint="eastAsia"/>
          <w:color w:val="auto"/>
          <w:lang w:eastAsia="zh-CN"/>
        </w:rPr>
        <w:t>管理所生活污水</w:t>
      </w:r>
      <w:r>
        <w:rPr>
          <w:rFonts w:hint="eastAsia"/>
          <w:color w:val="auto"/>
        </w:rPr>
        <w:t>污染控制</w:t>
      </w:r>
    </w:p>
    <w:p>
      <w:pPr>
        <w:bidi w:val="0"/>
        <w:ind w:firstLine="480" w:firstLineChars="200"/>
        <w:rPr>
          <w:rFonts w:hint="default"/>
          <w:color w:val="0000FF"/>
          <w:highlight w:val="none"/>
          <w:lang w:val="en-US" w:eastAsia="zh-CN"/>
        </w:rPr>
      </w:pPr>
      <w:r>
        <w:rPr>
          <w:rFonts w:hint="eastAsia"/>
          <w:color w:val="0000FF"/>
          <w:highlight w:val="none"/>
          <w:lang w:val="en-US" w:eastAsia="zh-CN"/>
        </w:rPr>
        <w:t>灌区管理所工作人及平时到访人员以10人计，环评提出设置容积为1m</w:t>
      </w:r>
      <w:r>
        <w:rPr>
          <w:rFonts w:hint="eastAsia"/>
          <w:color w:val="0000FF"/>
          <w:highlight w:val="none"/>
          <w:vertAlign w:val="superscript"/>
          <w:lang w:val="en-US" w:eastAsia="zh-CN"/>
        </w:rPr>
        <w:t>3</w:t>
      </w:r>
      <w:r>
        <w:rPr>
          <w:rFonts w:hint="eastAsia"/>
          <w:color w:val="0000FF"/>
          <w:highlight w:val="none"/>
          <w:lang w:val="en-US" w:eastAsia="zh-CN"/>
        </w:rPr>
        <w:t>的隔油池处理食堂废水、1.5m³的化粪池收集生活污水，产生的生活污水经过化粪池处理后回用于农田灌溉，产生的废水不外排。</w:t>
      </w:r>
    </w:p>
    <w:p>
      <w:pPr>
        <w:pStyle w:val="5"/>
        <w:numPr>
          <w:ilvl w:val="3"/>
          <w:numId w:val="2"/>
        </w:numPr>
        <w:bidi w:val="0"/>
        <w:ind w:left="480" w:leftChars="0" w:firstLineChars="0"/>
        <w:rPr>
          <w:rFonts w:hint="eastAsia"/>
          <w:color w:val="auto"/>
          <w:lang w:val="en-US" w:eastAsia="zh-CN"/>
        </w:rPr>
      </w:pPr>
      <w:r>
        <w:rPr>
          <w:rFonts w:hint="eastAsia"/>
          <w:color w:val="auto"/>
          <w:lang w:val="en-US" w:eastAsia="zh-CN"/>
        </w:rPr>
        <w:t>灌区面源污染控制</w:t>
      </w:r>
    </w:p>
    <w:p>
      <w:pPr>
        <w:bidi w:val="0"/>
        <w:ind w:firstLine="480" w:firstLineChars="200"/>
        <w:rPr>
          <w:rFonts w:hint="eastAsia"/>
          <w:color w:val="auto"/>
          <w:highlight w:val="none"/>
          <w:lang w:val="en-US" w:eastAsia="zh-CN"/>
        </w:rPr>
      </w:pPr>
      <w:r>
        <w:rPr>
          <w:rFonts w:hint="eastAsia"/>
          <w:color w:val="auto"/>
          <w:highlight w:val="none"/>
          <w:lang w:val="en-US" w:eastAsia="zh-CN"/>
        </w:rPr>
        <w:t>（1）农药和农膜治理对策</w:t>
      </w:r>
    </w:p>
    <w:p>
      <w:pPr>
        <w:bidi w:val="0"/>
        <w:ind w:firstLine="480" w:firstLineChars="200"/>
        <w:rPr>
          <w:rFonts w:hint="eastAsia"/>
          <w:color w:val="auto"/>
          <w:highlight w:val="none"/>
          <w:lang w:val="en-US" w:eastAsia="zh-CN"/>
        </w:rPr>
      </w:pPr>
      <w:r>
        <w:rPr>
          <w:rFonts w:hint="eastAsia"/>
          <w:color w:val="auto"/>
          <w:highlight w:val="none"/>
          <w:lang w:val="en-US" w:eastAsia="zh-CN"/>
        </w:rPr>
        <w:t>科学使用和减少农药用量，推广使用高效低残留农药新品种，替代中高毒农药，提高生物农药使用比例，提倡综合防治。具体措施主要包括：利用耕作、栽培、育种等农事措施来防治农作物病虫害；利用生物技术和基因技术防治农业有害生物；应用光、电、微波、超声波、辐射等物理措施来控制病虫害。促进地膜回收利用，积极推广可降解地膜，减少塑料薄膜的生产和使用，研究开发废旧地</w:t>
      </w:r>
    </w:p>
    <w:p>
      <w:pPr>
        <w:bidi w:val="0"/>
        <w:rPr>
          <w:rFonts w:hint="eastAsia"/>
          <w:color w:val="auto"/>
          <w:highlight w:val="none"/>
          <w:lang w:val="en-US" w:eastAsia="zh-CN"/>
        </w:rPr>
      </w:pPr>
      <w:r>
        <w:rPr>
          <w:rFonts w:hint="eastAsia"/>
          <w:color w:val="auto"/>
          <w:highlight w:val="none"/>
          <w:lang w:val="en-US" w:eastAsia="zh-CN"/>
        </w:rPr>
        <w:t>膜资源化利用技术，减少白色污染。</w:t>
      </w:r>
    </w:p>
    <w:p>
      <w:pPr>
        <w:bidi w:val="0"/>
        <w:ind w:firstLine="480" w:firstLineChars="200"/>
        <w:rPr>
          <w:rFonts w:hint="eastAsia"/>
          <w:color w:val="auto"/>
          <w:highlight w:val="none"/>
          <w:lang w:val="en-US" w:eastAsia="zh-CN"/>
        </w:rPr>
      </w:pPr>
      <w:r>
        <w:rPr>
          <w:rFonts w:hint="eastAsia"/>
          <w:color w:val="auto"/>
          <w:highlight w:val="none"/>
          <w:lang w:val="en-US" w:eastAsia="zh-CN"/>
        </w:rPr>
        <w:t>（2）养殖业的污染治理对策</w:t>
      </w:r>
    </w:p>
    <w:p>
      <w:pPr>
        <w:bidi w:val="0"/>
        <w:ind w:firstLine="480" w:firstLineChars="200"/>
        <w:rPr>
          <w:rFonts w:hint="eastAsia"/>
          <w:color w:val="auto"/>
          <w:highlight w:val="none"/>
          <w:lang w:val="en-US" w:eastAsia="zh-CN"/>
        </w:rPr>
      </w:pPr>
      <w:r>
        <w:rPr>
          <w:rFonts w:hint="eastAsia"/>
          <w:color w:val="auto"/>
          <w:highlight w:val="none"/>
          <w:lang w:val="en-US" w:eastAsia="zh-CN"/>
        </w:rPr>
        <w:t>相关部门应加强对畜牧业进行合理布局，将分散养殖转化为集中养殖，使面源污染降到最低。对畜牧粪便进行必要的处理，与家庭养殖相结合，推广农村沼气工程；与农村厕所改造相结合，净化家庭生活环境。对规模化养殖场的畜禽粪便，实现资源化利用、减量化处置，最大限度地将畜禽粪便等有机肥料用于农业生产，并实现以沼气为纽带的畜禽粪便的多样化综合利用。另外，对规模化养殖业制定相应的法律法规，提倡“清污分流，粪尿分离”的处理方法。严禁无粪尿处理设施的养殖业存在，在粪便利用和污染治理以前，采取各种措施削减污染物的排放总量。</w:t>
      </w:r>
    </w:p>
    <w:p>
      <w:pPr>
        <w:bidi w:val="0"/>
        <w:ind w:firstLine="480" w:firstLineChars="200"/>
        <w:rPr>
          <w:rFonts w:hint="eastAsia"/>
          <w:color w:val="auto"/>
          <w:highlight w:val="none"/>
          <w:lang w:val="en-US" w:eastAsia="zh-CN"/>
        </w:rPr>
      </w:pPr>
      <w:r>
        <w:rPr>
          <w:rFonts w:hint="eastAsia"/>
          <w:color w:val="auto"/>
          <w:highlight w:val="none"/>
          <w:lang w:val="en-US" w:eastAsia="zh-CN"/>
        </w:rPr>
        <w:t>（4）农业退水影响减缓措施</w:t>
      </w:r>
    </w:p>
    <w:p>
      <w:pPr>
        <w:bidi w:val="0"/>
        <w:ind w:firstLine="480" w:firstLineChars="200"/>
        <w:rPr>
          <w:rFonts w:hint="eastAsia"/>
          <w:color w:val="auto"/>
          <w:highlight w:val="none"/>
          <w:lang w:val="en-US" w:eastAsia="zh-CN"/>
        </w:rPr>
      </w:pPr>
      <w:r>
        <w:rPr>
          <w:rFonts w:hint="eastAsia"/>
          <w:color w:val="auto"/>
          <w:highlight w:val="none"/>
          <w:lang w:val="en-US" w:eastAsia="zh-CN"/>
        </w:rPr>
        <w:t>推进作物种植结构调整，减少耗水量大的作物（水稻等）种植面积，节约作物用水，推进节水型灌溉技术的发展，避免大水大田漫灌的落后灌溉方式，以减小农田退水量。</w:t>
      </w:r>
    </w:p>
    <w:p>
      <w:pPr>
        <w:pStyle w:val="5"/>
        <w:numPr>
          <w:ilvl w:val="3"/>
          <w:numId w:val="2"/>
        </w:numPr>
        <w:bidi w:val="0"/>
        <w:ind w:left="480" w:leftChars="0" w:firstLineChars="0"/>
        <w:rPr>
          <w:rFonts w:hint="eastAsia"/>
          <w:color w:val="0000FF"/>
          <w:lang w:val="en-US" w:eastAsia="zh-CN"/>
        </w:rPr>
      </w:pPr>
      <w:r>
        <w:rPr>
          <w:rFonts w:hint="eastAsia"/>
          <w:color w:val="0000FF"/>
          <w:lang w:val="en-US" w:eastAsia="zh-CN"/>
        </w:rPr>
        <w:t>生态流量下泄保障措施</w:t>
      </w:r>
    </w:p>
    <w:p>
      <w:pPr>
        <w:keepNext w:val="0"/>
        <w:keepLines w:val="0"/>
        <w:widowControl/>
        <w:suppressLineNumbers w:val="0"/>
        <w:jc w:val="left"/>
        <w:rPr>
          <w:rFonts w:hint="default" w:ascii="宋体" w:hAnsi="宋体" w:eastAsia="宋体" w:cs="宋体"/>
          <w:b w:val="0"/>
          <w:bCs w:val="0"/>
          <w:color w:val="0000FF"/>
          <w:kern w:val="0"/>
          <w:sz w:val="24"/>
          <w:szCs w:val="24"/>
          <w:lang w:val="en-US" w:eastAsia="zh-CN" w:bidi="ar"/>
        </w:rPr>
      </w:pPr>
      <w:r>
        <w:rPr>
          <w:rFonts w:hint="eastAsia" w:ascii="宋体" w:hAnsi="宋体" w:eastAsia="宋体" w:cs="宋体"/>
          <w:b w:val="0"/>
          <w:bCs w:val="0"/>
          <w:color w:val="0000FF"/>
          <w:kern w:val="0"/>
          <w:sz w:val="24"/>
          <w:szCs w:val="24"/>
          <w:lang w:val="en-US" w:eastAsia="zh-CN" w:bidi="ar"/>
        </w:rPr>
        <w:t>1、管首调节池生态流量下泄措施</w:t>
      </w:r>
    </w:p>
    <w:p>
      <w:pPr>
        <w:bidi w:val="0"/>
        <w:rPr>
          <w:rFonts w:hint="default" w:ascii="宋体" w:hAnsi="宋体" w:eastAsia="宋体" w:cs="宋体"/>
          <w:color w:val="0000FF"/>
          <w:kern w:val="0"/>
          <w:sz w:val="24"/>
          <w:szCs w:val="24"/>
          <w:lang w:val="en-US" w:eastAsia="zh-CN" w:bidi="ar"/>
        </w:rPr>
      </w:pPr>
      <w:r>
        <w:rPr>
          <w:rFonts w:hint="eastAsia"/>
          <w:color w:val="0000FF"/>
          <w:kern w:val="0"/>
          <w:sz w:val="24"/>
          <w:szCs w:val="20"/>
          <w:lang w:val="en-US" w:eastAsia="zh-CN"/>
        </w:rPr>
        <w:t>根据计算，管首高位水池</w:t>
      </w:r>
      <w:r>
        <w:rPr>
          <w:rFonts w:ascii="Times New Roman" w:hAnsi="Times New Roman"/>
          <w:color w:val="0000FF"/>
          <w:kern w:val="0"/>
          <w:sz w:val="24"/>
          <w:szCs w:val="20"/>
        </w:rPr>
        <w:t>需下泄</w:t>
      </w:r>
      <w:r>
        <w:rPr>
          <w:rFonts w:hint="eastAsia" w:ascii="Times New Roman" w:hAnsi="Times New Roman"/>
          <w:color w:val="0000FF"/>
          <w:kern w:val="0"/>
          <w:sz w:val="24"/>
          <w:szCs w:val="20"/>
        </w:rPr>
        <w:t>0.000</w:t>
      </w:r>
      <w:r>
        <w:rPr>
          <w:rFonts w:hint="eastAsia"/>
          <w:color w:val="0000FF"/>
          <w:kern w:val="0"/>
          <w:sz w:val="24"/>
          <w:szCs w:val="20"/>
          <w:lang w:val="en-US" w:eastAsia="zh-CN"/>
        </w:rPr>
        <w:t>05</w:t>
      </w:r>
      <w:r>
        <w:rPr>
          <w:rFonts w:ascii="Times New Roman" w:hAnsi="Times New Roman"/>
          <w:color w:val="0000FF"/>
          <w:kern w:val="0"/>
          <w:sz w:val="24"/>
          <w:szCs w:val="20"/>
        </w:rPr>
        <w:t>m</w:t>
      </w:r>
      <w:r>
        <w:rPr>
          <w:rFonts w:ascii="Times New Roman" w:hAnsi="Times New Roman"/>
          <w:color w:val="0000FF"/>
          <w:kern w:val="0"/>
          <w:sz w:val="24"/>
          <w:szCs w:val="20"/>
          <w:vertAlign w:val="superscript"/>
        </w:rPr>
        <w:t>3</w:t>
      </w:r>
      <w:r>
        <w:rPr>
          <w:rFonts w:ascii="Times New Roman" w:hAnsi="Times New Roman"/>
          <w:color w:val="0000FF"/>
          <w:kern w:val="0"/>
          <w:sz w:val="24"/>
          <w:szCs w:val="20"/>
        </w:rPr>
        <w:t>/s的</w:t>
      </w:r>
      <w:r>
        <w:rPr>
          <w:rFonts w:hint="eastAsia"/>
          <w:color w:val="0000FF"/>
          <w:kern w:val="0"/>
          <w:sz w:val="24"/>
          <w:szCs w:val="20"/>
          <w:lang w:val="en-US" w:eastAsia="zh-CN"/>
        </w:rPr>
        <w:t>生态</w:t>
      </w:r>
      <w:r>
        <w:rPr>
          <w:rFonts w:ascii="Times New Roman" w:hAnsi="Times New Roman"/>
          <w:color w:val="0000FF"/>
          <w:kern w:val="0"/>
          <w:sz w:val="24"/>
          <w:szCs w:val="20"/>
        </w:rPr>
        <w:t>流量。</w:t>
      </w:r>
      <w:r>
        <w:rPr>
          <w:rFonts w:hint="eastAsia"/>
          <w:b w:val="0"/>
          <w:bCs w:val="0"/>
          <w:color w:val="0000FF"/>
          <w:lang w:val="en-US" w:eastAsia="zh-CN"/>
        </w:rPr>
        <w:t>主体设计在管首调节</w:t>
      </w:r>
      <w:r>
        <w:rPr>
          <w:rFonts w:hint="default"/>
          <w:b w:val="0"/>
          <w:bCs w:val="0"/>
          <w:color w:val="0000FF"/>
          <w:lang w:val="en-US" w:eastAsia="zh-CN"/>
        </w:rPr>
        <w:t>水池下部设DN800放空管，</w:t>
      </w:r>
      <w:r>
        <w:rPr>
          <w:rFonts w:hint="eastAsia"/>
          <w:b w:val="0"/>
          <w:bCs w:val="0"/>
          <w:color w:val="0000FF"/>
          <w:lang w:val="en-US" w:eastAsia="zh-CN"/>
        </w:rPr>
        <w:t>在检修时将水进行放空，平时下放生态流量。采取以上措施后，</w:t>
      </w:r>
      <w:r>
        <w:rPr>
          <w:rFonts w:hint="default"/>
          <w:b w:val="0"/>
          <w:bCs w:val="0"/>
          <w:color w:val="0000FF"/>
          <w:lang w:val="en-US" w:eastAsia="zh-CN"/>
        </w:rPr>
        <w:t>项目建设不仅保证了片区的农灌用水，在旱季还可保证</w:t>
      </w:r>
      <w:r>
        <w:rPr>
          <w:rFonts w:hint="eastAsia"/>
          <w:b w:val="0"/>
          <w:bCs w:val="0"/>
          <w:color w:val="0000FF"/>
          <w:lang w:val="en-US" w:eastAsia="zh-CN"/>
        </w:rPr>
        <w:t>下游</w:t>
      </w:r>
      <w:r>
        <w:rPr>
          <w:rFonts w:hint="default"/>
          <w:b w:val="0"/>
          <w:bCs w:val="0"/>
          <w:color w:val="0000FF"/>
          <w:lang w:val="en-US" w:eastAsia="zh-CN"/>
        </w:rPr>
        <w:t>的基本生态用水，对水文情势产生了有利的影响。</w:t>
      </w:r>
      <w:r>
        <w:rPr>
          <w:rFonts w:hint="eastAsia"/>
          <w:b w:val="0"/>
          <w:bCs w:val="0"/>
          <w:color w:val="0000FF"/>
          <w:lang w:val="en-US" w:eastAsia="zh-CN"/>
        </w:rPr>
        <w:t>措施可行。</w:t>
      </w:r>
    </w:p>
    <w:p>
      <w:pPr>
        <w:keepNext w:val="0"/>
        <w:keepLines w:val="0"/>
        <w:widowControl/>
        <w:suppressLineNumbers w:val="0"/>
        <w:jc w:val="left"/>
        <w:rPr>
          <w:rFonts w:hint="default" w:ascii="宋体" w:hAnsi="宋体" w:eastAsia="宋体" w:cs="宋体"/>
          <w:color w:val="0000FF"/>
          <w:kern w:val="0"/>
          <w:sz w:val="24"/>
          <w:szCs w:val="24"/>
          <w:lang w:val="en-US" w:eastAsia="zh-CN" w:bidi="ar"/>
        </w:rPr>
      </w:pPr>
      <w:r>
        <w:rPr>
          <w:rFonts w:hint="eastAsia" w:ascii="宋体" w:hAnsi="宋体" w:eastAsia="宋体" w:cs="宋体"/>
          <w:color w:val="0000FF"/>
          <w:kern w:val="0"/>
          <w:sz w:val="24"/>
          <w:szCs w:val="24"/>
          <w:lang w:val="en-US" w:eastAsia="zh-CN" w:bidi="ar"/>
        </w:rPr>
        <w:t>2、受水区水库生态流量下泄措施</w:t>
      </w:r>
    </w:p>
    <w:p>
      <w:pPr>
        <w:keepNext w:val="0"/>
        <w:keepLines w:val="0"/>
        <w:widowControl/>
        <w:suppressLineNumbers w:val="0"/>
        <w:jc w:val="left"/>
        <w:rPr>
          <w:color w:val="0000FF"/>
        </w:rPr>
      </w:pPr>
      <w:r>
        <w:rPr>
          <w:rFonts w:hint="eastAsia" w:ascii="宋体" w:hAnsi="宋体" w:eastAsia="宋体" w:cs="宋体"/>
          <w:color w:val="0000FF"/>
          <w:kern w:val="0"/>
          <w:sz w:val="24"/>
          <w:szCs w:val="24"/>
          <w:lang w:val="en-US" w:eastAsia="zh-CN" w:bidi="ar"/>
        </w:rPr>
        <w:t>本项目受水区为4个已建水库，根据调查，受水区水库尚未采取生态放流措施。本次环评提出下泄生态流量，作为“以新带老措施”措施。在实际运行过程中，如枯期水库供水与生态需水不能同时满足，需优先保证保证下放生态用水，剩余供给灌溉用水，以维持下游河段最低生态需水要求。</w:t>
      </w:r>
    </w:p>
    <w:p>
      <w:pPr>
        <w:keepNext w:val="0"/>
        <w:keepLines w:val="0"/>
        <w:widowControl/>
        <w:suppressLineNumbers w:val="0"/>
        <w:jc w:val="left"/>
        <w:rPr>
          <w:rFonts w:hint="default"/>
          <w:color w:val="0000FF"/>
          <w:sz w:val="24"/>
          <w:szCs w:val="24"/>
          <w:lang w:val="en-US"/>
        </w:rPr>
      </w:pPr>
      <w:r>
        <w:rPr>
          <w:rFonts w:hint="eastAsia" w:ascii="宋体" w:hAnsi="宋体" w:eastAsia="宋体" w:cs="宋体"/>
          <w:color w:val="0000FF"/>
          <w:kern w:val="0"/>
          <w:sz w:val="24"/>
          <w:szCs w:val="24"/>
          <w:lang w:val="en-US" w:eastAsia="zh-CN" w:bidi="ar"/>
        </w:rPr>
        <w:t>项目受水水库应请专业人员设置生态放流管，同时设置在线流量计以确定合理开启高度，在线流量计应与相关管理部门联网，确保常年下泄生态流量。本环评考虑受水水库生态流量按照其水库坝址断面多年平均径流量的</w:t>
      </w:r>
      <w:r>
        <w:rPr>
          <w:rFonts w:hint="default" w:ascii="Times New Roman" w:hAnsi="Times New Roman" w:eastAsia="宋体" w:cs="Times New Roman"/>
          <w:color w:val="0000FF"/>
          <w:kern w:val="0"/>
          <w:sz w:val="24"/>
          <w:szCs w:val="24"/>
          <w:lang w:val="en-US" w:eastAsia="zh-CN" w:bidi="ar"/>
        </w:rPr>
        <w:t>10%</w:t>
      </w:r>
      <w:r>
        <w:rPr>
          <w:rFonts w:hint="eastAsia" w:ascii="宋体" w:hAnsi="宋体" w:eastAsia="宋体" w:cs="宋体"/>
          <w:color w:val="0000FF"/>
          <w:kern w:val="0"/>
          <w:sz w:val="24"/>
          <w:szCs w:val="24"/>
          <w:lang w:val="en-US" w:eastAsia="zh-CN" w:bidi="ar"/>
        </w:rPr>
        <w:t>计，其中界牌箐水库、李官坟水库、水平石水库</w:t>
      </w:r>
      <w:r>
        <w:rPr>
          <w:rFonts w:hint="default" w:ascii="Times New Roman" w:hAnsi="Times New Roman" w:eastAsia="宋体" w:cs="Times New Roman"/>
          <w:b w:val="0"/>
          <w:bCs w:val="0"/>
          <w:color w:val="0000FF"/>
          <w:kern w:val="0"/>
          <w:sz w:val="24"/>
          <w:szCs w:val="24"/>
          <w:lang w:val="en-US" w:eastAsia="zh-CN" w:bidi="ar"/>
        </w:rPr>
        <w:t>下泄生态流量为0.0003</w:t>
      </w:r>
      <w:r>
        <w:rPr>
          <w:rFonts w:hint="default" w:ascii="Times New Roman" w:hAnsi="Times New Roman" w:cs="Times New Roman"/>
          <w:b w:val="0"/>
          <w:bCs w:val="0"/>
          <w:color w:val="0000FF"/>
          <w:sz w:val="24"/>
          <w:szCs w:val="24"/>
          <w:vertAlign w:val="baseline"/>
          <w:lang w:val="en-US" w:eastAsia="zh-CN"/>
        </w:rPr>
        <w:t>m³/s，姜中水库下泄生态流量为</w:t>
      </w:r>
      <w:r>
        <w:rPr>
          <w:rFonts w:hint="default" w:ascii="Times New Roman" w:hAnsi="Times New Roman" w:eastAsia="宋体" w:cs="Times New Roman"/>
          <w:b w:val="0"/>
          <w:bCs w:val="0"/>
          <w:color w:val="0000FF"/>
          <w:kern w:val="0"/>
          <w:sz w:val="24"/>
          <w:szCs w:val="24"/>
          <w:lang w:val="en-US" w:eastAsia="zh-CN" w:bidi="ar"/>
        </w:rPr>
        <w:t>0.000</w:t>
      </w:r>
      <w:r>
        <w:rPr>
          <w:rFonts w:hint="default" w:ascii="Times New Roman" w:hAnsi="Times New Roman" w:cs="Times New Roman"/>
          <w:b w:val="0"/>
          <w:bCs w:val="0"/>
          <w:color w:val="0000FF"/>
          <w:kern w:val="0"/>
          <w:sz w:val="24"/>
          <w:szCs w:val="24"/>
          <w:lang w:val="en-US" w:eastAsia="zh-CN" w:bidi="ar"/>
        </w:rPr>
        <w:t>6</w:t>
      </w:r>
      <w:r>
        <w:rPr>
          <w:rFonts w:hint="default" w:ascii="Times New Roman" w:hAnsi="Times New Roman" w:cs="Times New Roman"/>
          <w:b w:val="0"/>
          <w:bCs w:val="0"/>
          <w:color w:val="0000FF"/>
          <w:sz w:val="24"/>
          <w:szCs w:val="24"/>
          <w:vertAlign w:val="baseline"/>
          <w:lang w:val="en-US" w:eastAsia="zh-CN"/>
        </w:rPr>
        <w:t>m³/s</w:t>
      </w:r>
      <w:r>
        <w:rPr>
          <w:rFonts w:hint="eastAsia" w:ascii="Times New Roman" w:hAnsi="Times New Roman" w:cs="Times New Roman"/>
          <w:b w:val="0"/>
          <w:bCs w:val="0"/>
          <w:color w:val="0000FF"/>
          <w:sz w:val="24"/>
          <w:szCs w:val="24"/>
          <w:vertAlign w:val="baseline"/>
          <w:lang w:val="en-US" w:eastAsia="zh-CN"/>
        </w:rPr>
        <w:t xml:space="preserve">。 </w:t>
      </w:r>
    </w:p>
    <w:p>
      <w:pPr>
        <w:keepNext w:val="0"/>
        <w:keepLines w:val="0"/>
        <w:widowControl/>
        <w:suppressLineNumbers w:val="0"/>
        <w:jc w:val="left"/>
        <w:rPr>
          <w:color w:val="0000FF"/>
        </w:rPr>
      </w:pPr>
      <w:r>
        <w:rPr>
          <w:rFonts w:hint="eastAsia" w:ascii="宋体" w:hAnsi="宋体" w:eastAsia="宋体" w:cs="宋体"/>
          <w:color w:val="0000FF"/>
          <w:kern w:val="0"/>
          <w:sz w:val="24"/>
          <w:szCs w:val="24"/>
          <w:lang w:val="en-US" w:eastAsia="zh-CN" w:bidi="ar"/>
        </w:rPr>
        <w:t>项目拟采取的生态放流措施已考虑在分配设计中，不影响灌溉供水，同时措施易于建设，对下游河道生态系统维持可起到改善作用，措施总体可行。</w:t>
      </w:r>
    </w:p>
    <w:p>
      <w:pPr>
        <w:pStyle w:val="3"/>
        <w:numPr>
          <w:ilvl w:val="1"/>
          <w:numId w:val="2"/>
        </w:numPr>
        <w:tabs>
          <w:tab w:val="left" w:pos="420"/>
        </w:tabs>
        <w:bidi w:val="0"/>
        <w:rPr>
          <w:rFonts w:hint="default"/>
          <w:color w:val="auto"/>
          <w:lang w:val="en-US" w:eastAsia="zh-CN"/>
        </w:rPr>
      </w:pPr>
      <w:bookmarkStart w:id="699" w:name="_Toc7647"/>
      <w:bookmarkStart w:id="700" w:name="_Toc14091"/>
      <w:bookmarkStart w:id="701" w:name="_Toc939"/>
      <w:bookmarkStart w:id="702" w:name="_Toc7496"/>
      <w:bookmarkStart w:id="703" w:name="_Toc28056"/>
      <w:r>
        <w:rPr>
          <w:rFonts w:hint="default"/>
          <w:color w:val="auto"/>
          <w:lang w:val="en-US" w:eastAsia="zh-CN"/>
        </w:rPr>
        <w:t>地下水及土壤环境保护措施</w:t>
      </w:r>
      <w:bookmarkEnd w:id="699"/>
      <w:bookmarkEnd w:id="700"/>
      <w:bookmarkEnd w:id="701"/>
      <w:bookmarkEnd w:id="702"/>
      <w:bookmarkEnd w:id="703"/>
    </w:p>
    <w:p>
      <w:pPr>
        <w:ind w:firstLine="480" w:firstLineChars="200"/>
        <w:rPr>
          <w:rFonts w:hint="default"/>
          <w:color w:val="auto"/>
          <w:sz w:val="24"/>
          <w:szCs w:val="24"/>
          <w:highlight w:val="none"/>
          <w:lang w:val="en-US" w:eastAsia="zh-CN"/>
        </w:rPr>
      </w:pPr>
      <w:r>
        <w:rPr>
          <w:rFonts w:hint="default"/>
          <w:color w:val="auto"/>
          <w:sz w:val="24"/>
          <w:szCs w:val="24"/>
          <w:highlight w:val="none"/>
          <w:lang w:val="en-US" w:eastAsia="zh-CN"/>
        </w:rPr>
        <w:t>（1）危险废物暂存间基础防渗设置100mm厚P8抗渗混凝土防渗（等效2mm厚高密度聚乙烯），渗透系数要求为≤10</w:t>
      </w:r>
      <w:r>
        <w:rPr>
          <w:rFonts w:hint="default"/>
          <w:color w:val="auto"/>
          <w:sz w:val="24"/>
          <w:szCs w:val="24"/>
          <w:highlight w:val="none"/>
          <w:vertAlign w:val="superscript"/>
          <w:lang w:val="en-US" w:eastAsia="zh-CN"/>
        </w:rPr>
        <w:t>-10</w:t>
      </w:r>
      <w:r>
        <w:rPr>
          <w:rFonts w:hint="default"/>
          <w:color w:val="auto"/>
          <w:sz w:val="24"/>
          <w:szCs w:val="24"/>
          <w:highlight w:val="none"/>
          <w:lang w:val="en-US" w:eastAsia="zh-CN"/>
        </w:rPr>
        <w:t>cm/s，表面刷防腐漆，采用带盖收集桶收集废机油，同时设置围堰。</w:t>
      </w:r>
    </w:p>
    <w:p>
      <w:pPr>
        <w:ind w:firstLine="480" w:firstLineChars="200"/>
        <w:rPr>
          <w:rFonts w:hint="default"/>
          <w:color w:val="auto"/>
          <w:sz w:val="24"/>
          <w:szCs w:val="24"/>
          <w:highlight w:val="none"/>
          <w:lang w:val="en-US" w:eastAsia="zh-CN"/>
        </w:rPr>
      </w:pPr>
      <w:r>
        <w:rPr>
          <w:rFonts w:hint="default"/>
          <w:color w:val="auto"/>
          <w:sz w:val="24"/>
          <w:szCs w:val="24"/>
          <w:highlight w:val="none"/>
          <w:lang w:val="en-US" w:eastAsia="zh-CN"/>
        </w:rPr>
        <w:t>（2）</w:t>
      </w:r>
      <w:r>
        <w:rPr>
          <w:rFonts w:hint="eastAsia"/>
          <w:color w:val="auto"/>
          <w:sz w:val="24"/>
          <w:szCs w:val="24"/>
          <w:highlight w:val="none"/>
          <w:lang w:val="en-US" w:eastAsia="zh-CN"/>
        </w:rPr>
        <w:t>泵站及水泵房</w:t>
      </w:r>
      <w:r>
        <w:rPr>
          <w:rFonts w:hint="default" w:ascii="Times New Roman" w:hAnsi="Times New Roman" w:eastAsia="宋体" w:cs="Times New Roman"/>
          <w:color w:val="auto"/>
          <w:sz w:val="24"/>
          <w:szCs w:val="24"/>
          <w:highlight w:val="none"/>
          <w:lang w:val="en-US" w:eastAsia="zh-CN"/>
        </w:rPr>
        <w:t>地面按照一般防渗区要求，采用防渗系数不低于P6，厚度不低于100mm的抗渗混凝土，等效≥1.5m厚黏土，渗透系数达到10</w:t>
      </w:r>
      <w:r>
        <w:rPr>
          <w:rFonts w:hint="default" w:ascii="Times New Roman" w:hAnsi="Times New Roman" w:eastAsia="宋体" w:cs="Times New Roman"/>
          <w:color w:val="auto"/>
          <w:sz w:val="24"/>
          <w:szCs w:val="24"/>
          <w:highlight w:val="none"/>
          <w:vertAlign w:val="superscript"/>
          <w:lang w:val="en-US" w:eastAsia="zh-CN"/>
        </w:rPr>
        <w:t>-7</w:t>
      </w:r>
      <w:r>
        <w:rPr>
          <w:rFonts w:hint="default" w:ascii="Times New Roman" w:hAnsi="Times New Roman" w:eastAsia="宋体" w:cs="Times New Roman"/>
          <w:color w:val="auto"/>
          <w:sz w:val="24"/>
          <w:szCs w:val="24"/>
          <w:highlight w:val="none"/>
          <w:lang w:val="en-US" w:eastAsia="zh-CN"/>
        </w:rPr>
        <w:t>cm/s。</w:t>
      </w:r>
    </w:p>
    <w:p>
      <w:pPr>
        <w:ind w:firstLine="480" w:firstLineChars="200"/>
        <w:rPr>
          <w:rFonts w:hint="default"/>
          <w:color w:val="auto"/>
          <w:highlight w:val="none"/>
          <w:lang w:val="en-US" w:eastAsia="zh-CN"/>
        </w:rPr>
      </w:pPr>
      <w:r>
        <w:rPr>
          <w:rFonts w:hint="eastAsia"/>
          <w:color w:val="auto"/>
          <w:sz w:val="24"/>
          <w:szCs w:val="24"/>
          <w:highlight w:val="none"/>
          <w:lang w:val="en-US" w:eastAsia="zh-CN"/>
        </w:rPr>
        <w:t>（3）</w:t>
      </w:r>
      <w:r>
        <w:rPr>
          <w:rFonts w:hint="default"/>
          <w:color w:val="auto"/>
          <w:sz w:val="24"/>
          <w:szCs w:val="24"/>
          <w:highlight w:val="none"/>
          <w:lang w:val="en-US" w:eastAsia="zh-CN"/>
        </w:rPr>
        <w:t>减缓灌区地下水水质及土壤盐化影响的措施主要为：①科学高效施肥，严格控制氮肥、磷肥等化肥过量使用，推广有机肥的使用；②推广低残留、低度农药的使用，严格控制毒性及残留性较高农药的用量，禁止使用国家淘汰的农药及成分；③推广节水灌溉技术，逐步淘汰大水漫灌等落后的灌溉方式，减小农田</w:t>
      </w:r>
      <w:r>
        <w:rPr>
          <w:rFonts w:hint="default"/>
          <w:color w:val="auto"/>
          <w:highlight w:val="none"/>
          <w:lang w:val="en-US" w:eastAsia="zh-CN"/>
        </w:rPr>
        <w:t>退水量。</w:t>
      </w:r>
    </w:p>
    <w:p>
      <w:pPr>
        <w:pStyle w:val="3"/>
        <w:numPr>
          <w:ilvl w:val="1"/>
          <w:numId w:val="2"/>
        </w:numPr>
        <w:tabs>
          <w:tab w:val="left" w:pos="420"/>
        </w:tabs>
        <w:bidi w:val="0"/>
        <w:rPr>
          <w:rFonts w:hint="default"/>
          <w:color w:val="auto"/>
          <w:lang w:val="en-US" w:eastAsia="zh-CN"/>
        </w:rPr>
      </w:pPr>
      <w:bookmarkStart w:id="704" w:name="_Toc14593"/>
      <w:r>
        <w:rPr>
          <w:rFonts w:hint="eastAsia"/>
          <w:color w:val="auto"/>
          <w:lang w:val="en-US" w:eastAsia="zh-CN"/>
        </w:rPr>
        <w:t xml:space="preserve"> </w:t>
      </w:r>
      <w:bookmarkStart w:id="705" w:name="_Toc26435"/>
      <w:bookmarkStart w:id="706" w:name="_Toc21550"/>
      <w:bookmarkStart w:id="707" w:name="_Toc24584"/>
      <w:bookmarkStart w:id="708" w:name="_Toc16886"/>
      <w:r>
        <w:rPr>
          <w:rFonts w:hint="default"/>
          <w:color w:val="auto"/>
          <w:lang w:val="en-US" w:eastAsia="zh-CN"/>
        </w:rPr>
        <w:t>生态环境保护措施及可行性</w:t>
      </w:r>
      <w:bookmarkEnd w:id="704"/>
      <w:bookmarkEnd w:id="705"/>
      <w:bookmarkEnd w:id="706"/>
      <w:bookmarkEnd w:id="707"/>
      <w:bookmarkEnd w:id="708"/>
    </w:p>
    <w:p>
      <w:pPr>
        <w:pStyle w:val="4"/>
        <w:numPr>
          <w:ilvl w:val="2"/>
          <w:numId w:val="2"/>
        </w:numPr>
        <w:tabs>
          <w:tab w:val="left" w:pos="420"/>
        </w:tabs>
        <w:bidi w:val="0"/>
        <w:rPr>
          <w:rFonts w:hint="default"/>
          <w:color w:val="auto"/>
          <w:lang w:val="en-US" w:eastAsia="zh-CN"/>
        </w:rPr>
      </w:pPr>
      <w:bookmarkStart w:id="709" w:name="_Toc14587"/>
      <w:r>
        <w:rPr>
          <w:rFonts w:hint="eastAsia"/>
          <w:color w:val="auto"/>
          <w:lang w:val="en-US" w:eastAsia="zh-CN"/>
        </w:rPr>
        <w:t xml:space="preserve"> </w:t>
      </w:r>
      <w:bookmarkStart w:id="710" w:name="_Toc6536"/>
      <w:bookmarkStart w:id="711" w:name="_Toc988"/>
      <w:bookmarkStart w:id="712" w:name="_Toc2511"/>
      <w:r>
        <w:rPr>
          <w:rFonts w:hint="default"/>
          <w:color w:val="auto"/>
          <w:lang w:val="en-US" w:eastAsia="zh-CN"/>
        </w:rPr>
        <w:t>生态避让措施</w:t>
      </w:r>
      <w:bookmarkEnd w:id="709"/>
      <w:bookmarkEnd w:id="710"/>
      <w:bookmarkEnd w:id="711"/>
      <w:bookmarkEnd w:id="712"/>
    </w:p>
    <w:p>
      <w:pPr>
        <w:ind w:firstLine="480" w:firstLineChars="200"/>
        <w:rPr>
          <w:rFonts w:hint="default"/>
          <w:color w:val="auto"/>
          <w:highlight w:val="none"/>
          <w:lang w:val="en-US" w:eastAsia="zh-CN"/>
        </w:rPr>
      </w:pPr>
      <w:r>
        <w:rPr>
          <w:rFonts w:hint="eastAsia"/>
          <w:color w:val="auto"/>
          <w:highlight w:val="none"/>
          <w:lang w:val="en-US" w:eastAsia="zh-CN"/>
        </w:rPr>
        <w:t>1、</w:t>
      </w:r>
      <w:r>
        <w:rPr>
          <w:rFonts w:hint="default"/>
          <w:color w:val="auto"/>
          <w:highlight w:val="none"/>
          <w:lang w:val="en-US" w:eastAsia="zh-CN"/>
        </w:rPr>
        <w:t>植物植被保护措施</w:t>
      </w:r>
    </w:p>
    <w:p>
      <w:pPr>
        <w:spacing w:line="360" w:lineRule="auto"/>
        <w:ind w:firstLine="480" w:firstLineChars="200"/>
        <w:rPr>
          <w:color w:val="auto"/>
          <w:sz w:val="24"/>
          <w:highlight w:val="none"/>
        </w:rPr>
      </w:pPr>
      <w:r>
        <w:rPr>
          <w:color w:val="auto"/>
          <w:sz w:val="24"/>
          <w:highlight w:val="none"/>
        </w:rPr>
        <w:t>（1）宣传教育，遵纪守法</w:t>
      </w:r>
    </w:p>
    <w:p>
      <w:pPr>
        <w:spacing w:line="360" w:lineRule="auto"/>
        <w:ind w:firstLine="480" w:firstLineChars="200"/>
        <w:rPr>
          <w:color w:val="auto"/>
          <w:sz w:val="24"/>
          <w:highlight w:val="none"/>
        </w:rPr>
      </w:pPr>
      <w:r>
        <w:rPr>
          <w:color w:val="auto"/>
          <w:sz w:val="24"/>
          <w:highlight w:val="none"/>
        </w:rPr>
        <w:t>对施工人员进行环境教育、生物多样性保护教育及有关法律、法规的宣传教育。要让施工人员明确知道生物多样性是受国家法律保护的，破坏生物多样性将要承担相应的法律责任。</w:t>
      </w:r>
    </w:p>
    <w:p>
      <w:pPr>
        <w:spacing w:line="360" w:lineRule="auto"/>
        <w:ind w:firstLine="480" w:firstLineChars="200"/>
        <w:rPr>
          <w:color w:val="auto"/>
          <w:sz w:val="24"/>
          <w:highlight w:val="none"/>
        </w:rPr>
      </w:pPr>
      <w:r>
        <w:rPr>
          <w:color w:val="auto"/>
          <w:sz w:val="24"/>
          <w:highlight w:val="none"/>
        </w:rPr>
        <w:t>（2）挂牌标记，明确告示</w:t>
      </w:r>
    </w:p>
    <w:p>
      <w:pPr>
        <w:spacing w:line="360" w:lineRule="auto"/>
        <w:ind w:firstLine="480" w:firstLineChars="200"/>
        <w:rPr>
          <w:rFonts w:hint="default" w:eastAsia="宋体"/>
          <w:color w:val="0000FF"/>
          <w:sz w:val="24"/>
          <w:highlight w:val="none"/>
          <w:lang w:val="en-US" w:eastAsia="zh-CN"/>
        </w:rPr>
      </w:pPr>
      <w:r>
        <w:rPr>
          <w:rFonts w:hint="eastAsia"/>
          <w:color w:val="auto"/>
          <w:sz w:val="24"/>
          <w:highlight w:val="none"/>
        </w:rPr>
        <w:t>在人员活动较多和较集中的施工生产生活区，设置自然保护、环境保护的警示牌，提醒人们依法保护自然环境和生物多样性。</w:t>
      </w:r>
      <w:r>
        <w:rPr>
          <w:rFonts w:hint="eastAsia"/>
          <w:color w:val="0000FF"/>
          <w:sz w:val="24"/>
          <w:highlight w:val="none"/>
          <w:lang w:val="en-US" w:eastAsia="zh-CN"/>
        </w:rPr>
        <w:t>项目施工涉及基本农田、公益林、元谋风景名胜区、生态保护红线区域或靠近以上区域边界时，应在工程位于敏感区内或距离敏感区</w:t>
      </w:r>
      <w:r>
        <w:rPr>
          <w:rFonts w:hint="eastAsia"/>
          <w:color w:val="0000FF"/>
          <w:sz w:val="24"/>
          <w:highlight w:val="none"/>
        </w:rPr>
        <w:t>较近区域严格控制作业范围</w:t>
      </w:r>
      <w:r>
        <w:rPr>
          <w:rFonts w:hint="eastAsia"/>
          <w:color w:val="0000FF"/>
          <w:sz w:val="24"/>
          <w:highlight w:val="none"/>
          <w:lang w:val="en-US" w:eastAsia="zh-CN"/>
        </w:rPr>
        <w:t>并</w:t>
      </w:r>
      <w:r>
        <w:rPr>
          <w:rFonts w:hint="eastAsia"/>
          <w:color w:val="0000FF"/>
          <w:sz w:val="24"/>
          <w:highlight w:val="none"/>
        </w:rPr>
        <w:t>设置警示牌和宣传幅，禁止施工人员跨越作业带进入生态敏感区内</w:t>
      </w:r>
      <w:r>
        <w:rPr>
          <w:rFonts w:hint="eastAsia"/>
          <w:color w:val="0000FF"/>
          <w:sz w:val="24"/>
          <w:highlight w:val="none"/>
          <w:lang w:val="en-US" w:eastAsia="zh-CN"/>
        </w:rPr>
        <w:t>或扩大施工范围。</w:t>
      </w:r>
    </w:p>
    <w:p>
      <w:pPr>
        <w:spacing w:line="360" w:lineRule="auto"/>
        <w:ind w:firstLine="480" w:firstLineChars="200"/>
        <w:rPr>
          <w:color w:val="auto"/>
          <w:sz w:val="24"/>
          <w:highlight w:val="none"/>
        </w:rPr>
      </w:pPr>
      <w:r>
        <w:rPr>
          <w:color w:val="auto"/>
          <w:sz w:val="24"/>
          <w:highlight w:val="none"/>
        </w:rPr>
        <w:t>（3</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zh-CN"/>
        </w:rPr>
        <w:t>优化工程布置，减少临时占地</w:t>
      </w:r>
    </w:p>
    <w:p>
      <w:pPr>
        <w:spacing w:line="360" w:lineRule="auto"/>
        <w:ind w:firstLine="480" w:firstLineChars="200"/>
        <w:rPr>
          <w:color w:val="auto"/>
          <w:sz w:val="24"/>
          <w:highlight w:val="none"/>
        </w:rPr>
      </w:pPr>
      <w:r>
        <w:rPr>
          <w:rFonts w:hint="eastAsia"/>
          <w:color w:val="auto"/>
          <w:sz w:val="24"/>
          <w:highlight w:val="none"/>
        </w:rPr>
        <w:t>施工营地、堆料场</w:t>
      </w:r>
      <w:r>
        <w:rPr>
          <w:color w:val="auto"/>
          <w:sz w:val="24"/>
          <w:highlight w:val="none"/>
        </w:rPr>
        <w:t>只能建盖在空旷、植物植被稀少的环境中，不能破坏天然植物植被。施工方要对工地上的工人强调生活、生产用火安全，严禁由于用火不当引发森林火灾。</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w:t>
      </w:r>
      <w:r>
        <w:rPr>
          <w:rFonts w:hint="eastAsia" w:cs="Times New Roman"/>
          <w:color w:val="auto"/>
          <w:sz w:val="24"/>
          <w:highlight w:val="none"/>
          <w:lang w:val="en-US" w:eastAsia="zh-CN"/>
        </w:rPr>
        <w:t>4</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zh-CN"/>
        </w:rPr>
        <w:t>加强防火宣传，预防森林火灾。</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zh-CN"/>
        </w:rPr>
        <w:t>在工程建设期，应加强防护，如在施工区、临时居住区及周围山上竖立防火警示牌，开展巡回检查、做好消防队伍及设施的建设工作等，以预防和杜绝森林火灾发生。在项目施工期严格管理，避免可能引起林火的施工作业，对施工人员加强管理，严禁一切野外用火。</w:t>
      </w:r>
    </w:p>
    <w:p>
      <w:pPr>
        <w:ind w:firstLine="480" w:firstLineChars="200"/>
        <w:rPr>
          <w:rFonts w:hint="eastAsia"/>
          <w:color w:val="auto"/>
          <w:highlight w:val="none"/>
          <w:lang w:val="en-US" w:eastAsia="zh-CN"/>
        </w:rPr>
      </w:pPr>
      <w:r>
        <w:rPr>
          <w:rFonts w:hint="eastAsia"/>
          <w:color w:val="auto"/>
          <w:highlight w:val="none"/>
          <w:lang w:val="en-US" w:eastAsia="zh-CN"/>
        </w:rPr>
        <w:t>2、陆生脊椎动物保护措施</w:t>
      </w:r>
    </w:p>
    <w:p>
      <w:pPr>
        <w:ind w:firstLine="480" w:firstLineChars="200"/>
        <w:rPr>
          <w:rFonts w:hint="eastAsia"/>
          <w:color w:val="auto"/>
          <w:highlight w:val="none"/>
          <w:lang w:val="en-US" w:eastAsia="zh-CN"/>
        </w:rPr>
      </w:pPr>
      <w:r>
        <w:rPr>
          <w:rFonts w:hint="eastAsia"/>
          <w:color w:val="auto"/>
          <w:highlight w:val="none"/>
          <w:lang w:val="en-US" w:eastAsia="zh-CN"/>
        </w:rPr>
        <w:t>（1）对项目划定占用范围以外的生境，尽量保持原状，不得人为破坏，尽量减少对动物栖息地生境的破坏。</w:t>
      </w:r>
    </w:p>
    <w:p>
      <w:pPr>
        <w:ind w:firstLine="480" w:firstLineChars="200"/>
        <w:rPr>
          <w:rFonts w:hint="eastAsia"/>
          <w:color w:val="auto"/>
          <w:highlight w:val="none"/>
          <w:lang w:val="en-US" w:eastAsia="zh-CN"/>
        </w:rPr>
      </w:pPr>
      <w:r>
        <w:rPr>
          <w:rFonts w:hint="eastAsia"/>
          <w:color w:val="auto"/>
          <w:highlight w:val="none"/>
          <w:lang w:val="en-US" w:eastAsia="zh-CN"/>
        </w:rPr>
        <w:t>（2）评价区中的乔木林地、灌木林地是动物的重要小生境，一定要坚持“先防护，后施工”的原则；施工中要杜绝对溪流水体的污染，以保证两栖动物的栖息地不受或少受影响，在加强水域质量监测的同时，要求施工建设单位或个人及时发现、上报污染源，预防和减少机械用油、施工耗材、生活污水对水体的污染。此外，对施工、生活垃圾实行定点堆放，科学处理。</w:t>
      </w:r>
    </w:p>
    <w:p>
      <w:pPr>
        <w:ind w:firstLine="480" w:firstLineChars="200"/>
        <w:rPr>
          <w:rFonts w:hint="eastAsia"/>
          <w:color w:val="auto"/>
          <w:highlight w:val="none"/>
          <w:lang w:val="en-US" w:eastAsia="zh-CN"/>
        </w:rPr>
      </w:pPr>
      <w:r>
        <w:rPr>
          <w:rFonts w:hint="eastAsia"/>
          <w:color w:val="auto"/>
          <w:highlight w:val="none"/>
          <w:lang w:val="en-US" w:eastAsia="zh-CN"/>
        </w:rPr>
        <w:t>（3）施工前期对施工人员进行野生动物保护宣传教育，施工期加强施工管理，避免对野生动物个体及栖息生境造成不必要的破坏，具体如下：</w:t>
      </w:r>
    </w:p>
    <w:p>
      <w:pPr>
        <w:ind w:firstLine="480" w:firstLineChars="200"/>
        <w:rPr>
          <w:rFonts w:hint="eastAsia"/>
          <w:color w:val="auto"/>
          <w:highlight w:val="none"/>
          <w:lang w:val="en-US" w:eastAsia="zh-CN"/>
        </w:rPr>
      </w:pPr>
      <w:r>
        <w:rPr>
          <w:rFonts w:hint="eastAsia"/>
          <w:color w:val="auto"/>
          <w:highlight w:val="none"/>
          <w:lang w:val="en-US" w:eastAsia="zh-CN"/>
        </w:rPr>
        <w:t>1）加强施工人员对野生动物和生态环境的保护意识教育，对在施工中遇到的幼兽，一定要交给林业局的专业人员，不得擅自处理；对施工中遇到的鸟窝（因砍伐树木）一定要移到非施工区的其他树上；对在施工中遇到的幼鸟和鸟卵（蛋）一定要交林草局的专业人员妥善处置。</w:t>
      </w:r>
    </w:p>
    <w:p>
      <w:pPr>
        <w:ind w:firstLine="480" w:firstLineChars="200"/>
        <w:rPr>
          <w:rFonts w:hint="eastAsia"/>
          <w:color w:val="auto"/>
          <w:highlight w:val="none"/>
          <w:lang w:val="en-US" w:eastAsia="zh-CN"/>
        </w:rPr>
      </w:pPr>
      <w:r>
        <w:rPr>
          <w:rFonts w:hint="eastAsia"/>
          <w:color w:val="auto"/>
          <w:highlight w:val="none"/>
          <w:lang w:val="en-US" w:eastAsia="zh-CN"/>
        </w:rPr>
        <w:t>2）施工中要有保护动物的专门规定，禁止捕捉保护动物，在改建工程区和管线工程区等动物的重要生境地设置保护动物的告示牌，警告牌等，并安排专门人员负责评价区施工中的动物多样性保护的监督和管理工作。</w:t>
      </w:r>
    </w:p>
    <w:p>
      <w:pPr>
        <w:ind w:firstLine="480" w:firstLineChars="200"/>
        <w:rPr>
          <w:rFonts w:hint="default" w:ascii="Times New Roman" w:hAnsi="Times New Roman" w:eastAsia="宋体" w:cs="Times New Roman"/>
          <w:b w:val="0"/>
          <w:bCs w:val="0"/>
          <w:color w:val="0000FF"/>
          <w:sz w:val="24"/>
          <w:szCs w:val="24"/>
          <w:highlight w:val="none"/>
        </w:rPr>
      </w:pPr>
      <w:r>
        <w:rPr>
          <w:rFonts w:hint="eastAsia" w:ascii="Times New Roman" w:hAnsi="Times New Roman" w:eastAsia="宋体" w:cs="Times New Roman"/>
          <w:b w:val="0"/>
          <w:bCs w:val="0"/>
          <w:color w:val="0000FF"/>
          <w:sz w:val="24"/>
          <w:szCs w:val="24"/>
          <w:highlight w:val="none"/>
          <w:lang w:val="en-US" w:eastAsia="zh-CN"/>
        </w:rPr>
        <w:t>3、</w:t>
      </w:r>
      <w:r>
        <w:rPr>
          <w:rFonts w:hint="default" w:ascii="Times New Roman" w:hAnsi="Times New Roman" w:eastAsia="宋体" w:cs="Times New Roman"/>
          <w:b w:val="0"/>
          <w:bCs w:val="0"/>
          <w:color w:val="0000FF"/>
          <w:sz w:val="24"/>
          <w:szCs w:val="24"/>
          <w:highlight w:val="none"/>
        </w:rPr>
        <w:t>水生态影响的</w:t>
      </w:r>
      <w:r>
        <w:rPr>
          <w:rFonts w:hint="eastAsia" w:ascii="Times New Roman" w:hAnsi="Times New Roman" w:eastAsia="宋体" w:cs="Times New Roman"/>
          <w:b w:val="0"/>
          <w:bCs w:val="0"/>
          <w:color w:val="0000FF"/>
          <w:sz w:val="24"/>
          <w:szCs w:val="24"/>
          <w:highlight w:val="none"/>
        </w:rPr>
        <w:t>管理及繁殖期避让</w:t>
      </w:r>
      <w:r>
        <w:rPr>
          <w:rFonts w:hint="default" w:ascii="Times New Roman" w:hAnsi="Times New Roman" w:eastAsia="宋体" w:cs="Times New Roman"/>
          <w:b w:val="0"/>
          <w:bCs w:val="0"/>
          <w:color w:val="0000FF"/>
          <w:sz w:val="24"/>
          <w:szCs w:val="24"/>
          <w:highlight w:val="none"/>
        </w:rPr>
        <w:t>措施</w:t>
      </w:r>
    </w:p>
    <w:p>
      <w:pPr>
        <w:ind w:firstLine="480" w:firstLineChars="200"/>
        <w:rPr>
          <w:color w:val="0000FF"/>
        </w:rPr>
      </w:pPr>
      <w:r>
        <w:rPr>
          <w:color w:val="0000FF"/>
        </w:rPr>
        <w:t xml:space="preserve">施工期和运行期渔业主管部门应加强对建设项目的监管，并提出有针对性的水生态保护方案，规范施工单位的施工行为，大限度的减少对水生生物及鱼类资源的损害，大程度的保护水生生态系统。 </w:t>
      </w:r>
    </w:p>
    <w:p>
      <w:pPr>
        <w:ind w:firstLine="480" w:firstLineChars="200"/>
        <w:rPr>
          <w:color w:val="0000FF"/>
        </w:rPr>
      </w:pPr>
      <w:r>
        <w:rPr>
          <w:color w:val="0000FF"/>
        </w:rPr>
        <w:t xml:space="preserve">加强渔政监督和执法，增强渔政管理能力建设，增加执法监管装备，建立健全渔业捕捞检查和监测制度。加强渔政巡视，严格杜绝私捕滥捞等行为，查处各类非法捕鱼、损害水生生物的活动。 </w:t>
      </w:r>
    </w:p>
    <w:p>
      <w:pPr>
        <w:pStyle w:val="120"/>
        <w:rPr>
          <w:color w:val="0000FF"/>
        </w:rPr>
      </w:pPr>
      <w:r>
        <w:rPr>
          <w:color w:val="0000FF"/>
        </w:rPr>
        <w:t>针对水生生物繁殖期避让的原则，制订出涉水建筑的时间表，避开4~7月评价区域鱼类的繁殖期，不进行高强度的施工，禁止污废水直接排入</w:t>
      </w:r>
      <w:r>
        <w:rPr>
          <w:rFonts w:hint="eastAsia"/>
          <w:color w:val="0000FF"/>
          <w:lang w:val="en-US" w:eastAsia="zh-CN"/>
        </w:rPr>
        <w:t>南捧河</w:t>
      </w:r>
      <w:r>
        <w:rPr>
          <w:color w:val="0000FF"/>
        </w:rPr>
        <w:t xml:space="preserve">等水体。 </w:t>
      </w:r>
    </w:p>
    <w:p>
      <w:pPr>
        <w:ind w:firstLine="480" w:firstLineChars="200"/>
        <w:rPr>
          <w:rFonts w:hint="default"/>
          <w:color w:val="auto"/>
          <w:highlight w:val="none"/>
          <w:lang w:val="en-US" w:eastAsia="zh-CN"/>
        </w:rPr>
      </w:pPr>
      <w:r>
        <w:rPr>
          <w:color w:val="0000FF"/>
        </w:rPr>
        <w:t>建设单位需加大水生生物养护和保护的相关法律、法规的宣传力度，制定水生生物保护制度，强化管理。积极配合当地环保、渔政机构严厉打击破坏水生生物资源的行为。尤其是施工方应该加强自我宣传，坚决贯彻执行云南省关于在渔业资源保护和国家水生珍稀濒危动物保护的各项法律法规。</w:t>
      </w:r>
    </w:p>
    <w:p>
      <w:pPr>
        <w:pStyle w:val="4"/>
        <w:numPr>
          <w:ilvl w:val="2"/>
          <w:numId w:val="2"/>
        </w:numPr>
        <w:tabs>
          <w:tab w:val="left" w:pos="420"/>
        </w:tabs>
        <w:bidi w:val="0"/>
        <w:rPr>
          <w:rFonts w:hint="eastAsia"/>
          <w:color w:val="auto"/>
          <w:lang w:val="en-US" w:eastAsia="zh-CN"/>
        </w:rPr>
      </w:pPr>
      <w:bookmarkStart w:id="713" w:name="_Toc31708"/>
      <w:bookmarkStart w:id="714" w:name="_Toc17033"/>
      <w:bookmarkStart w:id="715" w:name="_Toc15534"/>
      <w:bookmarkStart w:id="716" w:name="_Toc21424"/>
      <w:r>
        <w:rPr>
          <w:rFonts w:hint="eastAsia"/>
          <w:color w:val="auto"/>
          <w:lang w:val="en-US" w:eastAsia="zh-CN"/>
        </w:rPr>
        <w:t>生态环境减缓措施</w:t>
      </w:r>
      <w:bookmarkEnd w:id="713"/>
      <w:bookmarkEnd w:id="714"/>
      <w:bookmarkEnd w:id="715"/>
      <w:bookmarkEnd w:id="716"/>
    </w:p>
    <w:p>
      <w:pPr>
        <w:bidi w:val="0"/>
        <w:ind w:firstLine="480" w:firstLineChars="200"/>
        <w:rPr>
          <w:rFonts w:hint="default"/>
          <w:color w:val="auto"/>
          <w:highlight w:val="none"/>
          <w:lang w:val="zh-TW" w:eastAsia="zh-TW"/>
        </w:rPr>
      </w:pPr>
      <w:r>
        <w:rPr>
          <w:rFonts w:hint="eastAsia"/>
          <w:color w:val="auto"/>
          <w:highlight w:val="none"/>
          <w:lang w:val="en-US" w:eastAsia="zh-CN"/>
        </w:rPr>
        <w:t>1</w:t>
      </w:r>
      <w:r>
        <w:rPr>
          <w:rFonts w:hint="default"/>
          <w:color w:val="auto"/>
          <w:highlight w:val="none"/>
          <w:lang w:val="en-US" w:eastAsia="zh-CN"/>
        </w:rPr>
        <w:t>、</w:t>
      </w:r>
      <w:r>
        <w:rPr>
          <w:rFonts w:hint="default"/>
          <w:color w:val="auto"/>
          <w:highlight w:val="none"/>
          <w:lang w:val="zh-TW" w:eastAsia="zh-TW"/>
        </w:rPr>
        <w:t>施工减缓措施</w:t>
      </w:r>
    </w:p>
    <w:p>
      <w:pPr>
        <w:bidi w:val="0"/>
        <w:ind w:firstLine="480" w:firstLineChars="200"/>
        <w:rPr>
          <w:rFonts w:hint="default"/>
          <w:color w:val="auto"/>
          <w:highlight w:val="none"/>
          <w:lang w:val="zh-TW" w:eastAsia="zh-TW"/>
        </w:rPr>
      </w:pPr>
      <w:r>
        <w:rPr>
          <w:rFonts w:hint="eastAsia"/>
          <w:color w:val="auto"/>
          <w:highlight w:val="none"/>
          <w:lang w:val="zh-TW" w:eastAsia="zh-CN"/>
        </w:rPr>
        <w:t>（</w:t>
      </w:r>
      <w:r>
        <w:rPr>
          <w:rFonts w:hint="eastAsia"/>
          <w:color w:val="auto"/>
          <w:highlight w:val="none"/>
          <w:lang w:val="en-US" w:eastAsia="zh-CN"/>
        </w:rPr>
        <w:t>1</w:t>
      </w:r>
      <w:r>
        <w:rPr>
          <w:rFonts w:hint="eastAsia"/>
          <w:color w:val="auto"/>
          <w:highlight w:val="none"/>
          <w:lang w:val="zh-TW" w:eastAsia="zh-CN"/>
        </w:rPr>
        <w:t>）</w:t>
      </w:r>
      <w:r>
        <w:rPr>
          <w:rFonts w:hint="default"/>
          <w:color w:val="auto"/>
          <w:highlight w:val="none"/>
          <w:lang w:val="zh-TW" w:eastAsia="zh-TW"/>
        </w:rPr>
        <w:t>施工前应先对附近动物进行驱赶，以尽量减少对动物的直接伤害，部分行动较慢的动物可捕捉后再迁至其他环境中放生。</w:t>
      </w:r>
    </w:p>
    <w:p>
      <w:pPr>
        <w:bidi w:val="0"/>
        <w:ind w:firstLine="480" w:firstLineChars="200"/>
        <w:rPr>
          <w:rFonts w:hint="default"/>
          <w:color w:val="auto"/>
          <w:highlight w:val="yellow"/>
          <w:lang w:val="zh-TW" w:eastAsia="zh-TW"/>
        </w:rPr>
      </w:pPr>
      <w:r>
        <w:rPr>
          <w:rFonts w:hint="eastAsia"/>
          <w:color w:val="auto"/>
          <w:highlight w:val="none"/>
          <w:lang w:val="zh-TW" w:eastAsia="zh-CN"/>
        </w:rPr>
        <w:t>（</w:t>
      </w:r>
      <w:r>
        <w:rPr>
          <w:rFonts w:hint="eastAsia"/>
          <w:color w:val="auto"/>
          <w:highlight w:val="none"/>
          <w:lang w:val="en-US" w:eastAsia="zh-CN"/>
        </w:rPr>
        <w:t>2</w:t>
      </w:r>
      <w:r>
        <w:rPr>
          <w:rFonts w:hint="eastAsia"/>
          <w:color w:val="auto"/>
          <w:highlight w:val="none"/>
          <w:lang w:val="zh-TW" w:eastAsia="zh-CN"/>
        </w:rPr>
        <w:t>）</w:t>
      </w:r>
      <w:r>
        <w:rPr>
          <w:rFonts w:hint="default"/>
          <w:color w:val="auto"/>
          <w:highlight w:val="none"/>
          <w:lang w:val="zh-TW" w:eastAsia="zh-TW"/>
        </w:rPr>
        <w:t>严格划定施工范围，禁止施工扩大进入划定以外的区域，除征占区域外，尽可能保持现有陆生生态的完整。项目施工期尽可能地保留原有的自然生态环境，减少对植被、农田的破坏，尽量利用原有的道路作为施工道路，避免对动物生境造成更大的破坏。</w:t>
      </w:r>
    </w:p>
    <w:p>
      <w:pPr>
        <w:bidi w:val="0"/>
        <w:ind w:firstLine="480" w:firstLineChars="200"/>
        <w:rPr>
          <w:rFonts w:hint="default"/>
          <w:color w:val="auto"/>
          <w:highlight w:val="none"/>
          <w:lang w:val="zh-TW" w:eastAsia="zh-TW"/>
        </w:rPr>
      </w:pPr>
      <w:r>
        <w:rPr>
          <w:rFonts w:hint="eastAsia"/>
          <w:color w:val="auto"/>
          <w:highlight w:val="none"/>
          <w:lang w:val="zh-TW" w:eastAsia="zh-CN"/>
        </w:rPr>
        <w:t>（</w:t>
      </w:r>
      <w:r>
        <w:rPr>
          <w:rFonts w:hint="eastAsia"/>
          <w:color w:val="auto"/>
          <w:highlight w:val="none"/>
          <w:lang w:val="en-US" w:eastAsia="zh-CN"/>
        </w:rPr>
        <w:t>3</w:t>
      </w:r>
      <w:r>
        <w:rPr>
          <w:rFonts w:hint="eastAsia"/>
          <w:color w:val="auto"/>
          <w:highlight w:val="none"/>
          <w:lang w:val="zh-TW" w:eastAsia="zh-CN"/>
        </w:rPr>
        <w:t>）</w:t>
      </w:r>
      <w:r>
        <w:rPr>
          <w:rFonts w:hint="default"/>
          <w:color w:val="auto"/>
          <w:highlight w:val="none"/>
          <w:lang w:val="zh-TW" w:eastAsia="zh-TW"/>
        </w:rPr>
        <w:t>加强施工单位和施工人员的宣传教育，通过环境保护法律知识普及、在施工区设置保护动物的告示牌及警告牌等措施进行宣传，树立施工人员的模范环保意识。以公告、发放宣传册等形式，教育施工人员。</w:t>
      </w:r>
    </w:p>
    <w:p>
      <w:pPr>
        <w:bidi w:val="0"/>
        <w:ind w:firstLine="480" w:firstLineChars="200"/>
        <w:rPr>
          <w:rFonts w:hint="default"/>
          <w:color w:val="auto"/>
          <w:highlight w:val="none"/>
          <w:lang w:val="zh-TW" w:eastAsia="zh-TW"/>
        </w:rPr>
      </w:pPr>
      <w:r>
        <w:rPr>
          <w:rFonts w:hint="eastAsia"/>
          <w:color w:val="auto"/>
          <w:highlight w:val="none"/>
          <w:lang w:val="zh-TW" w:eastAsia="zh-CN"/>
        </w:rPr>
        <w:t>（</w:t>
      </w:r>
      <w:r>
        <w:rPr>
          <w:rFonts w:hint="eastAsia"/>
          <w:color w:val="auto"/>
          <w:highlight w:val="none"/>
          <w:lang w:val="en-US" w:eastAsia="zh-CN"/>
        </w:rPr>
        <w:t>4</w:t>
      </w:r>
      <w:r>
        <w:rPr>
          <w:rFonts w:hint="eastAsia"/>
          <w:color w:val="auto"/>
          <w:highlight w:val="none"/>
          <w:lang w:val="zh-TW" w:eastAsia="zh-CN"/>
        </w:rPr>
        <w:t>）</w:t>
      </w:r>
      <w:r>
        <w:rPr>
          <w:rFonts w:hint="default"/>
          <w:color w:val="auto"/>
          <w:highlight w:val="none"/>
          <w:lang w:val="zh-TW" w:eastAsia="zh-TW"/>
        </w:rPr>
        <w:t>尽可能不在动物的繁殖季节中（如春季和夏季）施工等发出大噪声的施工。对施工人员明确规定严禁猎杀、购买和食用野生动物，建立与环境保护有关的奖励惩罚制度，对积极举报违法活动人员给以奖励和隐私保护，对于证据确凿的违法活动者给以严厉惩罚。</w:t>
      </w:r>
    </w:p>
    <w:p>
      <w:pPr>
        <w:bidi w:val="0"/>
        <w:ind w:firstLine="480" w:firstLineChars="200"/>
        <w:rPr>
          <w:rFonts w:hint="default"/>
          <w:color w:val="auto"/>
          <w:highlight w:val="none"/>
          <w:lang w:val="zh-TW" w:eastAsia="zh-TW"/>
        </w:rPr>
      </w:pPr>
      <w:r>
        <w:rPr>
          <w:rFonts w:hint="eastAsia"/>
          <w:color w:val="auto"/>
          <w:highlight w:val="none"/>
          <w:lang w:val="en-US" w:eastAsia="zh-CN"/>
        </w:rPr>
        <w:t>2</w:t>
      </w:r>
      <w:r>
        <w:rPr>
          <w:rFonts w:hint="default"/>
          <w:color w:val="auto"/>
          <w:highlight w:val="none"/>
          <w:lang w:val="en-US" w:eastAsia="zh-CN"/>
        </w:rPr>
        <w:t>、</w:t>
      </w:r>
      <w:r>
        <w:rPr>
          <w:rFonts w:hint="default"/>
          <w:color w:val="auto"/>
          <w:highlight w:val="none"/>
          <w:lang w:val="zh-TW" w:eastAsia="zh-TW"/>
        </w:rPr>
        <w:t>对保护动物的保护措施</w:t>
      </w:r>
    </w:p>
    <w:p>
      <w:pPr>
        <w:bidi w:val="0"/>
        <w:ind w:firstLine="480" w:firstLineChars="200"/>
        <w:rPr>
          <w:rFonts w:hint="default"/>
          <w:color w:val="auto"/>
          <w:highlight w:val="none"/>
          <w:lang w:val="zh-TW" w:eastAsia="zh-TW"/>
        </w:rPr>
      </w:pPr>
      <w:r>
        <w:rPr>
          <w:rFonts w:hint="eastAsia"/>
          <w:color w:val="auto"/>
          <w:highlight w:val="none"/>
          <w:lang w:val="zh-TW" w:eastAsia="zh-CN"/>
        </w:rPr>
        <w:t>（</w:t>
      </w:r>
      <w:r>
        <w:rPr>
          <w:rFonts w:hint="eastAsia"/>
          <w:color w:val="auto"/>
          <w:highlight w:val="none"/>
          <w:lang w:val="en-US" w:eastAsia="zh-CN"/>
        </w:rPr>
        <w:t>1</w:t>
      </w:r>
      <w:r>
        <w:rPr>
          <w:rFonts w:hint="eastAsia"/>
          <w:color w:val="auto"/>
          <w:highlight w:val="none"/>
          <w:lang w:val="zh-TW" w:eastAsia="zh-CN"/>
        </w:rPr>
        <w:t>）</w:t>
      </w:r>
      <w:r>
        <w:rPr>
          <w:rFonts w:hint="default"/>
          <w:color w:val="auto"/>
          <w:highlight w:val="none"/>
          <w:lang w:val="zh-TW" w:eastAsia="zh-TW"/>
        </w:rPr>
        <w:t>加强施工单位和施工人员的宣传教育，通过标志牌、法律宣传等措施进行宣传，严禁猎杀野生动物，并通过对违法活动进行举报奖励的措施以制止偷猎活动。对于评价区内的</w:t>
      </w:r>
      <w:r>
        <w:rPr>
          <w:rFonts w:hint="default"/>
          <w:color w:val="auto"/>
          <w:highlight w:val="none"/>
          <w:lang w:val="en-US" w:eastAsia="zh-CN"/>
        </w:rPr>
        <w:t>4</w:t>
      </w:r>
      <w:r>
        <w:rPr>
          <w:rFonts w:hint="default"/>
          <w:color w:val="auto"/>
          <w:highlight w:val="none"/>
          <w:lang w:val="zh-TW" w:eastAsia="zh-TW"/>
        </w:rPr>
        <w:t>种国家级保护动物，严禁施工人员捕猎，并以展板形式对施工人员进行宣传教育；施工时要合理安排施工作业的时间，尽量缩短工期。</w:t>
      </w:r>
    </w:p>
    <w:p>
      <w:pPr>
        <w:bidi w:val="0"/>
        <w:ind w:firstLine="480" w:firstLineChars="200"/>
        <w:rPr>
          <w:rFonts w:hint="default"/>
          <w:color w:val="auto"/>
          <w:highlight w:val="none"/>
          <w:lang w:val="zh-TW" w:eastAsia="zh-TW"/>
        </w:rPr>
      </w:pPr>
      <w:r>
        <w:rPr>
          <w:rFonts w:hint="eastAsia"/>
          <w:color w:val="auto"/>
          <w:highlight w:val="none"/>
          <w:lang w:val="zh-TW" w:eastAsia="zh-CN"/>
        </w:rPr>
        <w:t>（</w:t>
      </w:r>
      <w:r>
        <w:rPr>
          <w:rFonts w:hint="eastAsia"/>
          <w:color w:val="auto"/>
          <w:highlight w:val="none"/>
          <w:lang w:val="en-US" w:eastAsia="zh-CN"/>
        </w:rPr>
        <w:t>2</w:t>
      </w:r>
      <w:r>
        <w:rPr>
          <w:rFonts w:hint="eastAsia"/>
          <w:color w:val="auto"/>
          <w:highlight w:val="none"/>
          <w:lang w:val="zh-TW" w:eastAsia="zh-CN"/>
        </w:rPr>
        <w:t>）</w:t>
      </w:r>
      <w:r>
        <w:rPr>
          <w:rFonts w:hint="default"/>
          <w:color w:val="auto"/>
          <w:highlight w:val="none"/>
          <w:lang w:val="zh-TW" w:eastAsia="zh-TW"/>
        </w:rPr>
        <w:t>保护野生动物的栖息地，施工完毕后及时进行生态恢复，使之有利于动物适应新的生境。对施工单位及施工人员制定规章，并认真进行巡查，禁止在施工人员非法偷猎野生动物、盗采珍稀保护植物、取食鸟蛋、幼鸟等活动；加强对施工器材的管理。对在施工中遇到的幼兽，一定要交给林业局的专业人员，不得擅自处理；对施工中遇到的鸟窝（因砍伐树木）一定要移到非施工区的其他树上；对在施工中遇到的幼鸟和鸟卵（蛋）一定要交林业局的专业人员妥善处置；安排专门人员负责</w:t>
      </w:r>
    </w:p>
    <w:p>
      <w:pPr>
        <w:bidi w:val="0"/>
        <w:ind w:firstLine="480" w:firstLineChars="200"/>
        <w:rPr>
          <w:rFonts w:hint="eastAsia"/>
          <w:color w:val="auto"/>
          <w:highlight w:val="none"/>
          <w:lang w:val="en-US" w:eastAsia="zh-CN"/>
        </w:rPr>
      </w:pPr>
      <w:r>
        <w:rPr>
          <w:rFonts w:hint="eastAsia"/>
          <w:color w:val="auto"/>
          <w:highlight w:val="none"/>
          <w:lang w:val="en-US" w:eastAsia="zh-CN"/>
        </w:rPr>
        <w:t>3、生态公益林保护措施</w:t>
      </w:r>
    </w:p>
    <w:p>
      <w:pPr>
        <w:bidi w:val="0"/>
        <w:ind w:firstLine="480" w:firstLineChars="200"/>
        <w:rPr>
          <w:rFonts w:hint="eastAsia"/>
          <w:color w:val="auto"/>
          <w:highlight w:val="none"/>
          <w:lang w:val="en-US" w:eastAsia="zh-CN"/>
        </w:rPr>
      </w:pPr>
      <w:r>
        <w:rPr>
          <w:rFonts w:hint="eastAsia"/>
          <w:color w:val="auto"/>
          <w:highlight w:val="none"/>
          <w:lang w:val="en-US" w:eastAsia="zh-CN"/>
        </w:rPr>
        <w:t>依法办理用地审核、林木采伐审批手续。设计阶段优化方案，尽量避让生态效益较高的公益林，加强施工管理，科学合理施工，主动并配合做好森林“三防”工作——即防止森林火灾、防止盗伐滥伐林木、防止森林病虫害，保护好野生动植物及其栖息环境。占用的国家级公益林需按照《国家级公益林管理办法》依法办理用地审核、林地征占审批手续，并报国家林业局进行审核。未经批准，不得开工建设。工程临时占地中临时道路、施工堆料平台临时占用国家二级公益林，建议主体优化设计，尽量避免或减少占用国家二级公益林。同时按照《中央财政森林生态效益补偿基金管理办法》的规定进行补偿，并由地方林业部门做好生态公益林的占补平衡工作。工程建设涉及的林地应符合国务院颁布的《全国林地保护利用规划纲要》的相关规定，工程占地应严格保护林地、节约集约利用林地、</w:t>
      </w:r>
    </w:p>
    <w:p>
      <w:pPr>
        <w:bidi w:val="0"/>
        <w:rPr>
          <w:rFonts w:hint="eastAsia"/>
          <w:color w:val="auto"/>
          <w:highlight w:val="none"/>
          <w:lang w:val="en-US" w:eastAsia="zh-CN"/>
        </w:rPr>
      </w:pPr>
      <w:r>
        <w:rPr>
          <w:rFonts w:hint="eastAsia"/>
          <w:color w:val="auto"/>
          <w:highlight w:val="none"/>
          <w:lang w:val="en-US" w:eastAsia="zh-CN"/>
        </w:rPr>
        <w:t>优化林地资源配置，提高林地保护利用效率。</w:t>
      </w:r>
    </w:p>
    <w:p>
      <w:pPr>
        <w:bidi w:val="0"/>
        <w:ind w:firstLine="480" w:firstLineChars="200"/>
        <w:rPr>
          <w:rFonts w:hint="eastAsia" w:ascii="Times New Roman" w:hAnsi="Times New Roman" w:eastAsia="宋体" w:cs="Times New Roman"/>
          <w:color w:val="0000FF"/>
          <w:highlight w:val="none"/>
          <w:lang w:val="zh-TW" w:eastAsia="zh-TW"/>
        </w:rPr>
      </w:pPr>
      <w:r>
        <w:rPr>
          <w:rFonts w:hint="eastAsia" w:ascii="Times New Roman" w:hAnsi="Times New Roman" w:eastAsia="宋体" w:cs="Times New Roman"/>
          <w:color w:val="0000FF"/>
          <w:highlight w:val="none"/>
          <w:lang w:val="en-US" w:eastAsia="zh-CN"/>
        </w:rPr>
        <w:t>4、</w:t>
      </w:r>
      <w:r>
        <w:rPr>
          <w:rFonts w:hint="eastAsia" w:ascii="Times New Roman" w:hAnsi="Times New Roman" w:eastAsia="宋体" w:cs="Times New Roman"/>
          <w:color w:val="0000FF"/>
          <w:highlight w:val="none"/>
          <w:lang w:val="zh-TW" w:eastAsia="zh-TW"/>
        </w:rPr>
        <w:t>水生态影响的减缓措施</w:t>
      </w:r>
    </w:p>
    <w:p>
      <w:pPr>
        <w:pStyle w:val="120"/>
        <w:rPr>
          <w:color w:val="0000FF"/>
        </w:rPr>
      </w:pPr>
      <w:r>
        <w:rPr>
          <w:color w:val="0000FF"/>
        </w:rPr>
        <w:t>（1）开展有针对性的生态调度，本工程运行后，根据供水对象的用水需求，进一步优化不同水平年的引水过程和引水规模，制定科学合理的运行调度规程，合理制定引水方案，尽量避免在鱼类繁殖季节大量引水；在鱼类主要产卵期间，应尽可能保持水位稳定，避免大幅、剧烈调整引水量。在鱼类产卵期，保持河道水位相对稳定，将会有较好的效果。</w:t>
      </w:r>
    </w:p>
    <w:p>
      <w:pPr>
        <w:pStyle w:val="120"/>
        <w:rPr>
          <w:color w:val="0000FF"/>
        </w:rPr>
      </w:pPr>
      <w:r>
        <w:rPr>
          <w:color w:val="0000FF"/>
        </w:rPr>
        <w:t>（2）对破坏的植被要尽快恢复，建立生态防护体系，防止水土流失，避免和减少泥沙和有害物质进入河道，影响水域环境和渔业生产。</w:t>
      </w:r>
    </w:p>
    <w:p>
      <w:pPr>
        <w:pStyle w:val="120"/>
        <w:rPr>
          <w:color w:val="0000FF"/>
        </w:rPr>
      </w:pPr>
      <w:r>
        <w:rPr>
          <w:color w:val="0000FF"/>
        </w:rPr>
        <w:t>（3）在施工区域附近河段，加强施工管理，设置明显的标识牌，并划定施工区域，减少人为活动的影响范围和时间；严禁施工人员下河捕鱼；防止废弃土石方随意堆放直接进入河道或被雨水冲刷后流入河道对水体产生不利影响；利用拦河网、声响、脉冲电流等多种方式，把施工区域内的鱼向上、下游驱逐，使鱼类在施工期内远离施工区，减少施工对鱼类的影响；合理设计施工方案，尽可能减少在基础开挖时泥沙、石块及混凝土等固体废弃物进入河道，减轻由此对鱼类造成的不利影响。</w:t>
      </w:r>
    </w:p>
    <w:p>
      <w:pPr>
        <w:pStyle w:val="120"/>
        <w:rPr>
          <w:rFonts w:hint="default"/>
          <w:color w:val="auto"/>
          <w:highlight w:val="none"/>
          <w:lang w:val="en-US" w:eastAsia="zh-CN"/>
        </w:rPr>
      </w:pPr>
      <w:r>
        <w:rPr>
          <w:color w:val="0000FF"/>
        </w:rPr>
        <w:t>（4）建立风险事故应急预案和响应机制，进行环境风险事故应急响应培训和演练，将可能发生的环境风险事故对水生生物及鱼类资源的损害减小到低。</w:t>
      </w:r>
    </w:p>
    <w:p>
      <w:pPr>
        <w:pStyle w:val="4"/>
        <w:numPr>
          <w:ilvl w:val="2"/>
          <w:numId w:val="2"/>
        </w:numPr>
        <w:tabs>
          <w:tab w:val="left" w:pos="420"/>
        </w:tabs>
        <w:bidi w:val="0"/>
        <w:rPr>
          <w:rFonts w:hint="eastAsia"/>
          <w:color w:val="auto"/>
          <w:lang w:val="en-US" w:eastAsia="zh-CN"/>
        </w:rPr>
      </w:pPr>
      <w:bookmarkStart w:id="717" w:name="_Toc27657"/>
      <w:bookmarkStart w:id="718" w:name="_Toc4540"/>
      <w:bookmarkStart w:id="719" w:name="_Toc1537"/>
      <w:bookmarkStart w:id="720" w:name="_Toc29173"/>
      <w:r>
        <w:rPr>
          <w:rFonts w:hint="eastAsia"/>
          <w:color w:val="auto"/>
          <w:lang w:val="en-US" w:eastAsia="zh-CN"/>
        </w:rPr>
        <w:t>水土保持及生态恢复措施</w:t>
      </w:r>
      <w:bookmarkEnd w:id="717"/>
      <w:bookmarkEnd w:id="718"/>
      <w:bookmarkEnd w:id="719"/>
      <w:bookmarkEnd w:id="720"/>
    </w:p>
    <w:p>
      <w:pPr>
        <w:ind w:firstLine="480" w:firstLineChars="200"/>
        <w:rPr>
          <w:rFonts w:hint="eastAsia"/>
          <w:color w:val="auto"/>
          <w:highlight w:val="none"/>
          <w:lang w:val="en-US" w:eastAsia="zh-CN"/>
        </w:rPr>
      </w:pPr>
      <w:r>
        <w:rPr>
          <w:rFonts w:hint="eastAsia"/>
          <w:color w:val="auto"/>
          <w:highlight w:val="none"/>
          <w:lang w:val="en-US" w:eastAsia="zh-CN"/>
        </w:rPr>
        <w:t>水土保持及生态恢复措施主要参考《元谋县姜驿中型灌区续建配套与节水改造项目实施方案》，综合如下。</w:t>
      </w:r>
    </w:p>
    <w:p>
      <w:pPr>
        <w:ind w:firstLine="480" w:firstLineChars="200"/>
        <w:rPr>
          <w:rFonts w:hint="eastAsia"/>
          <w:color w:val="auto"/>
          <w:highlight w:val="none"/>
          <w:lang w:val="en-US" w:eastAsia="zh-CN"/>
        </w:rPr>
      </w:pPr>
      <w:r>
        <w:rPr>
          <w:rFonts w:hint="eastAsia"/>
          <w:color w:val="auto"/>
          <w:highlight w:val="none"/>
          <w:lang w:val="en-US" w:eastAsia="zh-CN"/>
        </w:rPr>
        <w:t>1、输水工程区</w:t>
      </w:r>
    </w:p>
    <w:p>
      <w:pPr>
        <w:ind w:firstLine="480" w:firstLineChars="200"/>
        <w:rPr>
          <w:rFonts w:hint="eastAsia"/>
          <w:color w:val="auto"/>
          <w:highlight w:val="none"/>
          <w:lang w:val="en-US" w:eastAsia="zh-CN"/>
        </w:rPr>
      </w:pPr>
      <w:r>
        <w:rPr>
          <w:rFonts w:hint="eastAsia"/>
          <w:color w:val="auto"/>
          <w:highlight w:val="none"/>
          <w:lang w:val="en-US" w:eastAsia="zh-CN"/>
        </w:rPr>
        <w:t>工程措施：本方案新增输水工程区的表土收集、绿化整地、绿化覆土措施设计，同时提出施工期间的水土保持防治要求。共收集表土120800.0m</w:t>
      </w:r>
      <w:r>
        <w:rPr>
          <w:rFonts w:hint="eastAsia"/>
          <w:color w:val="auto"/>
          <w:highlight w:val="none"/>
          <w:vertAlign w:val="superscript"/>
          <w:lang w:val="en-US" w:eastAsia="zh-CN"/>
        </w:rPr>
        <w:t>3</w:t>
      </w:r>
      <w:r>
        <w:rPr>
          <w:rFonts w:hint="eastAsia"/>
          <w:color w:val="auto"/>
          <w:highlight w:val="none"/>
          <w:lang w:val="en-US" w:eastAsia="zh-CN"/>
        </w:rPr>
        <w:t>，绿化整地14.385hm</w:t>
      </w:r>
      <w:r>
        <w:rPr>
          <w:rFonts w:hint="eastAsia"/>
          <w:color w:val="auto"/>
          <w:highlight w:val="none"/>
          <w:vertAlign w:val="superscript"/>
          <w:lang w:val="en-US" w:eastAsia="zh-CN"/>
        </w:rPr>
        <w:t>2</w:t>
      </w:r>
      <w:r>
        <w:rPr>
          <w:rFonts w:hint="eastAsia"/>
          <w:color w:val="auto"/>
          <w:highlight w:val="none"/>
          <w:lang w:val="en-US" w:eastAsia="zh-CN"/>
        </w:rPr>
        <w:t>，绿化覆土43154.0m</w:t>
      </w:r>
      <w:r>
        <w:rPr>
          <w:rFonts w:hint="eastAsia"/>
          <w:color w:val="auto"/>
          <w:highlight w:val="none"/>
          <w:vertAlign w:val="superscript"/>
          <w:lang w:val="en-US" w:eastAsia="zh-CN"/>
        </w:rPr>
        <w:t>3</w:t>
      </w:r>
      <w:r>
        <w:rPr>
          <w:rFonts w:hint="eastAsia"/>
          <w:color w:val="auto"/>
          <w:highlight w:val="none"/>
          <w:lang w:val="en-US" w:eastAsia="zh-CN"/>
        </w:rPr>
        <w:t>。</w:t>
      </w:r>
    </w:p>
    <w:p>
      <w:pPr>
        <w:ind w:firstLine="480" w:firstLineChars="200"/>
        <w:rPr>
          <w:rFonts w:hint="eastAsia"/>
          <w:color w:val="auto"/>
          <w:highlight w:val="none"/>
          <w:lang w:val="en-US" w:eastAsia="zh-CN"/>
        </w:rPr>
      </w:pPr>
      <w:r>
        <w:rPr>
          <w:rFonts w:hint="eastAsia"/>
          <w:color w:val="auto"/>
          <w:highlight w:val="none"/>
          <w:lang w:val="en-US" w:eastAsia="zh-CN"/>
        </w:rPr>
        <w:t>植物措施：输水工程区主体工程设计了复耕措施， 能够满足运行期间的水土保持防治要求。本方案设计采用灌草结合的方式恢复植被，具体为：撒播狗牙根及车桑子各14.385hm</w:t>
      </w:r>
      <w:r>
        <w:rPr>
          <w:rFonts w:hint="eastAsia"/>
          <w:color w:val="auto"/>
          <w:highlight w:val="none"/>
          <w:vertAlign w:val="superscript"/>
          <w:lang w:val="en-US" w:eastAsia="zh-CN"/>
        </w:rPr>
        <w:t>2</w:t>
      </w:r>
      <w:r>
        <w:rPr>
          <w:rFonts w:hint="eastAsia"/>
          <w:color w:val="auto"/>
          <w:highlight w:val="none"/>
          <w:lang w:val="en-US" w:eastAsia="zh-CN"/>
        </w:rPr>
        <w:t>，抚育管理14.385hm</w:t>
      </w:r>
      <w:r>
        <w:rPr>
          <w:rFonts w:hint="eastAsia"/>
          <w:color w:val="auto"/>
          <w:highlight w:val="none"/>
          <w:vertAlign w:val="superscript"/>
          <w:lang w:val="en-US" w:eastAsia="zh-CN"/>
        </w:rPr>
        <w:t>2</w:t>
      </w:r>
      <w:r>
        <w:rPr>
          <w:rFonts w:hint="eastAsia"/>
          <w:color w:val="auto"/>
          <w:highlight w:val="none"/>
          <w:lang w:val="en-US" w:eastAsia="zh-CN"/>
        </w:rPr>
        <w:t>，同时提出施工期间的水土保持防治要求。</w:t>
      </w:r>
    </w:p>
    <w:p>
      <w:pPr>
        <w:ind w:firstLine="480" w:firstLineChars="200"/>
        <w:rPr>
          <w:rFonts w:hint="eastAsia"/>
          <w:color w:val="auto"/>
          <w:highlight w:val="none"/>
          <w:lang w:val="en-US" w:eastAsia="zh-CN"/>
        </w:rPr>
      </w:pPr>
      <w:r>
        <w:rPr>
          <w:rFonts w:hint="eastAsia"/>
          <w:color w:val="auto"/>
          <w:highlight w:val="none"/>
          <w:lang w:val="en-US" w:eastAsia="zh-CN"/>
        </w:rPr>
        <w:t>临时措施：输水工程区收集表土堆存在1#~12#临时表土堆场内，本方案新增1#~12#临时表土 堆场的临时挡护及覆盖措施，共设置临时生态土袋挡墙2184.5m，密目网覆盖47565.0m</w:t>
      </w:r>
      <w:r>
        <w:rPr>
          <w:rFonts w:hint="eastAsia"/>
          <w:color w:val="auto"/>
          <w:highlight w:val="none"/>
          <w:vertAlign w:val="superscript"/>
          <w:lang w:val="en-US" w:eastAsia="zh-CN"/>
        </w:rPr>
        <w:t>2</w:t>
      </w:r>
      <w:r>
        <w:rPr>
          <w:rFonts w:hint="eastAsia"/>
          <w:color w:val="auto"/>
          <w:highlight w:val="none"/>
          <w:lang w:val="en-US" w:eastAsia="zh-CN"/>
        </w:rPr>
        <w:t>，生态土袋装土及拆除2402.9m</w:t>
      </w:r>
      <w:r>
        <w:rPr>
          <w:rFonts w:hint="eastAsia"/>
          <w:color w:val="auto"/>
          <w:highlight w:val="none"/>
          <w:vertAlign w:val="superscript"/>
          <w:lang w:val="en-US" w:eastAsia="zh-CN"/>
        </w:rPr>
        <w:t>3</w:t>
      </w:r>
      <w:r>
        <w:rPr>
          <w:rFonts w:hint="eastAsia"/>
          <w:color w:val="auto"/>
          <w:highlight w:val="none"/>
          <w:lang w:val="en-US" w:eastAsia="zh-CN"/>
        </w:rPr>
        <w:t>。</w:t>
      </w:r>
    </w:p>
    <w:p>
      <w:pPr>
        <w:bidi w:val="0"/>
        <w:ind w:firstLine="480" w:firstLineChars="200"/>
        <w:rPr>
          <w:color w:val="auto"/>
          <w:highlight w:val="none"/>
        </w:rPr>
      </w:pPr>
      <w:r>
        <w:rPr>
          <w:rFonts w:hint="eastAsia"/>
          <w:color w:val="auto"/>
          <w:highlight w:val="none"/>
          <w:lang w:val="en-US" w:eastAsia="zh-CN"/>
        </w:rPr>
        <w:t>2、</w:t>
      </w:r>
      <w:r>
        <w:rPr>
          <w:color w:val="auto"/>
          <w:highlight w:val="none"/>
        </w:rPr>
        <w:t>交通道路区</w:t>
      </w:r>
    </w:p>
    <w:p>
      <w:pPr>
        <w:bidi w:val="0"/>
        <w:ind w:firstLine="480" w:firstLineChars="200"/>
        <w:rPr>
          <w:rFonts w:ascii="宋体" w:hAnsi="宋体" w:eastAsia="宋体" w:cs="宋体"/>
          <w:color w:val="auto"/>
          <w:sz w:val="24"/>
          <w:szCs w:val="24"/>
          <w:highlight w:val="none"/>
        </w:rPr>
      </w:pPr>
      <w:r>
        <w:rPr>
          <w:color w:val="auto"/>
          <w:highlight w:val="none"/>
        </w:rPr>
        <w:t>工程措施</w:t>
      </w:r>
      <w:r>
        <w:rPr>
          <w:rFonts w:hint="eastAsia"/>
          <w:color w:val="auto"/>
          <w:highlight w:val="none"/>
          <w:lang w:eastAsia="zh-CN"/>
        </w:rPr>
        <w:t>：</w:t>
      </w:r>
      <w:r>
        <w:rPr>
          <w:rFonts w:ascii="宋体" w:hAnsi="宋体" w:eastAsia="宋体" w:cs="宋体"/>
          <w:color w:val="auto"/>
          <w:spacing w:val="-7"/>
          <w:sz w:val="24"/>
          <w:szCs w:val="24"/>
          <w:highlight w:val="none"/>
        </w:rPr>
        <w:t>本方案新增交通道路区的表土收集、绿化整地、绿化覆土措施设计，同时提出施工</w:t>
      </w:r>
      <w:r>
        <w:rPr>
          <w:rFonts w:ascii="宋体" w:hAnsi="宋体" w:eastAsia="宋体" w:cs="宋体"/>
          <w:color w:val="auto"/>
          <w:spacing w:val="6"/>
          <w:sz w:val="24"/>
          <w:szCs w:val="24"/>
          <w:highlight w:val="none"/>
        </w:rPr>
        <w:t>期间的水土保持防治要求。共收集表土</w:t>
      </w:r>
      <w:r>
        <w:rPr>
          <w:rFonts w:ascii="Times New Roman" w:hAnsi="Times New Roman" w:eastAsia="Times New Roman" w:cs="Times New Roman"/>
          <w:color w:val="auto"/>
          <w:spacing w:val="6"/>
          <w:sz w:val="24"/>
          <w:szCs w:val="24"/>
          <w:highlight w:val="none"/>
        </w:rPr>
        <w:t>30382.0m</w:t>
      </w:r>
      <w:r>
        <w:rPr>
          <w:rFonts w:ascii="Times New Roman" w:hAnsi="Times New Roman" w:eastAsia="Times New Roman" w:cs="Times New Roman"/>
          <w:color w:val="auto"/>
          <w:spacing w:val="6"/>
          <w:position w:val="8"/>
          <w:sz w:val="15"/>
          <w:szCs w:val="15"/>
          <w:highlight w:val="none"/>
        </w:rPr>
        <w:t>3</w:t>
      </w:r>
      <w:r>
        <w:rPr>
          <w:rFonts w:ascii="宋体" w:hAnsi="宋体" w:eastAsia="宋体" w:cs="宋体"/>
          <w:color w:val="auto"/>
          <w:spacing w:val="6"/>
          <w:sz w:val="24"/>
          <w:szCs w:val="24"/>
          <w:highlight w:val="none"/>
        </w:rPr>
        <w:t>，绿化整地</w:t>
      </w:r>
      <w:r>
        <w:rPr>
          <w:rFonts w:ascii="Times New Roman" w:hAnsi="Times New Roman" w:eastAsia="Times New Roman" w:cs="Times New Roman"/>
          <w:color w:val="auto"/>
          <w:spacing w:val="6"/>
          <w:sz w:val="24"/>
          <w:szCs w:val="24"/>
          <w:highlight w:val="none"/>
        </w:rPr>
        <w:t>9.127</w:t>
      </w:r>
      <w:r>
        <w:rPr>
          <w:rFonts w:ascii="Times New Roman" w:hAnsi="Times New Roman" w:eastAsia="Times New Roman" w:cs="Times New Roman"/>
          <w:color w:val="auto"/>
          <w:sz w:val="24"/>
          <w:szCs w:val="24"/>
          <w:highlight w:val="none"/>
        </w:rPr>
        <w:t>hm</w:t>
      </w:r>
      <w:r>
        <w:rPr>
          <w:rFonts w:ascii="Times New Roman" w:hAnsi="Times New Roman" w:eastAsia="Times New Roman" w:cs="Times New Roman"/>
          <w:color w:val="auto"/>
          <w:spacing w:val="6"/>
          <w:position w:val="8"/>
          <w:sz w:val="15"/>
          <w:szCs w:val="15"/>
          <w:highlight w:val="none"/>
        </w:rPr>
        <w:t>2</w:t>
      </w:r>
      <w:r>
        <w:rPr>
          <w:rFonts w:ascii="宋体" w:hAnsi="宋体" w:eastAsia="宋体" w:cs="宋体"/>
          <w:color w:val="auto"/>
          <w:spacing w:val="6"/>
          <w:sz w:val="24"/>
          <w:szCs w:val="24"/>
          <w:highlight w:val="none"/>
        </w:rPr>
        <w:t>，绿化覆土</w:t>
      </w:r>
      <w:r>
        <w:rPr>
          <w:rFonts w:ascii="Times New Roman" w:hAnsi="Times New Roman" w:eastAsia="Times New Roman" w:cs="Times New Roman"/>
          <w:color w:val="auto"/>
          <w:sz w:val="24"/>
          <w:szCs w:val="24"/>
          <w:highlight w:val="none"/>
        </w:rPr>
        <w:t>27382.0m</w:t>
      </w:r>
      <w:r>
        <w:rPr>
          <w:rFonts w:ascii="Times New Roman" w:hAnsi="Times New Roman" w:eastAsia="Times New Roman" w:cs="Times New Roman"/>
          <w:color w:val="auto"/>
          <w:position w:val="8"/>
          <w:sz w:val="15"/>
          <w:szCs w:val="15"/>
          <w:highlight w:val="none"/>
        </w:rPr>
        <w:t>3</w:t>
      </w:r>
      <w:r>
        <w:rPr>
          <w:rFonts w:ascii="宋体" w:hAnsi="宋体" w:eastAsia="宋体" w:cs="宋体"/>
          <w:color w:val="auto"/>
          <w:sz w:val="24"/>
          <w:szCs w:val="24"/>
          <w:highlight w:val="none"/>
        </w:rPr>
        <w:t>。</w:t>
      </w:r>
    </w:p>
    <w:p>
      <w:pPr>
        <w:bidi w:val="0"/>
        <w:ind w:firstLine="480" w:firstLineChars="200"/>
        <w:rPr>
          <w:rFonts w:ascii="宋体" w:hAnsi="宋体" w:eastAsia="宋体" w:cs="宋体"/>
          <w:color w:val="auto"/>
          <w:szCs w:val="24"/>
          <w:highlight w:val="none"/>
        </w:rPr>
      </w:pPr>
      <w:r>
        <w:rPr>
          <w:color w:val="auto"/>
          <w:highlight w:val="none"/>
        </w:rPr>
        <w:t>植物措施</w:t>
      </w:r>
      <w:r>
        <w:rPr>
          <w:rFonts w:hint="eastAsia"/>
          <w:color w:val="auto"/>
          <w:highlight w:val="none"/>
          <w:lang w:eastAsia="zh-CN"/>
        </w:rPr>
        <w:t>：</w:t>
      </w:r>
      <w:r>
        <w:rPr>
          <w:color w:val="auto"/>
          <w:highlight w:val="none"/>
        </w:rPr>
        <w:t>交通道路区均为临时施工道路，主体工程设计了复耕措施，能够满足运行期间的水土保持防治要求。本方案设计采用灌草结合的方式恢复植被，具体为：撒播狗牙根及车桑子各9.127hm</w:t>
      </w:r>
      <w:r>
        <w:rPr>
          <w:color w:val="auto"/>
          <w:highlight w:val="none"/>
          <w:vertAlign w:val="superscript"/>
        </w:rPr>
        <w:t>2</w:t>
      </w:r>
      <w:r>
        <w:rPr>
          <w:color w:val="auto"/>
          <w:highlight w:val="none"/>
        </w:rPr>
        <w:t>，抚育管理9.127hm</w:t>
      </w:r>
      <w:r>
        <w:rPr>
          <w:color w:val="auto"/>
          <w:highlight w:val="none"/>
          <w:vertAlign w:val="superscript"/>
        </w:rPr>
        <w:t>2</w:t>
      </w:r>
      <w:r>
        <w:rPr>
          <w:color w:val="auto"/>
          <w:highlight w:val="none"/>
        </w:rPr>
        <w:t>，同时提出施工期间的水土保持防治要求。</w:t>
      </w:r>
    </w:p>
    <w:p>
      <w:pPr>
        <w:bidi w:val="0"/>
        <w:rPr>
          <w:color w:val="auto"/>
          <w:highlight w:val="none"/>
        </w:rPr>
      </w:pPr>
      <w:r>
        <w:rPr>
          <w:color w:val="auto"/>
          <w:highlight w:val="none"/>
        </w:rPr>
        <w:t>临时措施</w:t>
      </w:r>
      <w:r>
        <w:rPr>
          <w:rFonts w:hint="eastAsia"/>
          <w:color w:val="auto"/>
          <w:highlight w:val="none"/>
          <w:lang w:eastAsia="zh-CN"/>
        </w:rPr>
        <w:t>：</w:t>
      </w:r>
      <w:r>
        <w:rPr>
          <w:color w:val="auto"/>
          <w:highlight w:val="none"/>
        </w:rPr>
        <w:t>交通道路区收集表土堆存在13#~14#临时表土堆场内，本方案新增13#~14#临时表土堆场的临时挡护及覆盖措施，共设置临时生态土袋挡墙438.2m，密目网覆盖11962.9m</w:t>
      </w:r>
      <w:r>
        <w:rPr>
          <w:color w:val="auto"/>
          <w:highlight w:val="none"/>
          <w:vertAlign w:val="superscript"/>
        </w:rPr>
        <w:t>2</w:t>
      </w:r>
      <w:r>
        <w:rPr>
          <w:color w:val="auto"/>
          <w:highlight w:val="none"/>
        </w:rPr>
        <w:t>，生态土袋装土及拆除482.0m</w:t>
      </w:r>
      <w:r>
        <w:rPr>
          <w:color w:val="auto"/>
          <w:highlight w:val="none"/>
          <w:vertAlign w:val="superscript"/>
        </w:rPr>
        <w:t>3</w:t>
      </w:r>
      <w:r>
        <w:rPr>
          <w:color w:val="auto"/>
          <w:highlight w:val="none"/>
        </w:rPr>
        <w:t>。</w:t>
      </w:r>
    </w:p>
    <w:p>
      <w:pPr>
        <w:bidi w:val="0"/>
        <w:ind w:firstLine="480" w:firstLineChars="200"/>
        <w:rPr>
          <w:color w:val="auto"/>
          <w:highlight w:val="none"/>
        </w:rPr>
      </w:pPr>
      <w:r>
        <w:rPr>
          <w:rFonts w:hint="eastAsia"/>
          <w:color w:val="auto"/>
          <w:highlight w:val="none"/>
          <w:lang w:val="en-US" w:eastAsia="zh-CN"/>
        </w:rPr>
        <w:t>3、</w:t>
      </w:r>
      <w:r>
        <w:rPr>
          <w:color w:val="auto"/>
          <w:highlight w:val="none"/>
        </w:rPr>
        <w:t>弃渣场区</w:t>
      </w:r>
    </w:p>
    <w:p>
      <w:pPr>
        <w:bidi w:val="0"/>
        <w:ind w:firstLine="480" w:firstLineChars="200"/>
        <w:rPr>
          <w:color w:val="auto"/>
          <w:highlight w:val="none"/>
        </w:rPr>
      </w:pPr>
      <w:r>
        <w:rPr>
          <w:color w:val="auto"/>
          <w:highlight w:val="none"/>
        </w:rPr>
        <w:t>工程措施</w:t>
      </w:r>
      <w:r>
        <w:rPr>
          <w:rFonts w:hint="eastAsia"/>
          <w:color w:val="auto"/>
          <w:highlight w:val="none"/>
          <w:lang w:eastAsia="zh-CN"/>
        </w:rPr>
        <w:t>：</w:t>
      </w:r>
      <w:r>
        <w:rPr>
          <w:color w:val="auto"/>
          <w:highlight w:val="none"/>
        </w:rPr>
        <w:t>本方案新增施工生产生活区的表土收集、绿化整地、绿化覆土措施设计，同时提出施工期间的水土保持防治要求。共收集表土4574.0m</w:t>
      </w:r>
      <w:r>
        <w:rPr>
          <w:color w:val="auto"/>
          <w:highlight w:val="none"/>
          <w:vertAlign w:val="superscript"/>
        </w:rPr>
        <w:t>3</w:t>
      </w:r>
      <w:r>
        <w:rPr>
          <w:color w:val="auto"/>
          <w:highlight w:val="none"/>
        </w:rPr>
        <w:t>，绿化整地1.246hm</w:t>
      </w:r>
      <w:r>
        <w:rPr>
          <w:color w:val="auto"/>
          <w:highlight w:val="none"/>
          <w:vertAlign w:val="superscript"/>
        </w:rPr>
        <w:t>2</w:t>
      </w:r>
      <w:r>
        <w:rPr>
          <w:color w:val="auto"/>
          <w:highlight w:val="none"/>
        </w:rPr>
        <w:t>，绿化覆土3738.0m</w:t>
      </w:r>
      <w:r>
        <w:rPr>
          <w:color w:val="auto"/>
          <w:highlight w:val="none"/>
          <w:vertAlign w:val="superscript"/>
        </w:rPr>
        <w:t>3</w:t>
      </w:r>
      <w:r>
        <w:rPr>
          <w:color w:val="auto"/>
          <w:highlight w:val="none"/>
        </w:rPr>
        <w:t>。</w:t>
      </w:r>
    </w:p>
    <w:p>
      <w:pPr>
        <w:bidi w:val="0"/>
        <w:ind w:firstLine="480" w:firstLineChars="200"/>
        <w:rPr>
          <w:color w:val="auto"/>
          <w:highlight w:val="none"/>
        </w:rPr>
      </w:pPr>
      <w:r>
        <w:rPr>
          <w:color w:val="auto"/>
          <w:highlight w:val="none"/>
        </w:rPr>
        <w:t>植物措施</w:t>
      </w:r>
      <w:r>
        <w:rPr>
          <w:rFonts w:hint="eastAsia"/>
          <w:color w:val="auto"/>
          <w:highlight w:val="none"/>
          <w:lang w:eastAsia="zh-CN"/>
        </w:rPr>
        <w:t>：</w:t>
      </w:r>
      <w:r>
        <w:rPr>
          <w:color w:val="auto"/>
          <w:highlight w:val="none"/>
        </w:rPr>
        <w:t>施工生产生活区主体工程设计了复耕措施，能够满足运行期间的水土保持防治要求。本方案设计采用乔灌草结合的方式恢复植被，具体为：栽植旱冬瓜1666株，撒播狗牙根及车桑子各1.246hm</w:t>
      </w:r>
      <w:r>
        <w:rPr>
          <w:color w:val="auto"/>
          <w:highlight w:val="none"/>
          <w:vertAlign w:val="superscript"/>
        </w:rPr>
        <w:t>2</w:t>
      </w:r>
      <w:r>
        <w:rPr>
          <w:color w:val="auto"/>
          <w:highlight w:val="none"/>
        </w:rPr>
        <w:t>，抚育管理1.246hm</w:t>
      </w:r>
      <w:r>
        <w:rPr>
          <w:color w:val="auto"/>
          <w:highlight w:val="none"/>
          <w:vertAlign w:val="superscript"/>
        </w:rPr>
        <w:t>2</w:t>
      </w:r>
      <w:r>
        <w:rPr>
          <w:color w:val="auto"/>
          <w:highlight w:val="none"/>
        </w:rPr>
        <w:t>，同时提出施工期间的水土保持防治要求。</w:t>
      </w:r>
    </w:p>
    <w:p>
      <w:pPr>
        <w:bidi w:val="0"/>
        <w:ind w:firstLine="480" w:firstLineChars="200"/>
        <w:rPr>
          <w:color w:val="auto"/>
          <w:highlight w:val="none"/>
        </w:rPr>
      </w:pPr>
      <w:r>
        <w:rPr>
          <w:color w:val="auto"/>
          <w:highlight w:val="none"/>
        </w:rPr>
        <w:t>临时措施</w:t>
      </w:r>
      <w:r>
        <w:rPr>
          <w:rFonts w:hint="eastAsia"/>
          <w:color w:val="auto"/>
          <w:highlight w:val="none"/>
          <w:lang w:eastAsia="zh-CN"/>
        </w:rPr>
        <w:t>：</w:t>
      </w:r>
      <w:r>
        <w:rPr>
          <w:color w:val="auto"/>
          <w:highlight w:val="none"/>
        </w:rPr>
        <w:t>施工生产生活区收集表土堆存在15#临时表土堆场内，本方案新增15#临时表土堆场的临时挡护及覆盖措施，共设置临时生态土袋挡墙122.8m，密目网覆盖1801.0m</w:t>
      </w:r>
      <w:r>
        <w:rPr>
          <w:color w:val="auto"/>
          <w:highlight w:val="none"/>
          <w:vertAlign w:val="superscript"/>
        </w:rPr>
        <w:t>2</w:t>
      </w:r>
      <w:r>
        <w:rPr>
          <w:color w:val="auto"/>
          <w:highlight w:val="none"/>
        </w:rPr>
        <w:t>，生态土袋装土及拆除135.1m</w:t>
      </w:r>
      <w:r>
        <w:rPr>
          <w:color w:val="auto"/>
          <w:highlight w:val="none"/>
          <w:vertAlign w:val="superscript"/>
        </w:rPr>
        <w:t>3</w:t>
      </w:r>
      <w:r>
        <w:rPr>
          <w:color w:val="auto"/>
          <w:highlight w:val="none"/>
        </w:rPr>
        <w:t>。</w:t>
      </w:r>
    </w:p>
    <w:p>
      <w:pPr>
        <w:bidi w:val="0"/>
        <w:ind w:firstLine="480" w:firstLineChars="200"/>
        <w:rPr>
          <w:rFonts w:hint="eastAsia"/>
          <w:color w:val="auto"/>
          <w:highlight w:val="none"/>
          <w:lang w:val="en-US" w:eastAsia="zh-CN"/>
        </w:rPr>
      </w:pPr>
      <w:r>
        <w:rPr>
          <w:rFonts w:hint="eastAsia"/>
          <w:color w:val="auto"/>
          <w:highlight w:val="none"/>
          <w:lang w:val="en-US" w:eastAsia="zh-CN"/>
        </w:rPr>
        <w:t>4、生态恢复措施时限及效果</w:t>
      </w:r>
    </w:p>
    <w:p>
      <w:pPr>
        <w:bidi w:val="0"/>
        <w:ind w:firstLine="480" w:firstLineChars="200"/>
        <w:rPr>
          <w:rFonts w:hint="eastAsia"/>
          <w:color w:val="auto"/>
          <w:highlight w:val="none"/>
          <w:lang w:val="en-US" w:eastAsia="zh-CN"/>
        </w:rPr>
      </w:pPr>
      <w:r>
        <w:rPr>
          <w:rFonts w:hint="eastAsia"/>
          <w:color w:val="auto"/>
          <w:highlight w:val="none"/>
          <w:lang w:val="en-US" w:eastAsia="zh-CN"/>
        </w:rPr>
        <w:t>生态恢复措施要求在每个管段施工结束后立即实施，不超过各管段竣工时间</w:t>
      </w:r>
    </w:p>
    <w:p>
      <w:pPr>
        <w:bidi w:val="0"/>
        <w:rPr>
          <w:rFonts w:hint="eastAsia"/>
          <w:color w:val="auto"/>
          <w:highlight w:val="none"/>
          <w:lang w:val="en-US" w:eastAsia="zh-CN"/>
        </w:rPr>
      </w:pPr>
      <w:r>
        <w:rPr>
          <w:rFonts w:hint="eastAsia"/>
          <w:color w:val="auto"/>
          <w:highlight w:val="none"/>
          <w:lang w:val="en-US" w:eastAsia="zh-CN"/>
        </w:rPr>
        <w:t>1年内。</w:t>
      </w:r>
    </w:p>
    <w:p>
      <w:pPr>
        <w:bidi w:val="0"/>
        <w:ind w:firstLine="480" w:firstLineChars="200"/>
        <w:rPr>
          <w:rFonts w:hint="eastAsia"/>
          <w:color w:val="auto"/>
          <w:highlight w:val="none"/>
          <w:lang w:val="en-US" w:eastAsia="zh-CN"/>
        </w:rPr>
      </w:pPr>
      <w:r>
        <w:rPr>
          <w:rFonts w:hint="eastAsia"/>
          <w:color w:val="auto"/>
          <w:highlight w:val="none"/>
          <w:lang w:val="en-US" w:eastAsia="zh-CN"/>
        </w:rPr>
        <w:t>效果要求植被恢复幼苗成活率达到95%，覆盖率达到或接近原有覆盖率，不达标者需要进行补植或加强抚育措施，直至到达预定效果。</w:t>
      </w:r>
    </w:p>
    <w:p>
      <w:pPr>
        <w:bidi w:val="0"/>
        <w:ind w:firstLine="480" w:firstLineChars="200"/>
        <w:rPr>
          <w:rFonts w:hint="default"/>
          <w:color w:val="auto"/>
          <w:highlight w:val="none"/>
          <w:lang w:val="en-US" w:eastAsia="zh-CN"/>
        </w:rPr>
      </w:pPr>
      <w:r>
        <w:rPr>
          <w:rFonts w:hint="eastAsia"/>
          <w:color w:val="auto"/>
          <w:highlight w:val="none"/>
          <w:lang w:val="en-US" w:eastAsia="zh-CN"/>
        </w:rPr>
        <w:t>生态恢复措施实施单位为施工单位，监督责任单位为元谋县水务局。</w:t>
      </w:r>
    </w:p>
    <w:p>
      <w:pPr>
        <w:pStyle w:val="4"/>
        <w:numPr>
          <w:ilvl w:val="2"/>
          <w:numId w:val="2"/>
        </w:numPr>
        <w:tabs>
          <w:tab w:val="left" w:pos="420"/>
        </w:tabs>
        <w:bidi w:val="0"/>
        <w:rPr>
          <w:rFonts w:hint="default"/>
          <w:color w:val="auto"/>
          <w:lang w:val="en-US" w:eastAsia="zh-CN"/>
        </w:rPr>
      </w:pPr>
      <w:bookmarkStart w:id="721" w:name="_Toc24113"/>
      <w:bookmarkStart w:id="722" w:name="_Toc3302"/>
      <w:bookmarkStart w:id="723" w:name="_Toc31087"/>
      <w:bookmarkStart w:id="724" w:name="_Toc26921"/>
      <w:r>
        <w:rPr>
          <w:rFonts w:hint="default"/>
          <w:color w:val="auto"/>
          <w:lang w:val="en-US" w:eastAsia="zh-CN"/>
        </w:rPr>
        <w:t>措施可行性分析</w:t>
      </w:r>
      <w:bookmarkEnd w:id="721"/>
      <w:bookmarkEnd w:id="722"/>
      <w:bookmarkEnd w:id="723"/>
      <w:bookmarkEnd w:id="724"/>
    </w:p>
    <w:p>
      <w:pPr>
        <w:bidi w:val="0"/>
        <w:ind w:firstLine="480" w:firstLineChars="200"/>
        <w:rPr>
          <w:rFonts w:hint="default"/>
          <w:color w:val="auto"/>
          <w:highlight w:val="none"/>
          <w:lang w:val="en-US" w:eastAsia="zh-CN"/>
        </w:rPr>
      </w:pPr>
      <w:r>
        <w:rPr>
          <w:rFonts w:hint="default"/>
          <w:color w:val="auto"/>
          <w:highlight w:val="none"/>
          <w:lang w:val="en-US" w:eastAsia="zh-CN"/>
        </w:rPr>
        <w:t>上述施工期及运营期生态环境保护措施易于落实，措施投资在总投资中已预留，资金有保障，采取上述措施可将本项目对生态环境的影响降至最低，措施可行。</w:t>
      </w:r>
    </w:p>
    <w:p>
      <w:pPr>
        <w:pStyle w:val="3"/>
        <w:numPr>
          <w:ilvl w:val="1"/>
          <w:numId w:val="2"/>
        </w:numPr>
        <w:tabs>
          <w:tab w:val="left" w:pos="420"/>
        </w:tabs>
        <w:bidi w:val="0"/>
        <w:rPr>
          <w:rFonts w:hint="default"/>
          <w:color w:val="auto"/>
          <w:lang w:val="en-US" w:eastAsia="zh-CN"/>
        </w:rPr>
      </w:pPr>
      <w:bookmarkStart w:id="725" w:name="_Toc18739"/>
      <w:bookmarkStart w:id="726" w:name="_Toc1782"/>
      <w:bookmarkStart w:id="727" w:name="_Toc28991"/>
      <w:bookmarkStart w:id="728" w:name="_Toc7700"/>
      <w:bookmarkStart w:id="729" w:name="_Toc15908"/>
      <w:r>
        <w:rPr>
          <w:rFonts w:hint="default"/>
          <w:color w:val="auto"/>
          <w:lang w:val="en-US" w:eastAsia="zh-CN"/>
        </w:rPr>
        <w:t>敏感区影响避让及减缓措施</w:t>
      </w:r>
      <w:bookmarkEnd w:id="725"/>
      <w:bookmarkEnd w:id="726"/>
      <w:bookmarkEnd w:id="727"/>
      <w:bookmarkEnd w:id="728"/>
      <w:bookmarkEnd w:id="729"/>
    </w:p>
    <w:p>
      <w:pPr>
        <w:pStyle w:val="4"/>
        <w:numPr>
          <w:ilvl w:val="2"/>
          <w:numId w:val="2"/>
        </w:numPr>
        <w:tabs>
          <w:tab w:val="left" w:pos="420"/>
        </w:tabs>
        <w:bidi w:val="0"/>
        <w:rPr>
          <w:rFonts w:hint="default"/>
          <w:color w:val="auto"/>
          <w:lang w:val="en-US" w:eastAsia="zh-CN"/>
        </w:rPr>
      </w:pPr>
      <w:bookmarkStart w:id="730" w:name="_Toc18826"/>
      <w:bookmarkStart w:id="731" w:name="_Toc1682"/>
      <w:bookmarkStart w:id="732" w:name="_Toc29516"/>
      <w:bookmarkStart w:id="733" w:name="_Toc902"/>
      <w:r>
        <w:rPr>
          <w:rFonts w:hint="default"/>
          <w:color w:val="auto"/>
          <w:lang w:val="en-US" w:eastAsia="zh-CN"/>
        </w:rPr>
        <w:t>涉敏感区影响减缓措施措施</w:t>
      </w:r>
      <w:bookmarkEnd w:id="730"/>
      <w:bookmarkEnd w:id="731"/>
      <w:bookmarkEnd w:id="732"/>
      <w:bookmarkEnd w:id="733"/>
    </w:p>
    <w:p>
      <w:pPr>
        <w:spacing w:line="360" w:lineRule="auto"/>
        <w:ind w:firstLine="480" w:firstLineChars="200"/>
        <w:rPr>
          <w:rFonts w:hint="default"/>
          <w:color w:val="0000FF"/>
          <w:sz w:val="24"/>
          <w:highlight w:val="none"/>
          <w:lang w:val="en-US" w:eastAsia="zh-CN"/>
        </w:rPr>
      </w:pPr>
      <w:r>
        <w:rPr>
          <w:rFonts w:hint="eastAsia"/>
          <w:color w:val="0000FF"/>
          <w:sz w:val="24"/>
          <w:highlight w:val="none"/>
          <w:lang w:val="en-US" w:eastAsia="zh-CN"/>
        </w:rPr>
        <w:t>1、工程涉及环境敏感区的减缓措施</w:t>
      </w:r>
    </w:p>
    <w:p>
      <w:pPr>
        <w:spacing w:line="360" w:lineRule="auto"/>
        <w:ind w:firstLine="480" w:firstLineChars="200"/>
        <w:rPr>
          <w:rFonts w:hint="default"/>
          <w:color w:val="0000FF"/>
          <w:sz w:val="24"/>
          <w:highlight w:val="none"/>
          <w:lang w:val="en-US" w:eastAsia="zh-CN"/>
        </w:rPr>
      </w:pPr>
      <w:r>
        <w:rPr>
          <w:rFonts w:hint="eastAsia"/>
          <w:color w:val="0000FF"/>
          <w:sz w:val="24"/>
          <w:highlight w:val="none"/>
          <w:lang w:val="en-US" w:eastAsia="zh-CN"/>
        </w:rPr>
        <w:t>项目施工涉及基本农田、公益林、元谋风景名胜区、生态保护红线区域，采取以下减缓措施：</w:t>
      </w:r>
    </w:p>
    <w:p>
      <w:pPr>
        <w:spacing w:line="360" w:lineRule="auto"/>
        <w:ind w:firstLine="480" w:firstLineChars="200"/>
        <w:rPr>
          <w:rFonts w:hint="eastAsia"/>
          <w:color w:val="0000FF"/>
          <w:sz w:val="24"/>
          <w:highlight w:val="none"/>
          <w:lang w:val="en-US" w:eastAsia="zh-CN"/>
        </w:rPr>
      </w:pPr>
      <w:r>
        <w:rPr>
          <w:rFonts w:hint="eastAsia"/>
          <w:color w:val="0000FF"/>
          <w:sz w:val="24"/>
          <w:highlight w:val="none"/>
          <w:lang w:val="en-US" w:eastAsia="zh-CN"/>
        </w:rPr>
        <w:t>（1）下阶段进一步优化施工布置，尽量减少施工占地，施工临时占地尽量避让自然保护区等环境敏感区。</w:t>
      </w:r>
    </w:p>
    <w:p>
      <w:pPr>
        <w:spacing w:line="360" w:lineRule="auto"/>
        <w:ind w:firstLine="480" w:firstLineChars="200"/>
        <w:rPr>
          <w:rFonts w:hint="eastAsia"/>
          <w:color w:val="0000FF"/>
          <w:sz w:val="24"/>
          <w:highlight w:val="none"/>
          <w:lang w:val="en-US" w:eastAsia="zh-CN"/>
        </w:rPr>
      </w:pPr>
      <w:r>
        <w:rPr>
          <w:rFonts w:hint="eastAsia"/>
          <w:color w:val="0000FF"/>
          <w:sz w:val="24"/>
          <w:highlight w:val="none"/>
          <w:lang w:val="en-US" w:eastAsia="zh-CN"/>
        </w:rPr>
        <w:t>（2）工程占地涉及的敏感区需征得保护区主管部门的行政许可决定方可开工建设，施工过程中严格控制在所批准的范围内进行工程施工活动。</w:t>
      </w:r>
    </w:p>
    <w:p>
      <w:pPr>
        <w:spacing w:line="360" w:lineRule="auto"/>
        <w:ind w:firstLine="480" w:firstLineChars="200"/>
        <w:rPr>
          <w:rFonts w:hint="eastAsia"/>
          <w:color w:val="0000FF"/>
          <w:sz w:val="24"/>
          <w:highlight w:val="none"/>
          <w:lang w:val="en-US" w:eastAsia="zh-CN"/>
        </w:rPr>
      </w:pPr>
      <w:r>
        <w:rPr>
          <w:rFonts w:hint="eastAsia"/>
          <w:color w:val="0000FF"/>
          <w:sz w:val="24"/>
          <w:highlight w:val="none"/>
          <w:lang w:val="en-US" w:eastAsia="zh-CN"/>
        </w:rPr>
        <w:t>（3）加强施工管理，严格控制施工范围；</w:t>
      </w:r>
    </w:p>
    <w:p>
      <w:pPr>
        <w:spacing w:line="360" w:lineRule="auto"/>
        <w:ind w:firstLine="480" w:firstLineChars="200"/>
        <w:rPr>
          <w:rFonts w:hint="eastAsia"/>
          <w:color w:val="0000FF"/>
          <w:sz w:val="24"/>
          <w:highlight w:val="none"/>
          <w:lang w:val="en-US" w:eastAsia="zh-CN"/>
        </w:rPr>
      </w:pPr>
      <w:r>
        <w:rPr>
          <w:rFonts w:hint="eastAsia"/>
          <w:color w:val="0000FF"/>
          <w:sz w:val="24"/>
          <w:highlight w:val="none"/>
          <w:lang w:val="en-US" w:eastAsia="zh-CN"/>
        </w:rPr>
        <w:t>（4）加强施工期环保教育，严禁工作人员进行电鱼、毒鱼、捕猎等非法行为。施工时不得随意砍伐保护区内的树木，工程竣工后，及时清理场地，及时恢复植被。</w:t>
      </w:r>
    </w:p>
    <w:p>
      <w:pPr>
        <w:spacing w:line="360" w:lineRule="auto"/>
        <w:ind w:firstLine="480" w:firstLineChars="200"/>
        <w:rPr>
          <w:rFonts w:hint="eastAsia"/>
          <w:color w:val="0000FF"/>
          <w:sz w:val="24"/>
          <w:highlight w:val="none"/>
          <w:lang w:val="en-US" w:eastAsia="zh-CN"/>
        </w:rPr>
      </w:pPr>
      <w:r>
        <w:rPr>
          <w:rFonts w:hint="eastAsia"/>
          <w:color w:val="0000FF"/>
          <w:sz w:val="24"/>
          <w:highlight w:val="none"/>
          <w:lang w:val="en-US" w:eastAsia="zh-CN"/>
        </w:rPr>
        <w:t>（5）工程管理机构中应设专职环境保护部门，制定涉及保护区区域的管理计划，加强对这些区域的有效管理；</w:t>
      </w:r>
    </w:p>
    <w:p>
      <w:pPr>
        <w:spacing w:line="360" w:lineRule="auto"/>
        <w:ind w:firstLine="480" w:firstLineChars="200"/>
        <w:rPr>
          <w:rFonts w:hint="eastAsia"/>
          <w:color w:val="0000FF"/>
          <w:sz w:val="24"/>
          <w:highlight w:val="none"/>
          <w:lang w:val="en-US" w:eastAsia="zh-CN"/>
        </w:rPr>
      </w:pPr>
      <w:r>
        <w:rPr>
          <w:rFonts w:hint="eastAsia"/>
          <w:color w:val="0000FF"/>
          <w:sz w:val="24"/>
          <w:highlight w:val="none"/>
          <w:lang w:val="en-US" w:eastAsia="zh-CN"/>
        </w:rPr>
        <w:t>（6）施工结束后，及时对涉及保护区的施工临时占地进行生态恢复。</w:t>
      </w:r>
    </w:p>
    <w:p>
      <w:pPr>
        <w:pStyle w:val="4"/>
        <w:numPr>
          <w:ilvl w:val="2"/>
          <w:numId w:val="2"/>
        </w:numPr>
        <w:tabs>
          <w:tab w:val="left" w:pos="420"/>
        </w:tabs>
        <w:bidi w:val="0"/>
        <w:rPr>
          <w:rFonts w:hint="eastAsia"/>
          <w:color w:val="auto"/>
          <w:lang w:val="en-US" w:eastAsia="zh-CN"/>
        </w:rPr>
      </w:pPr>
      <w:bookmarkStart w:id="734" w:name="_Toc4012"/>
      <w:r>
        <w:rPr>
          <w:rFonts w:hint="eastAsia"/>
          <w:color w:val="auto"/>
          <w:lang w:val="en-US" w:eastAsia="zh-CN"/>
        </w:rPr>
        <w:t xml:space="preserve"> </w:t>
      </w:r>
      <w:bookmarkStart w:id="735" w:name="_Toc29689"/>
      <w:bookmarkStart w:id="736" w:name="_Toc4869"/>
      <w:bookmarkStart w:id="737" w:name="_Toc27470"/>
      <w:r>
        <w:rPr>
          <w:rFonts w:hint="eastAsia"/>
          <w:color w:val="auto"/>
          <w:lang w:val="en-US" w:eastAsia="zh-CN"/>
        </w:rPr>
        <w:t>涉敏感区的工程避让措施</w:t>
      </w:r>
      <w:bookmarkEnd w:id="734"/>
      <w:bookmarkEnd w:id="735"/>
      <w:bookmarkEnd w:id="736"/>
      <w:bookmarkEnd w:id="737"/>
    </w:p>
    <w:p>
      <w:pPr>
        <w:spacing w:line="360" w:lineRule="auto"/>
        <w:ind w:firstLine="480" w:firstLineChars="200"/>
        <w:rPr>
          <w:rFonts w:hint="default" w:eastAsia="宋体"/>
          <w:color w:val="0000FF"/>
          <w:sz w:val="24"/>
          <w:highlight w:val="none"/>
          <w:lang w:val="en-US" w:eastAsia="zh-CN"/>
        </w:rPr>
      </w:pPr>
      <w:r>
        <w:rPr>
          <w:rFonts w:hint="eastAsia"/>
          <w:color w:val="0000FF"/>
          <w:sz w:val="24"/>
          <w:highlight w:val="none"/>
          <w:lang w:val="en-US" w:eastAsia="zh-CN"/>
        </w:rPr>
        <w:t>项目施工靠近基本农田、公益林、元谋风景名胜区、生态保护红线区域边界时，应在工程位于距离敏感区</w:t>
      </w:r>
      <w:r>
        <w:rPr>
          <w:rFonts w:hint="eastAsia"/>
          <w:color w:val="0000FF"/>
          <w:sz w:val="24"/>
          <w:highlight w:val="none"/>
        </w:rPr>
        <w:t>较近区域严格控制作业范围</w:t>
      </w:r>
      <w:r>
        <w:rPr>
          <w:rFonts w:hint="eastAsia"/>
          <w:color w:val="0000FF"/>
          <w:sz w:val="24"/>
          <w:highlight w:val="none"/>
          <w:lang w:val="en-US" w:eastAsia="zh-CN"/>
        </w:rPr>
        <w:t>并</w:t>
      </w:r>
      <w:r>
        <w:rPr>
          <w:rFonts w:hint="eastAsia"/>
          <w:color w:val="0000FF"/>
          <w:sz w:val="24"/>
          <w:highlight w:val="none"/>
        </w:rPr>
        <w:t>设置警示牌和宣传幅，禁止施工人员跨越作业带进入生态敏感区内</w:t>
      </w:r>
      <w:r>
        <w:rPr>
          <w:rFonts w:hint="eastAsia"/>
          <w:color w:val="0000FF"/>
          <w:sz w:val="24"/>
          <w:highlight w:val="none"/>
          <w:lang w:val="en-US" w:eastAsia="zh-CN"/>
        </w:rPr>
        <w:t>。</w:t>
      </w:r>
    </w:p>
    <w:p>
      <w:pPr>
        <w:pStyle w:val="4"/>
        <w:numPr>
          <w:ilvl w:val="2"/>
          <w:numId w:val="2"/>
        </w:numPr>
        <w:tabs>
          <w:tab w:val="left" w:pos="420"/>
        </w:tabs>
        <w:bidi w:val="0"/>
        <w:rPr>
          <w:rFonts w:hint="eastAsia"/>
          <w:color w:val="auto"/>
          <w:lang w:val="en-US" w:eastAsia="zh-CN"/>
        </w:rPr>
      </w:pPr>
      <w:bookmarkStart w:id="738" w:name="_Toc17207"/>
      <w:bookmarkStart w:id="739" w:name="_Toc16036"/>
      <w:bookmarkStart w:id="740" w:name="_Toc5450"/>
      <w:bookmarkStart w:id="741" w:name="_Toc3526"/>
      <w:r>
        <w:rPr>
          <w:rFonts w:hint="eastAsia"/>
          <w:color w:val="auto"/>
          <w:lang w:val="en-US" w:eastAsia="zh-CN"/>
        </w:rPr>
        <w:t>加强施工期间人员管理</w:t>
      </w:r>
      <w:bookmarkEnd w:id="738"/>
      <w:bookmarkEnd w:id="739"/>
      <w:bookmarkEnd w:id="740"/>
      <w:bookmarkEnd w:id="741"/>
    </w:p>
    <w:p>
      <w:pPr>
        <w:bidi w:val="0"/>
        <w:ind w:firstLine="480" w:firstLineChars="200"/>
        <w:jc w:val="left"/>
        <w:rPr>
          <w:rFonts w:hint="eastAsia"/>
          <w:color w:val="auto"/>
          <w:highlight w:val="none"/>
          <w:lang w:val="en-US" w:eastAsia="zh-CN"/>
        </w:rPr>
      </w:pPr>
      <w:r>
        <w:rPr>
          <w:rFonts w:hint="eastAsia"/>
          <w:color w:val="auto"/>
          <w:highlight w:val="none"/>
          <w:lang w:val="en-US" w:eastAsia="zh-CN"/>
        </w:rPr>
        <w:t>1、加强对施工人员的宣传教育。施工单位应加强对施工人员的生态保护教育、法律法规的学习和培训，让施工人员了解保护区的范围、保护对象、保护区的有关管理规定，保护法律法规及环境污染控制等。施工单位应制作保护生态、环境和野生动植物的宣传牌、警示牌，并安置在施工区域的显眼位置。</w:t>
      </w:r>
    </w:p>
    <w:p>
      <w:pPr>
        <w:bidi w:val="0"/>
        <w:ind w:firstLine="480" w:firstLineChars="200"/>
        <w:rPr>
          <w:rFonts w:hint="eastAsia"/>
          <w:color w:val="auto"/>
          <w:highlight w:val="none"/>
          <w:lang w:val="en-US" w:eastAsia="zh-CN"/>
        </w:rPr>
      </w:pPr>
      <w:r>
        <w:rPr>
          <w:rFonts w:hint="eastAsia"/>
          <w:color w:val="auto"/>
          <w:highlight w:val="none"/>
          <w:lang w:val="en-US" w:eastAsia="zh-CN"/>
        </w:rPr>
        <w:t>2、施工单位应加强施工管理，做到文明施工。严禁盗猎动物；严格控制野外用火，防止火灾发生；严禁随意砍伐林木和采挖植物；施工期间保护区管理部门应派专职人员进驻施工现场，加强巡护和监督。</w:t>
      </w:r>
    </w:p>
    <w:p>
      <w:pPr>
        <w:bidi w:val="0"/>
        <w:ind w:firstLine="480" w:firstLineChars="200"/>
        <w:rPr>
          <w:rFonts w:hint="eastAsia"/>
          <w:color w:val="auto"/>
          <w:highlight w:val="none"/>
          <w:lang w:val="en-US" w:eastAsia="zh-CN"/>
        </w:rPr>
      </w:pPr>
      <w:r>
        <w:rPr>
          <w:rFonts w:hint="eastAsia"/>
          <w:color w:val="auto"/>
          <w:highlight w:val="none"/>
          <w:lang w:val="en-US" w:eastAsia="zh-CN"/>
        </w:rPr>
        <w:t>3、施工单位应合理安排施工期，尽量避免在动物繁殖高峰期（4-6月）施工作业，尽量降低施工期间产生的噪声。</w:t>
      </w:r>
    </w:p>
    <w:p>
      <w:pPr>
        <w:pStyle w:val="3"/>
        <w:numPr>
          <w:ilvl w:val="1"/>
          <w:numId w:val="2"/>
        </w:numPr>
        <w:tabs>
          <w:tab w:val="left" w:pos="420"/>
        </w:tabs>
        <w:bidi w:val="0"/>
        <w:rPr>
          <w:color w:val="auto"/>
        </w:rPr>
      </w:pPr>
      <w:bookmarkStart w:id="742" w:name="bookmark74"/>
      <w:bookmarkEnd w:id="742"/>
      <w:bookmarkStart w:id="743" w:name="_Toc8519"/>
      <w:bookmarkStart w:id="744" w:name="_Toc25392"/>
      <w:bookmarkStart w:id="745" w:name="_Toc28063"/>
      <w:bookmarkStart w:id="746" w:name="_Toc15933"/>
      <w:bookmarkStart w:id="747" w:name="_Toc20836"/>
      <w:r>
        <w:rPr>
          <w:color w:val="auto"/>
        </w:rPr>
        <w:t>大气污染防治措施及可行性</w:t>
      </w:r>
      <w:bookmarkEnd w:id="743"/>
      <w:bookmarkEnd w:id="744"/>
      <w:bookmarkEnd w:id="745"/>
      <w:bookmarkEnd w:id="746"/>
      <w:bookmarkEnd w:id="747"/>
    </w:p>
    <w:p>
      <w:pPr>
        <w:pStyle w:val="4"/>
        <w:numPr>
          <w:ilvl w:val="2"/>
          <w:numId w:val="2"/>
        </w:numPr>
        <w:tabs>
          <w:tab w:val="left" w:pos="420"/>
        </w:tabs>
        <w:bidi w:val="0"/>
        <w:rPr>
          <w:rFonts w:hint="eastAsia"/>
          <w:color w:val="auto"/>
          <w:lang w:val="en-US" w:eastAsia="zh-CN"/>
        </w:rPr>
      </w:pPr>
      <w:r>
        <w:rPr>
          <w:rFonts w:hint="eastAsia"/>
          <w:color w:val="auto"/>
          <w:lang w:val="en-US" w:eastAsia="zh-CN"/>
        </w:rPr>
        <w:t>施工期</w:t>
      </w:r>
    </w:p>
    <w:p>
      <w:pPr>
        <w:keepNext w:val="0"/>
        <w:keepLines w:val="0"/>
        <w:pageBreakBefore w:val="0"/>
        <w:widowControl w:val="0"/>
        <w:numPr>
          <w:ilvl w:val="0"/>
          <w:numId w:val="0"/>
        </w:numPr>
        <w:tabs>
          <w:tab w:val="left" w:pos="0"/>
          <w:tab w:val="left" w:pos="420"/>
        </w:tabs>
        <w:kinsoku/>
        <w:wordWrap/>
        <w:overflowPunct/>
        <w:topLinePunct w:val="0"/>
        <w:autoSpaceDE/>
        <w:autoSpaceDN/>
        <w:bidi w:val="0"/>
        <w:adjustRightInd/>
        <w:snapToGrid w:val="0"/>
        <w:ind w:leftChars="200"/>
        <w:textAlignment w:val="auto"/>
        <w:outlineLvl w:val="9"/>
        <w:rPr>
          <w:b/>
          <w:bCs/>
          <w:color w:val="auto"/>
        </w:rPr>
      </w:pPr>
      <w:bookmarkStart w:id="748" w:name="_Toc25016"/>
      <w:bookmarkStart w:id="749" w:name="_Toc14751"/>
      <w:bookmarkStart w:id="750" w:name="_Toc27187"/>
      <w:bookmarkStart w:id="751" w:name="_Toc21267"/>
      <w:r>
        <w:rPr>
          <w:rFonts w:hint="eastAsia"/>
          <w:b/>
          <w:bCs/>
          <w:color w:val="auto"/>
          <w:lang w:val="en-US" w:eastAsia="zh-CN"/>
        </w:rPr>
        <w:t>1、</w:t>
      </w:r>
      <w:r>
        <w:rPr>
          <w:b/>
          <w:bCs/>
          <w:color w:val="auto"/>
        </w:rPr>
        <w:t>施工扬尘废气治理措施</w:t>
      </w:r>
      <w:bookmarkEnd w:id="748"/>
      <w:bookmarkEnd w:id="749"/>
      <w:bookmarkEnd w:id="750"/>
      <w:bookmarkEnd w:id="751"/>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color w:val="auto"/>
          <w:highlight w:val="none"/>
        </w:rPr>
      </w:pPr>
      <w:r>
        <w:rPr>
          <w:color w:val="auto"/>
          <w:highlight w:val="none"/>
        </w:rPr>
        <w:t>（1）配置洒水车在非雨日进行洒水降尘，每日洒水2次；可起到防止粉尘扬起和加速粉尘沉降的作用，以缩小粉尘影响的时间与范围；</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color w:val="auto"/>
          <w:highlight w:val="none"/>
        </w:rPr>
      </w:pPr>
      <w:r>
        <w:rPr>
          <w:color w:val="auto"/>
          <w:highlight w:val="none"/>
        </w:rPr>
        <w:t>（2）工地内车行道路应当采取硬化等降尘措施，裸露地面铺设礁渣、细石或其他功能相当的材料，或者采取覆盖防尘布、抑尘网等措施；</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color w:val="auto"/>
          <w:highlight w:val="none"/>
        </w:rPr>
      </w:pPr>
      <w:r>
        <w:rPr>
          <w:color w:val="auto"/>
          <w:highlight w:val="none"/>
        </w:rPr>
        <w:t>（3）易洒落物料在装卸、使用、运输、转运和临时存放等全过程中，必须采取蓬盖密闭等措施；</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rFonts w:hint="eastAsia" w:eastAsia="宋体"/>
          <w:color w:val="auto"/>
          <w:highlight w:val="none"/>
          <w:lang w:eastAsia="zh-CN"/>
        </w:rPr>
      </w:pPr>
      <w:r>
        <w:rPr>
          <w:color w:val="auto"/>
          <w:highlight w:val="none"/>
        </w:rPr>
        <w:t>（4）途经居民区的管段施工采用围挡施工</w:t>
      </w:r>
      <w:r>
        <w:rPr>
          <w:rFonts w:hint="eastAsia"/>
          <w:color w:val="auto"/>
          <w:highlight w:val="none"/>
          <w:lang w:eastAsia="zh-CN"/>
        </w:rPr>
        <w:t>；</w:t>
      </w:r>
    </w:p>
    <w:p>
      <w:pPr>
        <w:keepNext w:val="0"/>
        <w:keepLines w:val="0"/>
        <w:pageBreakBefore w:val="0"/>
        <w:widowControl w:val="0"/>
        <w:numPr>
          <w:ilvl w:val="0"/>
          <w:numId w:val="0"/>
        </w:numPr>
        <w:tabs>
          <w:tab w:val="left" w:pos="0"/>
        </w:tabs>
        <w:kinsoku/>
        <w:wordWrap/>
        <w:overflowPunct/>
        <w:topLinePunct w:val="0"/>
        <w:autoSpaceDE/>
        <w:autoSpaceDN/>
        <w:bidi w:val="0"/>
        <w:adjustRightInd/>
        <w:snapToGrid w:val="0"/>
        <w:ind w:firstLine="482" w:firstLineChars="200"/>
        <w:textAlignment w:val="auto"/>
        <w:outlineLvl w:val="9"/>
        <w:rPr>
          <w:b/>
          <w:bCs/>
          <w:color w:val="auto"/>
        </w:rPr>
      </w:pPr>
      <w:bookmarkStart w:id="752" w:name="_Toc490"/>
      <w:bookmarkStart w:id="753" w:name="_Toc24953"/>
      <w:bookmarkStart w:id="754" w:name="_Toc3945"/>
      <w:bookmarkStart w:id="755" w:name="_Toc12555"/>
      <w:r>
        <w:rPr>
          <w:rFonts w:hint="eastAsia"/>
          <w:b/>
          <w:bCs/>
          <w:color w:val="auto"/>
          <w:lang w:val="en-US" w:eastAsia="zh-CN"/>
        </w:rPr>
        <w:t>2、</w:t>
      </w:r>
      <w:r>
        <w:rPr>
          <w:b/>
          <w:bCs/>
          <w:color w:val="auto"/>
        </w:rPr>
        <w:t>燃油废气的削减与控制</w:t>
      </w:r>
      <w:bookmarkEnd w:id="752"/>
      <w:bookmarkEnd w:id="753"/>
      <w:bookmarkEnd w:id="754"/>
      <w:bookmarkEnd w:id="755"/>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color w:val="auto"/>
          <w:highlight w:val="none"/>
        </w:rPr>
      </w:pPr>
      <w:r>
        <w:rPr>
          <w:color w:val="auto"/>
          <w:highlight w:val="none"/>
        </w:rPr>
        <w:t>（1）选用符合国家有关卫生标准的施工机械和运输工具，使其废气达标排放。</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color w:val="auto"/>
          <w:highlight w:val="none"/>
        </w:rPr>
      </w:pPr>
      <w:r>
        <w:rPr>
          <w:color w:val="auto"/>
          <w:highlight w:val="none"/>
        </w:rPr>
        <w:t>（2）由于施工运输车辆多为燃柴油的大型车辆，非电力驱动机械也多为柴油驱动，尾气排放量与污染物含量较高，需安装尾气净化器，保证尾气达标排放。</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color w:val="auto"/>
          <w:highlight w:val="none"/>
        </w:rPr>
      </w:pPr>
      <w:r>
        <w:rPr>
          <w:color w:val="auto"/>
          <w:highlight w:val="none"/>
        </w:rPr>
        <w:t>（3）严格执行《机动车强制报废标准规定》（商务部、发改委、公安部、环境保护部令2012年第12号），不得使用达到报废标准的车辆；使用车辆要达到规定的排放标准。</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color w:val="auto"/>
          <w:highlight w:val="none"/>
        </w:rPr>
      </w:pPr>
      <w:r>
        <w:rPr>
          <w:color w:val="auto"/>
          <w:highlight w:val="none"/>
        </w:rPr>
        <w:t>（</w:t>
      </w:r>
      <w:r>
        <w:rPr>
          <w:rFonts w:hint="eastAsia"/>
          <w:color w:val="auto"/>
          <w:highlight w:val="none"/>
          <w:lang w:val="en-US" w:eastAsia="zh-CN"/>
        </w:rPr>
        <w:t>4</w:t>
      </w:r>
      <w:r>
        <w:rPr>
          <w:color w:val="auto"/>
          <w:highlight w:val="none"/>
        </w:rPr>
        <w:t>）交通扬尘削减与控制</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color w:val="auto"/>
          <w:highlight w:val="none"/>
        </w:rPr>
      </w:pPr>
      <w:r>
        <w:rPr>
          <w:color w:val="auto"/>
          <w:highlight w:val="none"/>
        </w:rPr>
        <w:t>①成立公路养护、维修、清扫专业队伍，及时清除路面洒落物体和浮土，保持道路清洁、运行状态良好；</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color w:val="auto"/>
          <w:highlight w:val="none"/>
        </w:rPr>
      </w:pPr>
      <w:r>
        <w:rPr>
          <w:color w:val="auto"/>
          <w:highlight w:val="none"/>
        </w:rPr>
        <w:t>②严禁车辆超载，遮盖运输；</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rFonts w:hint="eastAsia"/>
          <w:color w:val="auto"/>
          <w:highlight w:val="none"/>
          <w:lang w:eastAsia="zh-CN"/>
        </w:rPr>
      </w:pPr>
      <w:r>
        <w:rPr>
          <w:color w:val="auto"/>
          <w:highlight w:val="none"/>
        </w:rPr>
        <w:t>③配置洒水车在无雨日进行洒水降尘，每天洒水次数应不低于2次</w:t>
      </w:r>
      <w:r>
        <w:rPr>
          <w:rFonts w:hint="eastAsia"/>
          <w:color w:val="auto"/>
          <w:highlight w:val="none"/>
          <w:lang w:eastAsia="zh-CN"/>
        </w:rPr>
        <w:t>；</w:t>
      </w:r>
    </w:p>
    <w:p>
      <w:pPr>
        <w:keepNext w:val="0"/>
        <w:keepLines w:val="0"/>
        <w:pageBreakBefore w:val="0"/>
        <w:widowControl w:val="0"/>
        <w:numPr>
          <w:ilvl w:val="0"/>
          <w:numId w:val="0"/>
        </w:numPr>
        <w:tabs>
          <w:tab w:val="left" w:pos="0"/>
          <w:tab w:val="left" w:pos="420"/>
        </w:tabs>
        <w:kinsoku/>
        <w:wordWrap/>
        <w:overflowPunct/>
        <w:topLinePunct w:val="0"/>
        <w:autoSpaceDE/>
        <w:autoSpaceDN/>
        <w:bidi w:val="0"/>
        <w:adjustRightInd/>
        <w:snapToGrid w:val="0"/>
        <w:ind w:leftChars="200"/>
        <w:textAlignment w:val="auto"/>
        <w:outlineLvl w:val="9"/>
        <w:rPr>
          <w:rFonts w:hint="eastAsia"/>
          <w:b/>
          <w:bCs/>
          <w:color w:val="auto"/>
          <w:lang w:val="en-US" w:eastAsia="zh-CN"/>
        </w:rPr>
      </w:pPr>
      <w:bookmarkStart w:id="756" w:name="_Toc4397"/>
      <w:bookmarkStart w:id="757" w:name="_Toc4026"/>
      <w:bookmarkStart w:id="758" w:name="_Toc6683"/>
      <w:bookmarkStart w:id="759" w:name="_Toc23518"/>
      <w:r>
        <w:rPr>
          <w:rFonts w:hint="eastAsia"/>
          <w:b/>
          <w:bCs/>
          <w:color w:val="auto"/>
          <w:lang w:val="en-US" w:eastAsia="zh-CN"/>
        </w:rPr>
        <w:t>3、措施可行性</w:t>
      </w:r>
      <w:bookmarkEnd w:id="756"/>
      <w:bookmarkEnd w:id="757"/>
      <w:bookmarkEnd w:id="758"/>
      <w:bookmarkEnd w:id="759"/>
    </w:p>
    <w:p>
      <w:pPr>
        <w:keepNext w:val="0"/>
        <w:keepLines w:val="0"/>
        <w:pageBreakBefore w:val="0"/>
        <w:widowControl w:val="0"/>
        <w:kinsoku/>
        <w:wordWrap/>
        <w:overflowPunct/>
        <w:topLinePunct w:val="0"/>
        <w:autoSpaceDE/>
        <w:autoSpaceDN/>
        <w:bidi w:val="0"/>
        <w:adjustRightInd/>
        <w:snapToGrid w:val="0"/>
        <w:ind w:firstLine="480" w:firstLineChars="200"/>
        <w:textAlignment w:val="auto"/>
        <w:outlineLvl w:val="9"/>
        <w:rPr>
          <w:rFonts w:hint="eastAsia"/>
          <w:color w:val="auto"/>
          <w:highlight w:val="none"/>
          <w:lang w:val="en-US" w:eastAsia="zh-CN"/>
        </w:rPr>
      </w:pPr>
      <w:r>
        <w:rPr>
          <w:rFonts w:hint="eastAsia"/>
          <w:color w:val="auto"/>
          <w:highlight w:val="none"/>
          <w:lang w:val="en-US" w:eastAsia="zh-CN"/>
        </w:rPr>
        <w:t>上述大气污染治理措施主要针对施工粉尘，降尘措施易于实施，投资小，管理方便，是这对施工扬尘污染的可行措施。</w:t>
      </w:r>
    </w:p>
    <w:p>
      <w:pPr>
        <w:pStyle w:val="4"/>
        <w:numPr>
          <w:ilvl w:val="2"/>
          <w:numId w:val="2"/>
        </w:numPr>
        <w:tabs>
          <w:tab w:val="left" w:pos="420"/>
        </w:tabs>
        <w:bidi w:val="0"/>
        <w:rPr>
          <w:rFonts w:hint="eastAsia"/>
          <w:color w:val="auto"/>
          <w:lang w:val="en-US" w:eastAsia="zh-CN"/>
        </w:rPr>
      </w:pPr>
      <w:r>
        <w:rPr>
          <w:rFonts w:hint="eastAsia"/>
          <w:color w:val="auto"/>
          <w:lang w:val="en-US" w:eastAsia="zh-CN"/>
        </w:rPr>
        <w:t>运营期</w:t>
      </w:r>
    </w:p>
    <w:p>
      <w:pPr>
        <w:bidi w:val="0"/>
        <w:rPr>
          <w:color w:val="auto"/>
          <w:highlight w:val="none"/>
        </w:rPr>
      </w:pPr>
      <w:r>
        <w:rPr>
          <w:rFonts w:hint="default"/>
          <w:color w:val="0000FF"/>
          <w:lang w:eastAsia="zh-CN"/>
        </w:rPr>
        <w:t>油烟产生速率为</w:t>
      </w:r>
      <w:r>
        <w:rPr>
          <w:rFonts w:hint="eastAsia"/>
          <w:color w:val="0000FF"/>
          <w:lang w:val="en-US" w:eastAsia="zh-CN"/>
        </w:rPr>
        <w:t>0.0011</w:t>
      </w:r>
      <w:r>
        <w:rPr>
          <w:rFonts w:hint="default"/>
          <w:color w:val="0000FF"/>
          <w:lang w:eastAsia="zh-CN"/>
        </w:rPr>
        <w:t>kg/h，产生浓度为</w:t>
      </w:r>
      <w:r>
        <w:rPr>
          <w:rFonts w:hint="eastAsia"/>
          <w:color w:val="0000FF"/>
          <w:lang w:val="en-US" w:eastAsia="zh-CN"/>
        </w:rPr>
        <w:t>0.275</w:t>
      </w:r>
      <w:r>
        <w:rPr>
          <w:rFonts w:hint="default"/>
          <w:color w:val="0000FF"/>
          <w:lang w:eastAsia="zh-CN"/>
        </w:rPr>
        <w:t>mg/m</w:t>
      </w:r>
      <w:r>
        <w:rPr>
          <w:rFonts w:hint="default"/>
          <w:color w:val="0000FF"/>
          <w:vertAlign w:val="superscript"/>
          <w:lang w:eastAsia="zh-CN"/>
        </w:rPr>
        <w:t>3</w:t>
      </w:r>
      <w:r>
        <w:rPr>
          <w:rFonts w:hint="default"/>
          <w:color w:val="0000FF"/>
          <w:lang w:eastAsia="zh-CN"/>
        </w:rPr>
        <w:t>（风量为</w:t>
      </w:r>
      <w:r>
        <w:rPr>
          <w:rFonts w:hint="eastAsia"/>
          <w:color w:val="0000FF"/>
          <w:lang w:val="en-US" w:eastAsia="zh-CN"/>
        </w:rPr>
        <w:t>4</w:t>
      </w:r>
      <w:r>
        <w:rPr>
          <w:rFonts w:hint="default"/>
          <w:color w:val="0000FF"/>
          <w:lang w:eastAsia="zh-CN"/>
        </w:rPr>
        <w:t>000m</w:t>
      </w:r>
      <w:r>
        <w:rPr>
          <w:rFonts w:hint="default"/>
          <w:color w:val="0000FF"/>
          <w:vertAlign w:val="superscript"/>
          <w:lang w:eastAsia="zh-CN"/>
        </w:rPr>
        <w:t>3</w:t>
      </w:r>
      <w:r>
        <w:rPr>
          <w:rFonts w:hint="default"/>
          <w:color w:val="0000FF"/>
          <w:lang w:eastAsia="zh-CN"/>
        </w:rPr>
        <w:t>/h）。本项目运营期食堂拟采用抽油烟机处理，处理效率为40%，油烟排放量约为0.000</w:t>
      </w:r>
      <w:r>
        <w:rPr>
          <w:rFonts w:hint="eastAsia"/>
          <w:color w:val="0000FF"/>
          <w:lang w:val="en-US" w:eastAsia="zh-CN"/>
        </w:rPr>
        <w:t>7</w:t>
      </w:r>
      <w:r>
        <w:rPr>
          <w:rFonts w:hint="default"/>
          <w:color w:val="0000FF"/>
          <w:lang w:eastAsia="zh-CN"/>
        </w:rPr>
        <w:t>kg/h，食堂油烟排放浓度约为0.</w:t>
      </w:r>
      <w:r>
        <w:rPr>
          <w:rFonts w:hint="eastAsia"/>
          <w:color w:val="0000FF"/>
          <w:lang w:val="en-US" w:eastAsia="zh-CN"/>
        </w:rPr>
        <w:t>165</w:t>
      </w:r>
      <w:r>
        <w:rPr>
          <w:rFonts w:hint="default"/>
          <w:color w:val="0000FF"/>
          <w:lang w:eastAsia="zh-CN"/>
        </w:rPr>
        <w:t>mg/m</w:t>
      </w:r>
      <w:r>
        <w:rPr>
          <w:rFonts w:hint="default"/>
          <w:color w:val="0000FF"/>
          <w:vertAlign w:val="superscript"/>
          <w:lang w:eastAsia="zh-CN"/>
        </w:rPr>
        <w:t>3</w:t>
      </w:r>
      <w:r>
        <w:rPr>
          <w:rFonts w:hint="default"/>
          <w:color w:val="0000FF"/>
          <w:lang w:eastAsia="zh-CN"/>
        </w:rPr>
        <w:t>。</w:t>
      </w:r>
    </w:p>
    <w:p>
      <w:pPr>
        <w:pStyle w:val="3"/>
        <w:numPr>
          <w:ilvl w:val="1"/>
          <w:numId w:val="2"/>
        </w:numPr>
        <w:tabs>
          <w:tab w:val="left" w:pos="420"/>
        </w:tabs>
        <w:bidi w:val="0"/>
        <w:rPr>
          <w:rFonts w:hint="eastAsia"/>
          <w:color w:val="auto"/>
          <w:lang w:val="en-US" w:eastAsia="zh-CN"/>
        </w:rPr>
      </w:pPr>
      <w:bookmarkStart w:id="760" w:name="_Toc32059"/>
      <w:r>
        <w:rPr>
          <w:rFonts w:hint="eastAsia"/>
          <w:color w:val="auto"/>
          <w:lang w:val="en-US" w:eastAsia="zh-CN"/>
        </w:rPr>
        <w:t xml:space="preserve"> </w:t>
      </w:r>
      <w:bookmarkStart w:id="761" w:name="_Toc3123"/>
      <w:bookmarkStart w:id="762" w:name="_Toc15637"/>
      <w:bookmarkStart w:id="763" w:name="_Toc24147"/>
      <w:bookmarkStart w:id="764" w:name="_Toc9376"/>
      <w:r>
        <w:rPr>
          <w:rFonts w:hint="eastAsia"/>
          <w:color w:val="auto"/>
          <w:lang w:val="en-US" w:eastAsia="zh-CN"/>
        </w:rPr>
        <w:t>噪声污染控制措施及可行性</w:t>
      </w:r>
      <w:bookmarkEnd w:id="760"/>
      <w:bookmarkEnd w:id="761"/>
      <w:bookmarkEnd w:id="762"/>
      <w:bookmarkEnd w:id="763"/>
      <w:bookmarkEnd w:id="764"/>
    </w:p>
    <w:p>
      <w:pPr>
        <w:pStyle w:val="4"/>
        <w:numPr>
          <w:ilvl w:val="2"/>
          <w:numId w:val="2"/>
        </w:numPr>
        <w:tabs>
          <w:tab w:val="left" w:pos="420"/>
        </w:tabs>
        <w:bidi w:val="0"/>
        <w:rPr>
          <w:rFonts w:hint="eastAsia"/>
          <w:color w:val="auto"/>
          <w:lang w:val="en-US" w:eastAsia="zh-CN"/>
        </w:rPr>
      </w:pPr>
      <w:bookmarkStart w:id="765" w:name="_Toc20187"/>
      <w:bookmarkStart w:id="766" w:name="_Toc6465"/>
      <w:bookmarkStart w:id="767" w:name="_Toc19329"/>
      <w:bookmarkStart w:id="768" w:name="_Toc12313"/>
      <w:r>
        <w:rPr>
          <w:rFonts w:hint="eastAsia"/>
          <w:color w:val="auto"/>
          <w:lang w:val="en-US" w:eastAsia="zh-CN"/>
        </w:rPr>
        <w:t>施工机械噪声控制</w:t>
      </w:r>
      <w:bookmarkEnd w:id="765"/>
      <w:bookmarkEnd w:id="766"/>
      <w:bookmarkEnd w:id="767"/>
      <w:bookmarkEnd w:id="768"/>
    </w:p>
    <w:p>
      <w:pPr>
        <w:bidi w:val="0"/>
        <w:ind w:firstLine="480" w:firstLineChars="200"/>
        <w:rPr>
          <w:rFonts w:hint="eastAsia"/>
          <w:color w:val="auto"/>
          <w:highlight w:val="none"/>
          <w:lang w:val="en-US" w:eastAsia="zh-CN"/>
        </w:rPr>
      </w:pPr>
      <w:r>
        <w:rPr>
          <w:rFonts w:hint="eastAsia"/>
          <w:color w:val="auto"/>
          <w:highlight w:val="none"/>
          <w:lang w:val="en-US" w:eastAsia="zh-CN"/>
        </w:rPr>
        <w:t>（1）选用低噪声设备和工艺，降低源强；</w:t>
      </w:r>
    </w:p>
    <w:p>
      <w:pPr>
        <w:bidi w:val="0"/>
        <w:ind w:firstLine="480" w:firstLineChars="200"/>
        <w:rPr>
          <w:rFonts w:hint="eastAsia"/>
          <w:color w:val="auto"/>
          <w:highlight w:val="none"/>
          <w:lang w:val="en-US" w:eastAsia="zh-CN"/>
        </w:rPr>
      </w:pPr>
      <w:r>
        <w:rPr>
          <w:rFonts w:hint="eastAsia"/>
          <w:color w:val="auto"/>
          <w:highlight w:val="none"/>
          <w:lang w:val="en-US" w:eastAsia="zh-CN"/>
        </w:rPr>
        <w:t>（2）加强设备的维护和保养，保持机械润滑，减少运行噪声；</w:t>
      </w:r>
    </w:p>
    <w:p>
      <w:pPr>
        <w:bidi w:val="0"/>
        <w:ind w:firstLine="480" w:firstLineChars="200"/>
        <w:rPr>
          <w:rFonts w:hint="eastAsia"/>
          <w:color w:val="auto"/>
          <w:highlight w:val="none"/>
          <w:lang w:val="en-US" w:eastAsia="zh-CN"/>
        </w:rPr>
      </w:pPr>
      <w:r>
        <w:rPr>
          <w:rFonts w:hint="eastAsia"/>
          <w:color w:val="auto"/>
          <w:highlight w:val="none"/>
          <w:lang w:val="en-US" w:eastAsia="zh-CN"/>
        </w:rPr>
        <w:t>（3）振动大的机械设备使用减振机座降低噪声；</w:t>
      </w:r>
    </w:p>
    <w:p>
      <w:pPr>
        <w:bidi w:val="0"/>
        <w:ind w:firstLine="480" w:firstLineChars="200"/>
        <w:rPr>
          <w:rFonts w:hint="eastAsia"/>
          <w:color w:val="auto"/>
          <w:highlight w:val="none"/>
          <w:lang w:val="en-US" w:eastAsia="zh-CN"/>
        </w:rPr>
      </w:pPr>
      <w:r>
        <w:rPr>
          <w:rFonts w:hint="eastAsia"/>
          <w:color w:val="auto"/>
          <w:highlight w:val="none"/>
          <w:lang w:val="en-US" w:eastAsia="zh-CN"/>
        </w:rPr>
        <w:t>（4）合理统筹安排施工时间，禁止夜间施工。</w:t>
      </w:r>
    </w:p>
    <w:p>
      <w:pPr>
        <w:pStyle w:val="4"/>
        <w:numPr>
          <w:ilvl w:val="2"/>
          <w:numId w:val="2"/>
        </w:numPr>
        <w:tabs>
          <w:tab w:val="left" w:pos="420"/>
        </w:tabs>
        <w:bidi w:val="0"/>
        <w:rPr>
          <w:rFonts w:hint="eastAsia"/>
          <w:color w:val="auto"/>
          <w:lang w:val="en-US" w:eastAsia="zh-CN"/>
        </w:rPr>
      </w:pPr>
      <w:bookmarkStart w:id="769" w:name="_Toc17086"/>
      <w:bookmarkStart w:id="770" w:name="_Toc5729"/>
      <w:bookmarkStart w:id="771" w:name="_Toc13446"/>
      <w:bookmarkStart w:id="772" w:name="_Toc5060"/>
      <w:r>
        <w:rPr>
          <w:rFonts w:hint="eastAsia"/>
          <w:color w:val="auto"/>
          <w:lang w:val="en-US" w:eastAsia="zh-CN"/>
        </w:rPr>
        <w:t>交通噪声控制</w:t>
      </w:r>
      <w:bookmarkEnd w:id="769"/>
      <w:bookmarkEnd w:id="770"/>
      <w:bookmarkEnd w:id="771"/>
      <w:bookmarkEnd w:id="772"/>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eastAsia"/>
          <w:color w:val="auto"/>
          <w:highlight w:val="none"/>
          <w:lang w:val="en-US" w:eastAsia="zh-CN"/>
        </w:rPr>
      </w:pPr>
      <w:r>
        <w:rPr>
          <w:rFonts w:hint="eastAsia"/>
          <w:color w:val="auto"/>
          <w:highlight w:val="none"/>
          <w:lang w:val="en-US" w:eastAsia="zh-CN"/>
        </w:rPr>
        <w:t>（1）尽量避免在夜间进行施工运输作业。</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eastAsia"/>
          <w:color w:val="auto"/>
          <w:highlight w:val="none"/>
          <w:lang w:val="en-US" w:eastAsia="zh-CN"/>
        </w:rPr>
      </w:pPr>
      <w:r>
        <w:rPr>
          <w:rFonts w:hint="eastAsia"/>
          <w:color w:val="auto"/>
          <w:highlight w:val="none"/>
          <w:lang w:val="en-US" w:eastAsia="zh-CN"/>
        </w:rPr>
        <w:t>（2）加强道路的养护和车辆的维护保养，严禁车辆超载行驶，降低噪声源。</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eastAsia"/>
          <w:color w:val="auto"/>
          <w:highlight w:val="none"/>
          <w:lang w:val="en-US" w:eastAsia="zh-CN"/>
        </w:rPr>
      </w:pPr>
      <w:r>
        <w:rPr>
          <w:rFonts w:hint="eastAsia"/>
          <w:color w:val="auto"/>
          <w:highlight w:val="none"/>
          <w:lang w:val="en-US" w:eastAsia="zh-CN"/>
        </w:rPr>
        <w:t>（3）使用的施工运输车辆必须符合《汽车定置噪声限值》（GB16170-1996）</w:t>
      </w:r>
    </w:p>
    <w:p>
      <w:pPr>
        <w:keepNext w:val="0"/>
        <w:keepLines w:val="0"/>
        <w:pageBreakBefore w:val="0"/>
        <w:widowControl w:val="0"/>
        <w:kinsoku/>
        <w:wordWrap/>
        <w:overflowPunct/>
        <w:topLinePunct w:val="0"/>
        <w:autoSpaceDE/>
        <w:autoSpaceDN/>
        <w:bidi w:val="0"/>
        <w:adjustRightInd/>
        <w:snapToGrid w:val="0"/>
        <w:textAlignment w:val="auto"/>
        <w:rPr>
          <w:rFonts w:hint="eastAsia"/>
          <w:color w:val="auto"/>
          <w:highlight w:val="none"/>
          <w:lang w:val="en-US" w:eastAsia="zh-CN"/>
        </w:rPr>
      </w:pPr>
      <w:r>
        <w:rPr>
          <w:rFonts w:hint="eastAsia"/>
          <w:color w:val="auto"/>
          <w:highlight w:val="none"/>
          <w:lang w:val="en-US" w:eastAsia="zh-CN"/>
        </w:rPr>
        <w:t>和《机动车辆允许噪声》（GB1495-79），并尽量选用低噪声车辆。</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eastAsia"/>
          <w:color w:val="auto"/>
          <w:highlight w:val="none"/>
          <w:lang w:val="en-US" w:eastAsia="zh-CN"/>
        </w:rPr>
      </w:pPr>
      <w:r>
        <w:rPr>
          <w:rFonts w:hint="eastAsia"/>
          <w:color w:val="auto"/>
          <w:highlight w:val="none"/>
          <w:lang w:val="en-US" w:eastAsia="zh-CN"/>
        </w:rPr>
        <w:t>（4）采取交通管制措施，施工区设立标志牌，限制车速（昼间小于24km/h，夜间小于11km/h），并在路牌上标明禁鸣；同时尽量避免夜间跨区位运输作业，</w:t>
      </w:r>
    </w:p>
    <w:p>
      <w:pPr>
        <w:keepNext w:val="0"/>
        <w:keepLines w:val="0"/>
        <w:pageBreakBefore w:val="0"/>
        <w:widowControl w:val="0"/>
        <w:kinsoku/>
        <w:wordWrap/>
        <w:overflowPunct/>
        <w:topLinePunct w:val="0"/>
        <w:autoSpaceDE/>
        <w:autoSpaceDN/>
        <w:bidi w:val="0"/>
        <w:adjustRightInd/>
        <w:snapToGrid w:val="0"/>
        <w:textAlignment w:val="auto"/>
        <w:rPr>
          <w:rFonts w:hint="eastAsia" w:ascii="宋体" w:hAnsi="宋体" w:eastAsia="宋体" w:cs="宋体"/>
          <w:color w:val="auto"/>
          <w:spacing w:val="-2"/>
          <w:szCs w:val="24"/>
          <w:highlight w:val="none"/>
          <w:lang w:val="en-US" w:eastAsia="zh-CN"/>
        </w:rPr>
      </w:pPr>
      <w:r>
        <w:rPr>
          <w:rFonts w:hint="eastAsia"/>
          <w:color w:val="auto"/>
          <w:highlight w:val="none"/>
          <w:lang w:val="en-US" w:eastAsia="zh-CN"/>
        </w:rPr>
        <w:t>把道路噪声影响降低到最低限度。</w:t>
      </w:r>
    </w:p>
    <w:p>
      <w:pPr>
        <w:pStyle w:val="4"/>
        <w:numPr>
          <w:ilvl w:val="2"/>
          <w:numId w:val="2"/>
        </w:numPr>
        <w:tabs>
          <w:tab w:val="left" w:pos="420"/>
        </w:tabs>
        <w:bidi w:val="0"/>
        <w:rPr>
          <w:rFonts w:hint="eastAsia"/>
          <w:color w:val="auto"/>
          <w:lang w:val="en-US" w:eastAsia="zh-CN"/>
        </w:rPr>
      </w:pPr>
      <w:bookmarkStart w:id="773" w:name="_Toc28815"/>
      <w:bookmarkStart w:id="774" w:name="_Toc5669"/>
      <w:bookmarkStart w:id="775" w:name="_Toc3486"/>
      <w:bookmarkStart w:id="776" w:name="_Toc18234"/>
      <w:r>
        <w:rPr>
          <w:rFonts w:hint="eastAsia"/>
          <w:color w:val="auto"/>
          <w:lang w:val="en-US" w:eastAsia="zh-CN"/>
        </w:rPr>
        <w:t>敏感点噪声防护措施</w:t>
      </w:r>
      <w:bookmarkEnd w:id="773"/>
      <w:bookmarkEnd w:id="774"/>
      <w:bookmarkEnd w:id="775"/>
      <w:bookmarkEnd w:id="776"/>
    </w:p>
    <w:p>
      <w:pPr>
        <w:bidi w:val="0"/>
        <w:ind w:firstLine="480" w:firstLineChars="200"/>
        <w:rPr>
          <w:rFonts w:hint="eastAsia"/>
          <w:color w:val="auto"/>
          <w:highlight w:val="none"/>
          <w:lang w:val="en-US" w:eastAsia="zh-CN"/>
        </w:rPr>
      </w:pPr>
      <w:r>
        <w:rPr>
          <w:rFonts w:hint="eastAsia"/>
          <w:color w:val="auto"/>
          <w:highlight w:val="none"/>
          <w:lang w:val="en-US" w:eastAsia="zh-CN"/>
        </w:rPr>
        <w:t>（1）施工前及时告知受影响居民，做好宣传工作，取得其理解和支持；</w:t>
      </w:r>
    </w:p>
    <w:p>
      <w:pPr>
        <w:bidi w:val="0"/>
        <w:ind w:firstLine="480" w:firstLineChars="200"/>
        <w:rPr>
          <w:rFonts w:hint="eastAsia"/>
          <w:color w:val="auto"/>
          <w:highlight w:val="none"/>
          <w:lang w:val="en-US" w:eastAsia="zh-CN"/>
        </w:rPr>
      </w:pPr>
      <w:r>
        <w:rPr>
          <w:rFonts w:hint="eastAsia"/>
          <w:color w:val="auto"/>
          <w:highlight w:val="none"/>
          <w:lang w:val="en-US" w:eastAsia="zh-CN"/>
        </w:rPr>
        <w:t>（2）合理安排施工强度，合理布置机械设备，避免在同一地点集中布置过</w:t>
      </w:r>
    </w:p>
    <w:p>
      <w:pPr>
        <w:bidi w:val="0"/>
        <w:rPr>
          <w:rFonts w:hint="eastAsia"/>
          <w:color w:val="auto"/>
          <w:highlight w:val="none"/>
          <w:lang w:val="en-US" w:eastAsia="zh-CN"/>
        </w:rPr>
      </w:pPr>
      <w:r>
        <w:rPr>
          <w:rFonts w:hint="eastAsia"/>
          <w:color w:val="auto"/>
          <w:highlight w:val="none"/>
          <w:lang w:val="en-US" w:eastAsia="zh-CN"/>
        </w:rPr>
        <w:t>多强噪声设备，高噪设备远离居民区；</w:t>
      </w:r>
    </w:p>
    <w:p>
      <w:pPr>
        <w:bidi w:val="0"/>
        <w:ind w:firstLine="480" w:firstLineChars="200"/>
        <w:rPr>
          <w:rFonts w:hint="eastAsia"/>
          <w:color w:val="auto"/>
          <w:highlight w:val="none"/>
          <w:lang w:val="en-US" w:eastAsia="zh-CN"/>
        </w:rPr>
      </w:pPr>
      <w:r>
        <w:rPr>
          <w:rFonts w:hint="eastAsia"/>
          <w:color w:val="auto"/>
          <w:highlight w:val="none"/>
          <w:lang w:val="en-US" w:eastAsia="zh-CN"/>
        </w:rPr>
        <w:t>（3）禁止夜间运输；</w:t>
      </w:r>
    </w:p>
    <w:p>
      <w:pPr>
        <w:bidi w:val="0"/>
        <w:ind w:firstLine="480" w:firstLineChars="200"/>
        <w:rPr>
          <w:rFonts w:hint="eastAsia"/>
          <w:color w:val="auto"/>
          <w:highlight w:val="none"/>
          <w:lang w:val="en-US" w:eastAsia="zh-CN"/>
        </w:rPr>
      </w:pPr>
      <w:r>
        <w:rPr>
          <w:rFonts w:hint="eastAsia"/>
          <w:color w:val="auto"/>
          <w:highlight w:val="none"/>
          <w:lang w:val="en-US" w:eastAsia="zh-CN"/>
        </w:rPr>
        <w:t>（4）严格控制施工时段，挖掘机、振捣器等机械作业时间，夜间（22:00~次日 8:00）禁止施工；</w:t>
      </w:r>
    </w:p>
    <w:p>
      <w:pPr>
        <w:bidi w:val="0"/>
        <w:ind w:firstLine="480" w:firstLineChars="200"/>
        <w:rPr>
          <w:rFonts w:hint="eastAsia"/>
          <w:color w:val="auto"/>
          <w:highlight w:val="none"/>
          <w:lang w:val="en-US" w:eastAsia="zh-CN"/>
        </w:rPr>
      </w:pPr>
      <w:r>
        <w:rPr>
          <w:rFonts w:hint="eastAsia"/>
          <w:color w:val="auto"/>
          <w:highlight w:val="none"/>
          <w:lang w:val="en-US" w:eastAsia="zh-CN"/>
        </w:rPr>
        <w:t>（5）在进入声环境敏感点工段前50m处设置限速牌，车速不得超过20km/h，</w:t>
      </w:r>
    </w:p>
    <w:p>
      <w:pPr>
        <w:bidi w:val="0"/>
        <w:rPr>
          <w:rFonts w:hint="eastAsia"/>
          <w:color w:val="auto"/>
          <w:highlight w:val="none"/>
          <w:lang w:val="en-US" w:eastAsia="zh-CN"/>
        </w:rPr>
      </w:pPr>
      <w:r>
        <w:rPr>
          <w:rFonts w:hint="eastAsia"/>
          <w:color w:val="auto"/>
          <w:highlight w:val="none"/>
          <w:lang w:val="en-US" w:eastAsia="zh-CN"/>
        </w:rPr>
        <w:t>并禁止鸣笛，以减轻交通噪声的影响；</w:t>
      </w:r>
    </w:p>
    <w:p>
      <w:pPr>
        <w:bidi w:val="0"/>
        <w:ind w:firstLine="480" w:firstLineChars="200"/>
        <w:rPr>
          <w:color w:val="auto"/>
          <w:highlight w:val="none"/>
        </w:rPr>
      </w:pPr>
      <w:r>
        <w:rPr>
          <w:color w:val="auto"/>
          <w:highlight w:val="none"/>
        </w:rPr>
        <w:t>（6）管线途经的</w:t>
      </w:r>
      <w:r>
        <w:rPr>
          <w:rFonts w:hint="eastAsia"/>
          <w:color w:val="auto"/>
          <w:highlight w:val="none"/>
        </w:rPr>
        <w:t>金马村</w:t>
      </w:r>
      <w:r>
        <w:rPr>
          <w:rFonts w:hint="eastAsia"/>
          <w:color w:val="auto"/>
          <w:highlight w:val="none"/>
          <w:lang w:eastAsia="zh-CN"/>
        </w:rPr>
        <w:t>、</w:t>
      </w:r>
      <w:r>
        <w:rPr>
          <w:rFonts w:hint="eastAsia"/>
          <w:color w:val="auto"/>
          <w:highlight w:val="none"/>
        </w:rPr>
        <w:t>阿洒姑村</w:t>
      </w:r>
      <w:r>
        <w:rPr>
          <w:rFonts w:hint="eastAsia"/>
          <w:color w:val="auto"/>
          <w:highlight w:val="none"/>
          <w:lang w:eastAsia="zh-CN"/>
        </w:rPr>
        <w:t>、华峰</w:t>
      </w:r>
      <w:r>
        <w:rPr>
          <w:rFonts w:hint="eastAsia"/>
          <w:color w:val="auto"/>
          <w:highlight w:val="none"/>
        </w:rPr>
        <w:t>村</w:t>
      </w:r>
      <w:r>
        <w:rPr>
          <w:rFonts w:hint="eastAsia"/>
          <w:color w:val="auto"/>
          <w:highlight w:val="none"/>
          <w:lang w:eastAsia="zh-CN"/>
        </w:rPr>
        <w:t>、</w:t>
      </w:r>
      <w:r>
        <w:rPr>
          <w:rFonts w:hint="eastAsia"/>
          <w:color w:val="auto"/>
          <w:highlight w:val="none"/>
        </w:rPr>
        <w:t>羊拉昔村</w:t>
      </w:r>
      <w:r>
        <w:rPr>
          <w:rFonts w:hint="eastAsia"/>
          <w:color w:val="auto"/>
          <w:highlight w:val="none"/>
          <w:lang w:eastAsia="zh-CN"/>
        </w:rPr>
        <w:t>、</w:t>
      </w:r>
      <w:r>
        <w:rPr>
          <w:rFonts w:hint="eastAsia"/>
          <w:color w:val="auto"/>
          <w:highlight w:val="none"/>
        </w:rPr>
        <w:t>姜驿乡</w:t>
      </w:r>
      <w:r>
        <w:rPr>
          <w:rFonts w:hint="eastAsia"/>
          <w:color w:val="auto"/>
          <w:highlight w:val="none"/>
          <w:lang w:eastAsia="zh-CN"/>
        </w:rPr>
        <w:t>、</w:t>
      </w:r>
      <w:r>
        <w:rPr>
          <w:rFonts w:hint="eastAsia"/>
          <w:color w:val="auto"/>
          <w:highlight w:val="none"/>
        </w:rPr>
        <w:t>红坡村</w:t>
      </w:r>
      <w:r>
        <w:rPr>
          <w:rFonts w:hint="eastAsia"/>
          <w:color w:val="auto"/>
          <w:highlight w:val="none"/>
          <w:lang w:eastAsia="zh-CN"/>
        </w:rPr>
        <w:t>、</w:t>
      </w:r>
      <w:r>
        <w:rPr>
          <w:rFonts w:hint="eastAsia"/>
          <w:color w:val="auto"/>
          <w:highlight w:val="none"/>
        </w:rPr>
        <w:t>姜驿大村</w:t>
      </w:r>
      <w:r>
        <w:rPr>
          <w:rFonts w:hint="eastAsia"/>
          <w:color w:val="auto"/>
          <w:highlight w:val="none"/>
          <w:lang w:eastAsia="zh-CN"/>
        </w:rPr>
        <w:t>、</w:t>
      </w:r>
      <w:r>
        <w:rPr>
          <w:rFonts w:hint="eastAsia"/>
          <w:color w:val="auto"/>
          <w:highlight w:val="none"/>
        </w:rPr>
        <w:t>拉黑沟村</w:t>
      </w:r>
      <w:r>
        <w:rPr>
          <w:rFonts w:hint="eastAsia"/>
          <w:color w:val="auto"/>
          <w:highlight w:val="none"/>
          <w:lang w:eastAsia="zh-CN"/>
        </w:rPr>
        <w:t>、</w:t>
      </w:r>
      <w:r>
        <w:rPr>
          <w:rFonts w:hint="eastAsia"/>
          <w:color w:val="auto"/>
          <w:highlight w:val="none"/>
        </w:rPr>
        <w:t>白秧树村</w:t>
      </w:r>
      <w:r>
        <w:rPr>
          <w:color w:val="auto"/>
          <w:highlight w:val="none"/>
        </w:rPr>
        <w:t>共</w:t>
      </w:r>
      <w:r>
        <w:rPr>
          <w:rFonts w:hint="eastAsia"/>
          <w:color w:val="auto"/>
          <w:highlight w:val="none"/>
          <w:lang w:val="en-US" w:eastAsia="zh-CN"/>
        </w:rPr>
        <w:t>9</w:t>
      </w:r>
      <w:r>
        <w:rPr>
          <w:color w:val="auto"/>
          <w:highlight w:val="none"/>
        </w:rPr>
        <w:t>个村庄采取围挡施工；</w:t>
      </w:r>
    </w:p>
    <w:p>
      <w:pPr>
        <w:bidi w:val="0"/>
        <w:ind w:firstLine="480" w:firstLineChars="200"/>
        <w:rPr>
          <w:color w:val="auto"/>
          <w:highlight w:val="none"/>
        </w:rPr>
      </w:pPr>
      <w:r>
        <w:rPr>
          <w:color w:val="auto"/>
          <w:highlight w:val="none"/>
        </w:rPr>
        <w:t>（7）在施工区外声环境保护目标处设置临时2.5m高围挡。</w:t>
      </w:r>
    </w:p>
    <w:p>
      <w:pPr>
        <w:pStyle w:val="4"/>
        <w:numPr>
          <w:ilvl w:val="2"/>
          <w:numId w:val="2"/>
        </w:numPr>
        <w:tabs>
          <w:tab w:val="left" w:pos="420"/>
        </w:tabs>
        <w:bidi w:val="0"/>
        <w:rPr>
          <w:color w:val="auto"/>
        </w:rPr>
      </w:pPr>
      <w:bookmarkStart w:id="777" w:name="_Toc2570"/>
      <w:bookmarkStart w:id="778" w:name="_Toc5193"/>
      <w:bookmarkStart w:id="779" w:name="_Toc27405"/>
      <w:bookmarkStart w:id="780" w:name="_Toc18683"/>
      <w:r>
        <w:rPr>
          <w:color w:val="auto"/>
        </w:rPr>
        <w:t>运行期泵站噪声控制</w:t>
      </w:r>
      <w:bookmarkEnd w:id="777"/>
      <w:bookmarkEnd w:id="778"/>
      <w:bookmarkEnd w:id="779"/>
      <w:bookmarkEnd w:id="780"/>
    </w:p>
    <w:p>
      <w:pPr>
        <w:bidi w:val="0"/>
        <w:ind w:firstLine="480" w:firstLineChars="200"/>
        <w:rPr>
          <w:color w:val="auto"/>
          <w:highlight w:val="none"/>
        </w:rPr>
      </w:pPr>
      <w:r>
        <w:rPr>
          <w:color w:val="auto"/>
          <w:highlight w:val="none"/>
        </w:rPr>
        <w:t>（1）应选用低噪声机械设备，同时加强施工设备的维护和保养；</w:t>
      </w:r>
    </w:p>
    <w:p>
      <w:pPr>
        <w:bidi w:val="0"/>
        <w:ind w:firstLine="480" w:firstLineChars="200"/>
        <w:rPr>
          <w:color w:val="auto"/>
          <w:highlight w:val="none"/>
        </w:rPr>
      </w:pPr>
      <w:r>
        <w:rPr>
          <w:color w:val="auto"/>
          <w:highlight w:val="none"/>
        </w:rPr>
        <w:t>（2）采用设备减振进行降噪；</w:t>
      </w:r>
    </w:p>
    <w:p>
      <w:pPr>
        <w:bidi w:val="0"/>
        <w:ind w:firstLine="480" w:firstLineChars="200"/>
        <w:rPr>
          <w:rFonts w:ascii="宋体" w:hAnsi="宋体" w:eastAsia="宋体" w:cs="宋体"/>
          <w:color w:val="auto"/>
          <w:szCs w:val="24"/>
          <w:highlight w:val="none"/>
        </w:rPr>
      </w:pPr>
      <w:r>
        <w:rPr>
          <w:color w:val="auto"/>
          <w:highlight w:val="none"/>
        </w:rPr>
        <w:t>（3）泵房位于室内，泵房采用隔声性能好的建筑材料。</w:t>
      </w:r>
    </w:p>
    <w:p>
      <w:pPr>
        <w:pStyle w:val="4"/>
        <w:numPr>
          <w:ilvl w:val="2"/>
          <w:numId w:val="2"/>
        </w:numPr>
        <w:tabs>
          <w:tab w:val="left" w:pos="420"/>
        </w:tabs>
        <w:bidi w:val="0"/>
        <w:rPr>
          <w:color w:val="auto"/>
        </w:rPr>
      </w:pPr>
      <w:bookmarkStart w:id="781" w:name="_Toc16064"/>
      <w:r>
        <w:rPr>
          <w:color w:val="auto"/>
        </w:rPr>
        <w:t xml:space="preserve"> </w:t>
      </w:r>
      <w:bookmarkStart w:id="782" w:name="_Toc14892"/>
      <w:bookmarkStart w:id="783" w:name="_Toc8384"/>
      <w:bookmarkStart w:id="784" w:name="_Toc26884"/>
      <w:r>
        <w:rPr>
          <w:color w:val="auto"/>
        </w:rPr>
        <w:t>措施可行性</w:t>
      </w:r>
      <w:bookmarkEnd w:id="781"/>
      <w:bookmarkEnd w:id="782"/>
      <w:bookmarkEnd w:id="783"/>
      <w:bookmarkEnd w:id="784"/>
    </w:p>
    <w:p>
      <w:pPr>
        <w:bidi w:val="0"/>
        <w:ind w:firstLine="480" w:firstLineChars="200"/>
        <w:rPr>
          <w:color w:val="auto"/>
          <w:highlight w:val="none"/>
        </w:rPr>
      </w:pPr>
      <w:r>
        <w:rPr>
          <w:color w:val="auto"/>
          <w:highlight w:val="none"/>
        </w:rPr>
        <w:t>上述降噪措施主易于实施，投资小，管理方便，是降低噪声影响的可行措施。</w:t>
      </w:r>
    </w:p>
    <w:p>
      <w:pPr>
        <w:pStyle w:val="3"/>
        <w:numPr>
          <w:ilvl w:val="1"/>
          <w:numId w:val="2"/>
        </w:numPr>
        <w:tabs>
          <w:tab w:val="left" w:pos="420"/>
        </w:tabs>
        <w:bidi w:val="0"/>
        <w:rPr>
          <w:color w:val="auto"/>
        </w:rPr>
      </w:pPr>
      <w:bookmarkStart w:id="785" w:name="bookmark76"/>
      <w:bookmarkEnd w:id="785"/>
      <w:bookmarkStart w:id="786" w:name="_Toc31492"/>
      <w:bookmarkStart w:id="787" w:name="_Toc23178"/>
      <w:bookmarkStart w:id="788" w:name="_Toc22367"/>
      <w:bookmarkStart w:id="789" w:name="_Toc8024"/>
      <w:bookmarkStart w:id="790" w:name="_Toc11779"/>
      <w:r>
        <w:rPr>
          <w:color w:val="auto"/>
        </w:rPr>
        <w:t>固体废弃物处理处置措施及可行性</w:t>
      </w:r>
      <w:bookmarkEnd w:id="786"/>
      <w:bookmarkEnd w:id="787"/>
      <w:bookmarkEnd w:id="788"/>
      <w:bookmarkEnd w:id="789"/>
      <w:bookmarkEnd w:id="790"/>
    </w:p>
    <w:p>
      <w:pPr>
        <w:pStyle w:val="4"/>
        <w:numPr>
          <w:ilvl w:val="2"/>
          <w:numId w:val="2"/>
        </w:numPr>
        <w:tabs>
          <w:tab w:val="left" w:pos="420"/>
        </w:tabs>
        <w:bidi w:val="0"/>
        <w:rPr>
          <w:color w:val="auto"/>
        </w:rPr>
      </w:pPr>
      <w:bookmarkStart w:id="791" w:name="_Toc24280"/>
      <w:bookmarkStart w:id="792" w:name="_Toc30024"/>
      <w:bookmarkStart w:id="793" w:name="_Toc19874"/>
      <w:bookmarkStart w:id="794" w:name="_Toc24948"/>
      <w:r>
        <w:rPr>
          <w:color w:val="auto"/>
        </w:rPr>
        <w:t>施工期固废处置措施</w:t>
      </w:r>
      <w:bookmarkEnd w:id="791"/>
      <w:bookmarkEnd w:id="792"/>
      <w:bookmarkEnd w:id="793"/>
      <w:bookmarkEnd w:id="794"/>
    </w:p>
    <w:p>
      <w:pPr>
        <w:bidi w:val="0"/>
        <w:ind w:firstLine="480" w:firstLineChars="200"/>
        <w:rPr>
          <w:rFonts w:hint="default" w:eastAsia="宋体"/>
          <w:color w:val="0000FF"/>
          <w:highlight w:val="none"/>
          <w:lang w:val="en-US" w:eastAsia="zh-CN"/>
        </w:rPr>
      </w:pPr>
      <w:r>
        <w:rPr>
          <w:color w:val="auto"/>
          <w:highlight w:val="none"/>
        </w:rPr>
        <w:t>工程施工期所产生的固体废物包括工程弃渣</w:t>
      </w:r>
      <w:r>
        <w:rPr>
          <w:rFonts w:hint="eastAsia"/>
          <w:color w:val="auto"/>
          <w:highlight w:val="none"/>
          <w:lang w:eastAsia="zh-CN"/>
        </w:rPr>
        <w:t>、</w:t>
      </w:r>
      <w:r>
        <w:rPr>
          <w:rFonts w:hint="eastAsia"/>
          <w:color w:val="auto"/>
          <w:highlight w:val="none"/>
          <w:lang w:val="en-US" w:eastAsia="zh-CN"/>
        </w:rPr>
        <w:t>建筑垃圾和</w:t>
      </w:r>
      <w:r>
        <w:rPr>
          <w:color w:val="auto"/>
          <w:highlight w:val="none"/>
        </w:rPr>
        <w:t>施工人员生活垃圾。</w:t>
      </w:r>
      <w:r>
        <w:rPr>
          <w:rFonts w:hint="eastAsia"/>
          <w:color w:val="0000FF"/>
          <w:highlight w:val="none"/>
          <w:lang w:val="en-US" w:eastAsia="zh-CN"/>
        </w:rPr>
        <w:t>施工期不设施机修厂，不产生含油废物。</w:t>
      </w:r>
    </w:p>
    <w:p>
      <w:pPr>
        <w:bidi w:val="0"/>
        <w:ind w:firstLine="480" w:firstLineChars="200"/>
        <w:rPr>
          <w:color w:val="auto"/>
          <w:highlight w:val="none"/>
        </w:rPr>
      </w:pPr>
      <w:r>
        <w:rPr>
          <w:color w:val="auto"/>
          <w:highlight w:val="none"/>
        </w:rPr>
        <w:t>（1）工程弃渣</w:t>
      </w:r>
    </w:p>
    <w:p>
      <w:pPr>
        <w:bidi w:val="0"/>
        <w:ind w:firstLine="480" w:firstLineChars="200"/>
        <w:rPr>
          <w:color w:val="auto"/>
          <w:highlight w:val="none"/>
        </w:rPr>
      </w:pPr>
      <w:r>
        <w:rPr>
          <w:color w:val="auto"/>
          <w:highlight w:val="none"/>
        </w:rPr>
        <w:t>根据《</w:t>
      </w:r>
      <w:r>
        <w:rPr>
          <w:rFonts w:hint="eastAsia"/>
          <w:color w:val="auto"/>
          <w:highlight w:val="none"/>
          <w:lang w:eastAsia="zh-CN"/>
        </w:rPr>
        <w:t>实施</w:t>
      </w:r>
      <w:r>
        <w:rPr>
          <w:color w:val="auto"/>
          <w:highlight w:val="none"/>
        </w:rPr>
        <w:t>方案》，</w:t>
      </w:r>
      <w:r>
        <w:rPr>
          <w:rFonts w:hint="eastAsia"/>
          <w:color w:val="auto"/>
          <w:highlight w:val="none"/>
        </w:rPr>
        <w:t>在整个施工期间共开挖土石方35.56万m³,回填土石方31.07万m³</w:t>
      </w:r>
      <w:r>
        <w:rPr>
          <w:rFonts w:hint="eastAsia" w:ascii="宋体" w:hAnsi="宋体" w:eastAsia="宋体" w:cs="宋体"/>
          <w:color w:val="auto"/>
          <w:highlight w:val="none"/>
        </w:rPr>
        <w:t>,</w:t>
      </w:r>
      <w:r>
        <w:rPr>
          <w:rFonts w:hint="eastAsia"/>
          <w:color w:val="auto"/>
          <w:highlight w:val="none"/>
        </w:rPr>
        <w:t>产生弃渣4.49万m³,以上均为自然方。弃渣运输至弃渣场堆存</w:t>
      </w:r>
      <w:r>
        <w:rPr>
          <w:color w:val="auto"/>
          <w:highlight w:val="none"/>
        </w:rPr>
        <w:t>，并按照水保设施设置截排水沟及拦渣坝；车辆运输散体物料和废弃物时，必须密闭、覆盖篷布，不得沿途散落。</w:t>
      </w:r>
    </w:p>
    <w:p>
      <w:pPr>
        <w:bidi w:val="0"/>
        <w:ind w:firstLine="480" w:firstLineChars="200"/>
        <w:rPr>
          <w:color w:val="auto"/>
          <w:highlight w:val="none"/>
        </w:rPr>
      </w:pPr>
      <w:r>
        <w:rPr>
          <w:color w:val="auto"/>
          <w:highlight w:val="none"/>
        </w:rPr>
        <w:t>工程弃渣处理纳入水土保持措施，应结合水土保持方案进行，渣场的后期管理应以植物措施为主。尽快进行土地复垦或植被恢复。</w:t>
      </w:r>
    </w:p>
    <w:p>
      <w:pPr>
        <w:bidi w:val="0"/>
        <w:ind w:firstLine="480" w:firstLineChars="200"/>
        <w:rPr>
          <w:color w:val="auto"/>
          <w:highlight w:val="none"/>
        </w:rPr>
      </w:pPr>
      <w:r>
        <w:rPr>
          <w:color w:val="auto"/>
          <w:highlight w:val="none"/>
        </w:rPr>
        <w:t>（2）建筑垃圾</w:t>
      </w:r>
    </w:p>
    <w:p>
      <w:pPr>
        <w:bidi w:val="0"/>
        <w:ind w:firstLine="480" w:firstLineChars="200"/>
        <w:rPr>
          <w:rFonts w:hint="eastAsia"/>
          <w:color w:val="auto"/>
          <w:highlight w:val="none"/>
          <w:lang w:eastAsia="zh-CN"/>
        </w:rPr>
      </w:pPr>
      <w:r>
        <w:rPr>
          <w:color w:val="auto"/>
          <w:highlight w:val="none"/>
        </w:rPr>
        <w:t>砼垃圾通过处理后作为管道沿线浆砌石挡土墙填料使用；建筑垃圾中的钢筋边角料可以回收再利用；一部分用于施工道路垫层填筑；无法进行利用的按当地管理部门要求运至指定地点</w:t>
      </w:r>
      <w:r>
        <w:rPr>
          <w:rFonts w:hint="eastAsia"/>
          <w:color w:val="auto"/>
          <w:highlight w:val="none"/>
          <w:lang w:eastAsia="zh-CN"/>
        </w:rPr>
        <w:t>。</w:t>
      </w:r>
    </w:p>
    <w:p>
      <w:pPr>
        <w:bidi w:val="0"/>
        <w:ind w:firstLine="480" w:firstLineChars="200"/>
        <w:rPr>
          <w:rFonts w:hint="eastAsia"/>
          <w:color w:val="auto"/>
          <w:highlight w:val="none"/>
          <w:lang w:val="en-US" w:eastAsia="zh-CN"/>
        </w:rPr>
      </w:pPr>
      <w:r>
        <w:rPr>
          <w:rFonts w:hint="eastAsia"/>
          <w:color w:val="auto"/>
          <w:highlight w:val="none"/>
          <w:lang w:val="en-US" w:eastAsia="zh-CN"/>
        </w:rPr>
        <w:t>（3）生活垃圾</w:t>
      </w:r>
    </w:p>
    <w:p>
      <w:pPr>
        <w:bidi w:val="0"/>
        <w:ind w:firstLine="480" w:firstLineChars="200"/>
        <w:rPr>
          <w:rFonts w:hint="eastAsia"/>
          <w:color w:val="auto"/>
          <w:highlight w:val="none"/>
          <w:lang w:val="en-US" w:eastAsia="zh-CN"/>
        </w:rPr>
      </w:pPr>
      <w:r>
        <w:rPr>
          <w:rFonts w:hint="eastAsia"/>
          <w:color w:val="auto"/>
          <w:highlight w:val="none"/>
          <w:lang w:val="en-US" w:eastAsia="zh-CN"/>
        </w:rPr>
        <w:t>生活垃圾要做到“集中收集，分类堆放，及时清运”。在施工区各设一处垃圾集中堆放点，每个营地配备2个垃圾桶和一个垃圾堆放池，并派专人负责管理、打扫和收集。生活垃圾统一由垃圾车定期清运至乡镇生活垃圾收集点统一处理。</w:t>
      </w:r>
    </w:p>
    <w:p>
      <w:pPr>
        <w:bidi w:val="0"/>
        <w:ind w:firstLine="480" w:firstLineChars="200"/>
        <w:rPr>
          <w:rFonts w:hint="eastAsia"/>
          <w:color w:val="auto"/>
          <w:highlight w:val="none"/>
          <w:lang w:val="en-US" w:eastAsia="zh-CN"/>
        </w:rPr>
      </w:pPr>
      <w:r>
        <w:rPr>
          <w:rFonts w:hint="eastAsia"/>
          <w:color w:val="auto"/>
          <w:highlight w:val="none"/>
          <w:lang w:val="en-US" w:eastAsia="zh-CN"/>
        </w:rPr>
        <w:t>工程结束后，拆除施工生活营区等临建设施将产生建筑垃圾，应及时清理至邻近的垃圾场掩埋。对施工营区必须清理平整，并用生石灰等进行消毒，做好整个场区的迹地恢复工作。</w:t>
      </w:r>
    </w:p>
    <w:p>
      <w:pPr>
        <w:bidi w:val="0"/>
        <w:ind w:firstLine="480" w:firstLineChars="200"/>
        <w:rPr>
          <w:rFonts w:hint="eastAsia"/>
          <w:color w:val="auto"/>
          <w:highlight w:val="none"/>
          <w:lang w:val="en-US" w:eastAsia="zh-CN"/>
        </w:rPr>
      </w:pPr>
      <w:r>
        <w:rPr>
          <w:rFonts w:hint="eastAsia"/>
          <w:color w:val="auto"/>
          <w:highlight w:val="none"/>
          <w:lang w:val="en-US" w:eastAsia="zh-CN"/>
        </w:rPr>
        <w:t>上述固体废物处置措施符合工程实际，弃渣场选址符合《一般工业固体废物贮存和填埋污染控制标准》（GB18599-2020）选址规范，措施实施容易且投资低，是可行措施。</w:t>
      </w:r>
    </w:p>
    <w:p>
      <w:pPr>
        <w:pStyle w:val="4"/>
        <w:numPr>
          <w:ilvl w:val="2"/>
          <w:numId w:val="2"/>
        </w:numPr>
        <w:tabs>
          <w:tab w:val="left" w:pos="420"/>
        </w:tabs>
        <w:bidi w:val="0"/>
        <w:rPr>
          <w:rFonts w:hint="eastAsia"/>
          <w:color w:val="auto"/>
          <w:lang w:val="en-US" w:eastAsia="zh-CN"/>
        </w:rPr>
      </w:pPr>
      <w:bookmarkStart w:id="795" w:name="_Toc14818"/>
      <w:bookmarkStart w:id="796" w:name="_Toc20979"/>
      <w:bookmarkStart w:id="797" w:name="_Toc10912"/>
      <w:bookmarkStart w:id="798" w:name="_Toc9269"/>
      <w:r>
        <w:rPr>
          <w:rFonts w:hint="eastAsia"/>
          <w:color w:val="auto"/>
          <w:lang w:val="en-US" w:eastAsia="zh-CN"/>
        </w:rPr>
        <w:t>运营期固废处置措施</w:t>
      </w:r>
      <w:bookmarkEnd w:id="795"/>
      <w:bookmarkEnd w:id="796"/>
      <w:bookmarkEnd w:id="797"/>
      <w:bookmarkEnd w:id="798"/>
    </w:p>
    <w:p>
      <w:pPr>
        <w:bidi w:val="0"/>
        <w:ind w:firstLine="480" w:firstLineChars="200"/>
        <w:rPr>
          <w:rFonts w:hint="eastAsia"/>
          <w:color w:val="auto"/>
          <w:highlight w:val="none"/>
          <w:lang w:val="en-US" w:eastAsia="zh-CN"/>
        </w:rPr>
      </w:pPr>
      <w:r>
        <w:rPr>
          <w:rFonts w:hint="eastAsia"/>
          <w:color w:val="auto"/>
          <w:highlight w:val="none"/>
          <w:lang w:val="en-US" w:eastAsia="zh-CN"/>
        </w:rPr>
        <w:t>（1）废机油</w:t>
      </w:r>
    </w:p>
    <w:p>
      <w:pPr>
        <w:bidi w:val="0"/>
        <w:ind w:firstLine="480" w:firstLineChars="200"/>
        <w:rPr>
          <w:rFonts w:hint="eastAsia"/>
          <w:color w:val="auto"/>
          <w:highlight w:val="none"/>
          <w:lang w:val="en-US" w:eastAsia="zh-CN"/>
        </w:rPr>
      </w:pPr>
      <w:r>
        <w:rPr>
          <w:rFonts w:hint="eastAsia"/>
          <w:color w:val="auto"/>
          <w:highlight w:val="none"/>
          <w:lang w:val="en-US" w:eastAsia="zh-CN"/>
        </w:rPr>
        <w:t>泵站废机油暂存于危废暂存间后，委托有资质单位定期处置。</w:t>
      </w:r>
    </w:p>
    <w:p>
      <w:pPr>
        <w:bidi w:val="0"/>
        <w:ind w:firstLine="480" w:firstLineChars="200"/>
        <w:rPr>
          <w:rFonts w:hint="eastAsia"/>
          <w:color w:val="auto"/>
          <w:highlight w:val="none"/>
          <w:lang w:val="en-US" w:eastAsia="zh-CN"/>
        </w:rPr>
      </w:pPr>
      <w:r>
        <w:rPr>
          <w:rFonts w:hint="eastAsia"/>
          <w:color w:val="auto"/>
          <w:highlight w:val="none"/>
          <w:lang w:val="en-US" w:eastAsia="zh-CN"/>
        </w:rPr>
        <w:t>（2）生活垃圾</w:t>
      </w:r>
    </w:p>
    <w:p>
      <w:pPr>
        <w:bidi w:val="0"/>
        <w:ind w:firstLine="480" w:firstLineChars="200"/>
        <w:rPr>
          <w:rFonts w:hint="eastAsia"/>
          <w:color w:val="auto"/>
          <w:highlight w:val="none"/>
          <w:lang w:val="en-US" w:eastAsia="zh-CN"/>
        </w:rPr>
        <w:sectPr>
          <w:pgSz w:w="11906" w:h="16838"/>
          <w:pgMar w:top="1440" w:right="1800" w:bottom="1440" w:left="1800" w:header="851" w:footer="992" w:gutter="0"/>
          <w:pgNumType w:fmt="decimal"/>
          <w:cols w:space="720" w:num="1"/>
          <w:docGrid w:type="lines" w:linePitch="312" w:charSpace="0"/>
        </w:sectPr>
      </w:pPr>
      <w:r>
        <w:rPr>
          <w:rFonts w:hint="eastAsia"/>
          <w:color w:val="auto"/>
          <w:highlight w:val="none"/>
          <w:lang w:val="en-US" w:eastAsia="zh-CN"/>
        </w:rPr>
        <w:t>运营期固体废物为管理所工作人员生活垃圾，产生量0.2kg/d，自行清理至集镇集中处置点处置。</w:t>
      </w:r>
    </w:p>
    <w:p>
      <w:pPr>
        <w:bidi w:val="0"/>
        <w:ind w:firstLine="480" w:firstLineChars="200"/>
        <w:rPr>
          <w:rFonts w:hint="eastAsia"/>
          <w:color w:val="auto"/>
          <w:highlight w:val="none"/>
          <w:lang w:val="en-US" w:eastAsia="zh-CN"/>
        </w:rPr>
      </w:pPr>
    </w:p>
    <w:p>
      <w:pPr>
        <w:pStyle w:val="2"/>
        <w:numPr>
          <w:ilvl w:val="0"/>
          <w:numId w:val="2"/>
        </w:numPr>
        <w:tabs>
          <w:tab w:val="left" w:pos="420"/>
        </w:tabs>
        <w:bidi w:val="0"/>
        <w:rPr>
          <w:rFonts w:hint="eastAsia"/>
          <w:color w:val="auto"/>
          <w:lang w:val="en-US" w:eastAsia="zh-CN"/>
        </w:rPr>
      </w:pPr>
      <w:bookmarkStart w:id="799" w:name="_Toc4468"/>
      <w:bookmarkStart w:id="800" w:name="_Toc1301"/>
      <w:bookmarkStart w:id="801" w:name="_Toc581"/>
      <w:bookmarkStart w:id="802" w:name="_Toc23968"/>
      <w:bookmarkStart w:id="803" w:name="_Toc17746"/>
      <w:r>
        <w:rPr>
          <w:rFonts w:hint="eastAsia"/>
          <w:color w:val="auto"/>
          <w:lang w:val="en-US" w:eastAsia="zh-CN"/>
        </w:rPr>
        <w:t>环保投资及经济损益分析</w:t>
      </w:r>
      <w:bookmarkEnd w:id="799"/>
      <w:bookmarkEnd w:id="800"/>
      <w:bookmarkEnd w:id="801"/>
      <w:bookmarkEnd w:id="802"/>
      <w:bookmarkEnd w:id="803"/>
    </w:p>
    <w:p>
      <w:pPr>
        <w:pStyle w:val="3"/>
        <w:numPr>
          <w:ilvl w:val="1"/>
          <w:numId w:val="2"/>
        </w:numPr>
        <w:tabs>
          <w:tab w:val="left" w:pos="420"/>
        </w:tabs>
        <w:bidi w:val="0"/>
        <w:rPr>
          <w:rFonts w:hint="eastAsia"/>
          <w:color w:val="auto"/>
          <w:lang w:val="en-US" w:eastAsia="zh-CN"/>
        </w:rPr>
      </w:pPr>
      <w:bookmarkStart w:id="804" w:name="_Toc18155"/>
      <w:bookmarkStart w:id="805" w:name="_Toc29308"/>
      <w:bookmarkStart w:id="806" w:name="_Toc30432"/>
      <w:bookmarkStart w:id="807" w:name="_Toc21158"/>
      <w:bookmarkStart w:id="808" w:name="_Toc31994"/>
      <w:r>
        <w:rPr>
          <w:rFonts w:hint="eastAsia"/>
          <w:color w:val="auto"/>
          <w:lang w:val="en-US" w:eastAsia="zh-CN"/>
        </w:rPr>
        <w:t>环保投资估算</w:t>
      </w:r>
      <w:bookmarkEnd w:id="804"/>
      <w:bookmarkEnd w:id="805"/>
      <w:bookmarkEnd w:id="806"/>
      <w:bookmarkEnd w:id="807"/>
      <w:bookmarkEnd w:id="808"/>
    </w:p>
    <w:p>
      <w:pPr>
        <w:bidi w:val="0"/>
        <w:ind w:firstLine="480" w:firstLineChars="200"/>
        <w:rPr>
          <w:rFonts w:hint="eastAsia" w:ascii="宋体" w:hAnsi="宋体" w:eastAsia="宋体" w:cs="宋体"/>
          <w:color w:val="auto"/>
          <w:spacing w:val="-4"/>
          <w:szCs w:val="24"/>
          <w:highlight w:val="none"/>
          <w:lang w:val="en-US" w:eastAsia="zh-CN"/>
        </w:rPr>
      </w:pPr>
      <w:r>
        <w:rPr>
          <w:rFonts w:hint="eastAsia"/>
          <w:color w:val="auto"/>
          <w:highlight w:val="none"/>
          <w:lang w:val="en-US" w:eastAsia="zh-CN"/>
        </w:rPr>
        <w:t>工程总投资15461.79万元，环境保护工程总投资543.63万元，占3.5%，环境保护工程投资估算总表见下表7.1-1。</w:t>
      </w:r>
    </w:p>
    <w:p>
      <w:pPr>
        <w:pStyle w:val="40"/>
        <w:bidi w:val="0"/>
        <w:rPr>
          <w:rFonts w:hint="eastAsia" w:ascii="宋体" w:hAnsi="宋体" w:eastAsia="宋体" w:cs="宋体"/>
          <w:color w:val="auto"/>
          <w:spacing w:val="-4"/>
          <w:szCs w:val="24"/>
          <w:highlight w:val="none"/>
          <w:lang w:val="en-US" w:eastAsia="zh-CN"/>
        </w:rPr>
      </w:pPr>
      <w:r>
        <w:rPr>
          <w:rFonts w:hint="eastAsia"/>
          <w:color w:val="auto"/>
          <w:highlight w:val="none"/>
          <w:lang w:val="en-US" w:eastAsia="zh-CN"/>
        </w:rPr>
        <w:t>表7.1-1  环境保护工程投资估算总表</w:t>
      </w:r>
    </w:p>
    <w:tbl>
      <w:tblPr>
        <w:tblStyle w:val="57"/>
        <w:tblW w:w="50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24"/>
        <w:gridCol w:w="1183"/>
        <w:gridCol w:w="3207"/>
        <w:gridCol w:w="776"/>
        <w:gridCol w:w="788"/>
        <w:gridCol w:w="749"/>
        <w:gridCol w:w="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7" w:hRule="atLeast"/>
          <w:jc w:val="center"/>
        </w:trPr>
        <w:tc>
          <w:tcPr>
            <w:tcW w:w="2005" w:type="dxa"/>
            <w:gridSpan w:val="2"/>
            <w:vAlign w:val="center"/>
          </w:tcPr>
          <w:p>
            <w:pPr>
              <w:pStyle w:val="42"/>
              <w:bidi w:val="0"/>
              <w:rPr>
                <w:color w:val="auto"/>
                <w:highlight w:val="none"/>
              </w:rPr>
            </w:pPr>
            <w:r>
              <w:rPr>
                <w:color w:val="auto"/>
                <w:highlight w:val="none"/>
              </w:rPr>
              <w:t>环保设施</w:t>
            </w:r>
          </w:p>
        </w:tc>
        <w:tc>
          <w:tcPr>
            <w:tcW w:w="3204" w:type="dxa"/>
            <w:vAlign w:val="center"/>
          </w:tcPr>
          <w:p>
            <w:pPr>
              <w:pStyle w:val="42"/>
              <w:bidi w:val="0"/>
              <w:rPr>
                <w:color w:val="auto"/>
                <w:highlight w:val="none"/>
              </w:rPr>
            </w:pPr>
            <w:r>
              <w:rPr>
                <w:color w:val="auto"/>
                <w:highlight w:val="none"/>
              </w:rPr>
              <w:t>名称</w:t>
            </w:r>
          </w:p>
        </w:tc>
        <w:tc>
          <w:tcPr>
            <w:tcW w:w="775" w:type="dxa"/>
            <w:vAlign w:val="center"/>
          </w:tcPr>
          <w:p>
            <w:pPr>
              <w:pStyle w:val="42"/>
              <w:bidi w:val="0"/>
              <w:rPr>
                <w:color w:val="auto"/>
                <w:highlight w:val="none"/>
              </w:rPr>
            </w:pPr>
            <w:r>
              <w:rPr>
                <w:color w:val="auto"/>
                <w:highlight w:val="none"/>
              </w:rPr>
              <w:t>单位</w:t>
            </w:r>
          </w:p>
        </w:tc>
        <w:tc>
          <w:tcPr>
            <w:tcW w:w="787" w:type="dxa"/>
            <w:vAlign w:val="center"/>
          </w:tcPr>
          <w:p>
            <w:pPr>
              <w:pStyle w:val="42"/>
              <w:bidi w:val="0"/>
              <w:rPr>
                <w:color w:val="auto"/>
                <w:highlight w:val="none"/>
              </w:rPr>
            </w:pPr>
            <w:r>
              <w:rPr>
                <w:color w:val="auto"/>
                <w:highlight w:val="none"/>
              </w:rPr>
              <w:t>数量</w:t>
            </w:r>
          </w:p>
        </w:tc>
        <w:tc>
          <w:tcPr>
            <w:tcW w:w="748" w:type="dxa"/>
            <w:vAlign w:val="center"/>
          </w:tcPr>
          <w:p>
            <w:pPr>
              <w:pStyle w:val="42"/>
              <w:bidi w:val="0"/>
              <w:rPr>
                <w:color w:val="auto"/>
                <w:highlight w:val="none"/>
              </w:rPr>
            </w:pPr>
            <w:r>
              <w:rPr>
                <w:color w:val="auto"/>
                <w:highlight w:val="none"/>
              </w:rPr>
              <w:t>单价</w:t>
            </w:r>
          </w:p>
          <w:p>
            <w:pPr>
              <w:pStyle w:val="42"/>
              <w:bidi w:val="0"/>
              <w:rPr>
                <w:color w:val="auto"/>
                <w:highlight w:val="none"/>
              </w:rPr>
            </w:pPr>
            <w:r>
              <w:rPr>
                <w:color w:val="auto"/>
                <w:highlight w:val="none"/>
              </w:rPr>
              <w:t>（万</w:t>
            </w:r>
          </w:p>
          <w:p>
            <w:pPr>
              <w:pStyle w:val="42"/>
              <w:bidi w:val="0"/>
              <w:rPr>
                <w:color w:val="auto"/>
                <w:highlight w:val="none"/>
              </w:rPr>
            </w:pPr>
            <w:r>
              <w:rPr>
                <w:color w:val="auto"/>
                <w:highlight w:val="none"/>
              </w:rPr>
              <w:t>元）</w:t>
            </w:r>
          </w:p>
        </w:tc>
        <w:tc>
          <w:tcPr>
            <w:tcW w:w="869" w:type="dxa"/>
            <w:vAlign w:val="center"/>
          </w:tcPr>
          <w:p>
            <w:pPr>
              <w:pStyle w:val="42"/>
              <w:bidi w:val="0"/>
              <w:rPr>
                <w:color w:val="auto"/>
                <w:highlight w:val="none"/>
              </w:rPr>
            </w:pPr>
            <w:r>
              <w:rPr>
                <w:color w:val="auto"/>
                <w:highlight w:val="none"/>
              </w:rPr>
              <w:t>合计（万 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0" w:hRule="atLeast"/>
          <w:jc w:val="center"/>
        </w:trPr>
        <w:tc>
          <w:tcPr>
            <w:tcW w:w="823" w:type="dxa"/>
            <w:vMerge w:val="restart"/>
            <w:vAlign w:val="center"/>
          </w:tcPr>
          <w:p>
            <w:pPr>
              <w:pStyle w:val="42"/>
              <w:bidi w:val="0"/>
              <w:rPr>
                <w:color w:val="auto"/>
                <w:highlight w:val="none"/>
              </w:rPr>
            </w:pPr>
            <w:r>
              <w:rPr>
                <w:color w:val="auto"/>
                <w:highlight w:val="none"/>
              </w:rPr>
              <w:t>施工期</w:t>
            </w:r>
          </w:p>
          <w:p>
            <w:pPr>
              <w:pStyle w:val="42"/>
              <w:bidi w:val="0"/>
              <w:rPr>
                <w:color w:val="auto"/>
                <w:highlight w:val="none"/>
              </w:rPr>
            </w:pPr>
            <w:r>
              <w:rPr>
                <w:color w:val="auto"/>
                <w:highlight w:val="none"/>
              </w:rPr>
              <w:t>环保工</w:t>
            </w:r>
          </w:p>
          <w:p>
            <w:pPr>
              <w:pStyle w:val="42"/>
              <w:bidi w:val="0"/>
              <w:rPr>
                <w:color w:val="auto"/>
                <w:highlight w:val="none"/>
              </w:rPr>
            </w:pPr>
            <w:r>
              <w:rPr>
                <w:color w:val="auto"/>
                <w:highlight w:val="none"/>
              </w:rPr>
              <w:t>程</w:t>
            </w:r>
          </w:p>
        </w:tc>
        <w:tc>
          <w:tcPr>
            <w:tcW w:w="1182" w:type="dxa"/>
            <w:vMerge w:val="restart"/>
            <w:vAlign w:val="center"/>
          </w:tcPr>
          <w:p>
            <w:pPr>
              <w:pStyle w:val="42"/>
              <w:bidi w:val="0"/>
              <w:rPr>
                <w:color w:val="auto"/>
                <w:highlight w:val="none"/>
              </w:rPr>
            </w:pPr>
            <w:r>
              <w:rPr>
                <w:color w:val="auto"/>
                <w:highlight w:val="none"/>
              </w:rPr>
              <w:t>废水处理设 施</w:t>
            </w:r>
          </w:p>
        </w:tc>
        <w:tc>
          <w:tcPr>
            <w:tcW w:w="3204" w:type="dxa"/>
            <w:vAlign w:val="center"/>
          </w:tcPr>
          <w:p>
            <w:pPr>
              <w:pStyle w:val="42"/>
              <w:bidi w:val="0"/>
              <w:rPr>
                <w:color w:val="0000FF"/>
                <w:highlight w:val="none"/>
              </w:rPr>
            </w:pPr>
            <w:r>
              <w:rPr>
                <w:rFonts w:hint="eastAsia"/>
                <w:color w:val="0000FF"/>
                <w:highlight w:val="none"/>
              </w:rPr>
              <w:t>2个容积为1m</w:t>
            </w:r>
            <w:r>
              <w:rPr>
                <w:rFonts w:hint="eastAsia"/>
                <w:color w:val="0000FF"/>
                <w:highlight w:val="none"/>
                <w:vertAlign w:val="superscript"/>
              </w:rPr>
              <w:t>3</w:t>
            </w:r>
            <w:r>
              <w:rPr>
                <w:rFonts w:hint="eastAsia"/>
                <w:color w:val="0000FF"/>
                <w:highlight w:val="none"/>
              </w:rPr>
              <w:t>移动式的沉淀池</w:t>
            </w:r>
          </w:p>
        </w:tc>
        <w:tc>
          <w:tcPr>
            <w:tcW w:w="775" w:type="dxa"/>
            <w:vAlign w:val="center"/>
          </w:tcPr>
          <w:p>
            <w:pPr>
              <w:pStyle w:val="42"/>
              <w:bidi w:val="0"/>
              <w:rPr>
                <w:color w:val="auto"/>
                <w:highlight w:val="none"/>
              </w:rPr>
            </w:pPr>
            <w:r>
              <w:rPr>
                <w:color w:val="auto"/>
                <w:highlight w:val="none"/>
              </w:rPr>
              <w:t>个</w:t>
            </w:r>
          </w:p>
        </w:tc>
        <w:tc>
          <w:tcPr>
            <w:tcW w:w="787" w:type="dxa"/>
            <w:vAlign w:val="center"/>
          </w:tcPr>
          <w:p>
            <w:pPr>
              <w:pStyle w:val="42"/>
              <w:bidi w:val="0"/>
              <w:rPr>
                <w:rFonts w:hint="eastAsia" w:eastAsia="宋"/>
                <w:color w:val="auto"/>
                <w:highlight w:val="none"/>
                <w:lang w:eastAsia="zh-CN"/>
              </w:rPr>
            </w:pPr>
            <w:r>
              <w:rPr>
                <w:rFonts w:hint="eastAsia"/>
                <w:color w:val="auto"/>
                <w:highlight w:val="none"/>
                <w:lang w:val="en-US" w:eastAsia="zh-CN"/>
              </w:rPr>
              <w:t>2</w:t>
            </w:r>
          </w:p>
        </w:tc>
        <w:tc>
          <w:tcPr>
            <w:tcW w:w="748"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0.35</w:t>
            </w:r>
          </w:p>
        </w:tc>
        <w:tc>
          <w:tcPr>
            <w:tcW w:w="869"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0" w:hRule="atLeast"/>
          <w:jc w:val="center"/>
        </w:trPr>
        <w:tc>
          <w:tcPr>
            <w:tcW w:w="823" w:type="dxa"/>
            <w:vMerge w:val="continue"/>
            <w:vAlign w:val="center"/>
          </w:tcPr>
          <w:p>
            <w:pPr>
              <w:pStyle w:val="42"/>
              <w:bidi w:val="0"/>
              <w:rPr>
                <w:color w:val="auto"/>
                <w:highlight w:val="none"/>
              </w:rPr>
            </w:pPr>
          </w:p>
        </w:tc>
        <w:tc>
          <w:tcPr>
            <w:tcW w:w="1182" w:type="dxa"/>
            <w:vMerge w:val="continue"/>
            <w:vAlign w:val="center"/>
          </w:tcPr>
          <w:p>
            <w:pPr>
              <w:pStyle w:val="42"/>
              <w:bidi w:val="0"/>
              <w:rPr>
                <w:color w:val="auto"/>
                <w:highlight w:val="none"/>
              </w:rPr>
            </w:pPr>
          </w:p>
        </w:tc>
        <w:tc>
          <w:tcPr>
            <w:tcW w:w="3204" w:type="dxa"/>
            <w:vAlign w:val="center"/>
          </w:tcPr>
          <w:p>
            <w:pPr>
              <w:pStyle w:val="42"/>
              <w:bidi w:val="0"/>
              <w:rPr>
                <w:color w:val="0000FF"/>
                <w:highlight w:val="none"/>
              </w:rPr>
            </w:pPr>
            <w:r>
              <w:rPr>
                <w:rFonts w:hint="eastAsia"/>
                <w:color w:val="0000FF"/>
                <w:highlight w:val="none"/>
                <w:lang w:eastAsia="zh-CN"/>
              </w:rPr>
              <w:t>2座移动式无害化厕所</w:t>
            </w:r>
          </w:p>
        </w:tc>
        <w:tc>
          <w:tcPr>
            <w:tcW w:w="775" w:type="dxa"/>
            <w:vAlign w:val="center"/>
          </w:tcPr>
          <w:p>
            <w:pPr>
              <w:pStyle w:val="42"/>
              <w:bidi w:val="0"/>
              <w:rPr>
                <w:color w:val="auto"/>
                <w:highlight w:val="none"/>
              </w:rPr>
            </w:pPr>
            <w:r>
              <w:rPr>
                <w:color w:val="auto"/>
                <w:highlight w:val="none"/>
              </w:rPr>
              <w:t>个</w:t>
            </w:r>
          </w:p>
        </w:tc>
        <w:tc>
          <w:tcPr>
            <w:tcW w:w="787" w:type="dxa"/>
            <w:vAlign w:val="center"/>
          </w:tcPr>
          <w:p>
            <w:pPr>
              <w:pStyle w:val="42"/>
              <w:bidi w:val="0"/>
              <w:rPr>
                <w:rFonts w:hint="default"/>
                <w:color w:val="auto"/>
                <w:highlight w:val="none"/>
                <w:lang w:val="en-US" w:eastAsia="zh-CN"/>
              </w:rPr>
            </w:pPr>
            <w:r>
              <w:rPr>
                <w:rFonts w:hint="eastAsia"/>
                <w:color w:val="auto"/>
                <w:highlight w:val="none"/>
                <w:lang w:val="en-US" w:eastAsia="zh-CN"/>
              </w:rPr>
              <w:t>2</w:t>
            </w:r>
          </w:p>
        </w:tc>
        <w:tc>
          <w:tcPr>
            <w:tcW w:w="748"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0.2</w:t>
            </w:r>
          </w:p>
        </w:tc>
        <w:tc>
          <w:tcPr>
            <w:tcW w:w="869"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jc w:val="center"/>
        </w:trPr>
        <w:tc>
          <w:tcPr>
            <w:tcW w:w="823" w:type="dxa"/>
            <w:vMerge w:val="continue"/>
            <w:vAlign w:val="center"/>
          </w:tcPr>
          <w:p>
            <w:pPr>
              <w:pStyle w:val="42"/>
              <w:bidi w:val="0"/>
              <w:rPr>
                <w:color w:val="auto"/>
                <w:highlight w:val="none"/>
              </w:rPr>
            </w:pPr>
          </w:p>
        </w:tc>
        <w:tc>
          <w:tcPr>
            <w:tcW w:w="1182" w:type="dxa"/>
            <w:vMerge w:val="continue"/>
            <w:vAlign w:val="center"/>
          </w:tcPr>
          <w:p>
            <w:pPr>
              <w:pStyle w:val="42"/>
              <w:bidi w:val="0"/>
              <w:rPr>
                <w:color w:val="auto"/>
                <w:highlight w:val="none"/>
              </w:rPr>
            </w:pPr>
          </w:p>
        </w:tc>
        <w:tc>
          <w:tcPr>
            <w:tcW w:w="3204" w:type="dxa"/>
            <w:vAlign w:val="center"/>
          </w:tcPr>
          <w:p>
            <w:pPr>
              <w:pStyle w:val="42"/>
              <w:bidi w:val="0"/>
              <w:rPr>
                <w:rFonts w:hint="eastAsia" w:eastAsia="宋"/>
                <w:color w:val="auto"/>
                <w:highlight w:val="none"/>
                <w:lang w:val="en-US" w:eastAsia="zh-CN"/>
              </w:rPr>
            </w:pPr>
            <w:r>
              <w:rPr>
                <w:rFonts w:hint="eastAsia"/>
                <w:color w:val="auto"/>
                <w:highlight w:val="none"/>
              </w:rPr>
              <w:t>混凝土搅拌系统冲洗废水</w:t>
            </w:r>
            <w:r>
              <w:rPr>
                <w:rFonts w:hint="eastAsia"/>
                <w:color w:val="auto"/>
                <w:highlight w:val="none"/>
                <w:lang w:val="en-US" w:eastAsia="zh-CN"/>
              </w:rPr>
              <w:t>1座2</w:t>
            </w:r>
            <w:r>
              <w:rPr>
                <w:color w:val="auto"/>
                <w:highlight w:val="none"/>
              </w:rPr>
              <w:t>m</w:t>
            </w:r>
            <w:r>
              <w:rPr>
                <w:color w:val="auto"/>
                <w:highlight w:val="none"/>
                <w:vertAlign w:val="superscript"/>
              </w:rPr>
              <w:t>3</w:t>
            </w:r>
            <w:r>
              <w:rPr>
                <w:color w:val="auto"/>
                <w:highlight w:val="none"/>
              </w:rPr>
              <w:t xml:space="preserve"> </w:t>
            </w:r>
            <w:r>
              <w:rPr>
                <w:rFonts w:hint="eastAsia"/>
                <w:color w:val="auto"/>
                <w:highlight w:val="none"/>
                <w:lang w:eastAsia="zh-CN"/>
              </w:rPr>
              <w:t>移动式沉淀池</w:t>
            </w:r>
          </w:p>
        </w:tc>
        <w:tc>
          <w:tcPr>
            <w:tcW w:w="775" w:type="dxa"/>
            <w:vAlign w:val="center"/>
          </w:tcPr>
          <w:p>
            <w:pPr>
              <w:pStyle w:val="42"/>
              <w:bidi w:val="0"/>
              <w:rPr>
                <w:rFonts w:ascii="Times New Roman" w:hAnsi="Times New Roman" w:eastAsia="宋" w:cs="Times New Roman"/>
                <w:color w:val="auto"/>
                <w:kern w:val="0"/>
                <w:sz w:val="21"/>
                <w:szCs w:val="21"/>
                <w:highlight w:val="none"/>
                <w:lang w:val="en-US" w:eastAsia="zh-CN" w:bidi="ar-SA"/>
              </w:rPr>
            </w:pPr>
            <w:r>
              <w:rPr>
                <w:color w:val="auto"/>
                <w:highlight w:val="none"/>
              </w:rPr>
              <w:t>套</w:t>
            </w:r>
          </w:p>
        </w:tc>
        <w:tc>
          <w:tcPr>
            <w:tcW w:w="787" w:type="dxa"/>
            <w:vAlign w:val="center"/>
          </w:tcPr>
          <w:p>
            <w:pPr>
              <w:pStyle w:val="42"/>
              <w:bidi w:val="0"/>
              <w:rPr>
                <w:rFonts w:ascii="Times New Roman" w:hAnsi="Times New Roman" w:eastAsia="宋" w:cs="Times New Roman"/>
                <w:color w:val="auto"/>
                <w:kern w:val="0"/>
                <w:sz w:val="21"/>
                <w:szCs w:val="21"/>
                <w:highlight w:val="none"/>
                <w:lang w:val="en-US" w:eastAsia="zh-CN" w:bidi="ar-SA"/>
              </w:rPr>
            </w:pPr>
            <w:r>
              <w:rPr>
                <w:color w:val="auto"/>
                <w:highlight w:val="none"/>
              </w:rPr>
              <w:t>1</w:t>
            </w:r>
          </w:p>
        </w:tc>
        <w:tc>
          <w:tcPr>
            <w:tcW w:w="748"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0.5</w:t>
            </w:r>
          </w:p>
        </w:tc>
        <w:tc>
          <w:tcPr>
            <w:tcW w:w="869"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jc w:val="center"/>
        </w:trPr>
        <w:tc>
          <w:tcPr>
            <w:tcW w:w="823" w:type="dxa"/>
            <w:vMerge w:val="continue"/>
            <w:vAlign w:val="center"/>
          </w:tcPr>
          <w:p>
            <w:pPr>
              <w:pStyle w:val="42"/>
              <w:bidi w:val="0"/>
              <w:rPr>
                <w:color w:val="auto"/>
                <w:highlight w:val="none"/>
              </w:rPr>
            </w:pPr>
          </w:p>
        </w:tc>
        <w:tc>
          <w:tcPr>
            <w:tcW w:w="1182" w:type="dxa"/>
            <w:vMerge w:val="restart"/>
            <w:vAlign w:val="center"/>
          </w:tcPr>
          <w:p>
            <w:pPr>
              <w:pStyle w:val="42"/>
              <w:bidi w:val="0"/>
              <w:rPr>
                <w:color w:val="auto"/>
                <w:highlight w:val="none"/>
              </w:rPr>
            </w:pPr>
            <w:r>
              <w:rPr>
                <w:color w:val="auto"/>
                <w:highlight w:val="none"/>
              </w:rPr>
              <w:t>固废治理设 施</w:t>
            </w:r>
          </w:p>
        </w:tc>
        <w:tc>
          <w:tcPr>
            <w:tcW w:w="3204" w:type="dxa"/>
            <w:vAlign w:val="center"/>
          </w:tcPr>
          <w:p>
            <w:pPr>
              <w:pStyle w:val="42"/>
              <w:bidi w:val="0"/>
              <w:rPr>
                <w:color w:val="auto"/>
                <w:highlight w:val="none"/>
              </w:rPr>
            </w:pPr>
            <w:r>
              <w:rPr>
                <w:color w:val="auto"/>
                <w:highlight w:val="none"/>
              </w:rPr>
              <w:t>生活垃圾收集</w:t>
            </w:r>
          </w:p>
        </w:tc>
        <w:tc>
          <w:tcPr>
            <w:tcW w:w="775" w:type="dxa"/>
            <w:vAlign w:val="center"/>
          </w:tcPr>
          <w:p>
            <w:pPr>
              <w:pStyle w:val="42"/>
              <w:bidi w:val="0"/>
              <w:rPr>
                <w:color w:val="auto"/>
                <w:highlight w:val="none"/>
              </w:rPr>
            </w:pPr>
            <w:r>
              <w:rPr>
                <w:color w:val="auto"/>
                <w:highlight w:val="none"/>
              </w:rPr>
              <w:t>个</w:t>
            </w:r>
          </w:p>
        </w:tc>
        <w:tc>
          <w:tcPr>
            <w:tcW w:w="787" w:type="dxa"/>
            <w:vAlign w:val="center"/>
          </w:tcPr>
          <w:p>
            <w:pPr>
              <w:pStyle w:val="42"/>
              <w:bidi w:val="0"/>
              <w:rPr>
                <w:color w:val="auto"/>
                <w:highlight w:val="none"/>
              </w:rPr>
            </w:pPr>
            <w:r>
              <w:rPr>
                <w:color w:val="auto"/>
                <w:highlight w:val="none"/>
              </w:rPr>
              <w:t>2</w:t>
            </w:r>
          </w:p>
        </w:tc>
        <w:tc>
          <w:tcPr>
            <w:tcW w:w="748"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0.05</w:t>
            </w:r>
          </w:p>
        </w:tc>
        <w:tc>
          <w:tcPr>
            <w:tcW w:w="869"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823" w:type="dxa"/>
            <w:vMerge w:val="continue"/>
            <w:vAlign w:val="center"/>
          </w:tcPr>
          <w:p>
            <w:pPr>
              <w:pStyle w:val="42"/>
              <w:bidi w:val="0"/>
              <w:rPr>
                <w:color w:val="auto"/>
                <w:highlight w:val="none"/>
              </w:rPr>
            </w:pPr>
          </w:p>
        </w:tc>
        <w:tc>
          <w:tcPr>
            <w:tcW w:w="1182" w:type="dxa"/>
            <w:vMerge w:val="continue"/>
            <w:vAlign w:val="center"/>
          </w:tcPr>
          <w:p>
            <w:pPr>
              <w:pStyle w:val="42"/>
              <w:bidi w:val="0"/>
              <w:rPr>
                <w:color w:val="auto"/>
                <w:highlight w:val="none"/>
              </w:rPr>
            </w:pPr>
          </w:p>
        </w:tc>
        <w:tc>
          <w:tcPr>
            <w:tcW w:w="3204" w:type="dxa"/>
            <w:vAlign w:val="center"/>
          </w:tcPr>
          <w:p>
            <w:pPr>
              <w:pStyle w:val="42"/>
              <w:bidi w:val="0"/>
              <w:rPr>
                <w:color w:val="auto"/>
                <w:highlight w:val="none"/>
              </w:rPr>
            </w:pPr>
            <w:r>
              <w:rPr>
                <w:color w:val="auto"/>
                <w:highlight w:val="none"/>
              </w:rPr>
              <w:t>建筑垃圾收集处理</w:t>
            </w:r>
          </w:p>
        </w:tc>
        <w:tc>
          <w:tcPr>
            <w:tcW w:w="775" w:type="dxa"/>
            <w:vAlign w:val="center"/>
          </w:tcPr>
          <w:p>
            <w:pPr>
              <w:pStyle w:val="42"/>
              <w:bidi w:val="0"/>
              <w:rPr>
                <w:color w:val="auto"/>
                <w:highlight w:val="none"/>
              </w:rPr>
            </w:pPr>
            <w:r>
              <w:rPr>
                <w:color w:val="auto"/>
                <w:highlight w:val="none"/>
              </w:rPr>
              <w:t>——</w:t>
            </w:r>
          </w:p>
        </w:tc>
        <w:tc>
          <w:tcPr>
            <w:tcW w:w="787" w:type="dxa"/>
            <w:vAlign w:val="center"/>
          </w:tcPr>
          <w:p>
            <w:pPr>
              <w:pStyle w:val="42"/>
              <w:bidi w:val="0"/>
              <w:rPr>
                <w:color w:val="auto"/>
                <w:highlight w:val="none"/>
              </w:rPr>
            </w:pPr>
            <w:r>
              <w:rPr>
                <w:color w:val="auto"/>
                <w:highlight w:val="none"/>
              </w:rPr>
              <w:t>——</w:t>
            </w:r>
          </w:p>
        </w:tc>
        <w:tc>
          <w:tcPr>
            <w:tcW w:w="748" w:type="dxa"/>
            <w:vAlign w:val="center"/>
          </w:tcPr>
          <w:p>
            <w:pPr>
              <w:pStyle w:val="42"/>
              <w:bidi w:val="0"/>
              <w:rPr>
                <w:color w:val="auto"/>
                <w:highlight w:val="none"/>
              </w:rPr>
            </w:pPr>
            <w:r>
              <w:rPr>
                <w:color w:val="auto"/>
                <w:highlight w:val="none"/>
              </w:rPr>
              <w:t>——</w:t>
            </w:r>
          </w:p>
        </w:tc>
        <w:tc>
          <w:tcPr>
            <w:tcW w:w="869" w:type="dxa"/>
            <w:vAlign w:val="center"/>
          </w:tcPr>
          <w:p>
            <w:pPr>
              <w:pStyle w:val="42"/>
              <w:bidi w:val="0"/>
              <w:rPr>
                <w:color w:val="auto"/>
                <w:highlight w:val="none"/>
              </w:rPr>
            </w:pPr>
            <w:r>
              <w:rPr>
                <w:color w:val="auto"/>
                <w:highlight w:val="none"/>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823" w:type="dxa"/>
            <w:vMerge w:val="continue"/>
            <w:vAlign w:val="center"/>
          </w:tcPr>
          <w:p>
            <w:pPr>
              <w:pStyle w:val="42"/>
              <w:bidi w:val="0"/>
              <w:rPr>
                <w:color w:val="auto"/>
                <w:highlight w:val="none"/>
              </w:rPr>
            </w:pPr>
          </w:p>
        </w:tc>
        <w:tc>
          <w:tcPr>
            <w:tcW w:w="1182" w:type="dxa"/>
            <w:vMerge w:val="restart"/>
            <w:vAlign w:val="center"/>
          </w:tcPr>
          <w:p>
            <w:pPr>
              <w:pStyle w:val="42"/>
              <w:bidi w:val="0"/>
              <w:rPr>
                <w:color w:val="auto"/>
                <w:highlight w:val="none"/>
              </w:rPr>
            </w:pPr>
            <w:r>
              <w:rPr>
                <w:color w:val="auto"/>
                <w:highlight w:val="none"/>
              </w:rPr>
              <w:t>废气处理设 施</w:t>
            </w:r>
          </w:p>
        </w:tc>
        <w:tc>
          <w:tcPr>
            <w:tcW w:w="3204" w:type="dxa"/>
            <w:vAlign w:val="center"/>
          </w:tcPr>
          <w:p>
            <w:pPr>
              <w:pStyle w:val="42"/>
              <w:bidi w:val="0"/>
              <w:rPr>
                <w:color w:val="auto"/>
                <w:highlight w:val="none"/>
              </w:rPr>
            </w:pPr>
            <w:r>
              <w:rPr>
                <w:rFonts w:hint="eastAsia"/>
                <w:color w:val="auto"/>
                <w:highlight w:val="none"/>
                <w:lang w:eastAsia="zh-CN"/>
              </w:rPr>
              <w:t>网状</w:t>
            </w:r>
            <w:r>
              <w:rPr>
                <w:color w:val="auto"/>
                <w:highlight w:val="none"/>
              </w:rPr>
              <w:t>材料覆盖遮挡</w:t>
            </w:r>
          </w:p>
        </w:tc>
        <w:tc>
          <w:tcPr>
            <w:tcW w:w="775" w:type="dxa"/>
            <w:vAlign w:val="center"/>
          </w:tcPr>
          <w:p>
            <w:pPr>
              <w:pStyle w:val="42"/>
              <w:bidi w:val="0"/>
              <w:rPr>
                <w:color w:val="auto"/>
                <w:highlight w:val="none"/>
              </w:rPr>
            </w:pPr>
            <w:r>
              <w:rPr>
                <w:color w:val="auto"/>
                <w:highlight w:val="none"/>
              </w:rPr>
              <w:t>项</w:t>
            </w:r>
          </w:p>
        </w:tc>
        <w:tc>
          <w:tcPr>
            <w:tcW w:w="787" w:type="dxa"/>
            <w:vAlign w:val="center"/>
          </w:tcPr>
          <w:p>
            <w:pPr>
              <w:pStyle w:val="42"/>
              <w:bidi w:val="0"/>
              <w:rPr>
                <w:color w:val="auto"/>
                <w:highlight w:val="none"/>
              </w:rPr>
            </w:pPr>
            <w:r>
              <w:rPr>
                <w:color w:val="auto"/>
                <w:highlight w:val="none"/>
              </w:rPr>
              <w:t>2</w:t>
            </w:r>
          </w:p>
        </w:tc>
        <w:tc>
          <w:tcPr>
            <w:tcW w:w="748" w:type="dxa"/>
            <w:vAlign w:val="center"/>
          </w:tcPr>
          <w:p>
            <w:pPr>
              <w:pStyle w:val="42"/>
              <w:bidi w:val="0"/>
              <w:rPr>
                <w:color w:val="auto"/>
                <w:highlight w:val="none"/>
              </w:rPr>
            </w:pPr>
            <w:r>
              <w:rPr>
                <w:color w:val="auto"/>
                <w:highlight w:val="none"/>
              </w:rPr>
              <w:t>0.4</w:t>
            </w:r>
          </w:p>
        </w:tc>
        <w:tc>
          <w:tcPr>
            <w:tcW w:w="869" w:type="dxa"/>
            <w:vAlign w:val="center"/>
          </w:tcPr>
          <w:p>
            <w:pPr>
              <w:pStyle w:val="42"/>
              <w:bidi w:val="0"/>
              <w:rPr>
                <w:color w:val="auto"/>
                <w:highlight w:val="none"/>
              </w:rPr>
            </w:pPr>
            <w:r>
              <w:rPr>
                <w:color w:val="auto"/>
                <w:highlight w:val="none"/>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jc w:val="center"/>
        </w:trPr>
        <w:tc>
          <w:tcPr>
            <w:tcW w:w="823" w:type="dxa"/>
            <w:vMerge w:val="continue"/>
            <w:vAlign w:val="center"/>
          </w:tcPr>
          <w:p>
            <w:pPr>
              <w:pStyle w:val="42"/>
              <w:bidi w:val="0"/>
              <w:rPr>
                <w:color w:val="auto"/>
                <w:highlight w:val="none"/>
              </w:rPr>
            </w:pPr>
          </w:p>
        </w:tc>
        <w:tc>
          <w:tcPr>
            <w:tcW w:w="1182" w:type="dxa"/>
            <w:vMerge w:val="continue"/>
            <w:vAlign w:val="center"/>
          </w:tcPr>
          <w:p>
            <w:pPr>
              <w:pStyle w:val="42"/>
              <w:bidi w:val="0"/>
              <w:rPr>
                <w:color w:val="auto"/>
                <w:highlight w:val="none"/>
              </w:rPr>
            </w:pPr>
          </w:p>
        </w:tc>
        <w:tc>
          <w:tcPr>
            <w:tcW w:w="3204" w:type="dxa"/>
            <w:vAlign w:val="center"/>
          </w:tcPr>
          <w:p>
            <w:pPr>
              <w:pStyle w:val="42"/>
              <w:bidi w:val="0"/>
              <w:rPr>
                <w:color w:val="auto"/>
                <w:highlight w:val="none"/>
              </w:rPr>
            </w:pPr>
            <w:r>
              <w:rPr>
                <w:color w:val="auto"/>
                <w:highlight w:val="none"/>
              </w:rPr>
              <w:t>施工区和施工道路洒水降尘洒水车</w:t>
            </w:r>
          </w:p>
        </w:tc>
        <w:tc>
          <w:tcPr>
            <w:tcW w:w="775" w:type="dxa"/>
            <w:vAlign w:val="center"/>
          </w:tcPr>
          <w:p>
            <w:pPr>
              <w:pStyle w:val="42"/>
              <w:bidi w:val="0"/>
              <w:rPr>
                <w:color w:val="auto"/>
                <w:highlight w:val="none"/>
              </w:rPr>
            </w:pPr>
            <w:r>
              <w:rPr>
                <w:color w:val="auto"/>
                <w:highlight w:val="none"/>
              </w:rPr>
              <w:t>辆</w:t>
            </w:r>
          </w:p>
        </w:tc>
        <w:tc>
          <w:tcPr>
            <w:tcW w:w="787" w:type="dxa"/>
            <w:vAlign w:val="center"/>
          </w:tcPr>
          <w:p>
            <w:pPr>
              <w:pStyle w:val="42"/>
              <w:bidi w:val="0"/>
              <w:rPr>
                <w:color w:val="auto"/>
                <w:highlight w:val="none"/>
              </w:rPr>
            </w:pPr>
            <w:r>
              <w:rPr>
                <w:color w:val="auto"/>
                <w:highlight w:val="none"/>
              </w:rPr>
              <w:t>2</w:t>
            </w:r>
          </w:p>
        </w:tc>
        <w:tc>
          <w:tcPr>
            <w:tcW w:w="748" w:type="dxa"/>
            <w:vAlign w:val="center"/>
          </w:tcPr>
          <w:p>
            <w:pPr>
              <w:pStyle w:val="42"/>
              <w:bidi w:val="0"/>
              <w:rPr>
                <w:color w:val="auto"/>
                <w:highlight w:val="none"/>
              </w:rPr>
            </w:pPr>
            <w:r>
              <w:rPr>
                <w:color w:val="auto"/>
                <w:highlight w:val="none"/>
              </w:rPr>
              <w:t>7</w:t>
            </w:r>
          </w:p>
        </w:tc>
        <w:tc>
          <w:tcPr>
            <w:tcW w:w="869" w:type="dxa"/>
            <w:vAlign w:val="center"/>
          </w:tcPr>
          <w:p>
            <w:pPr>
              <w:pStyle w:val="42"/>
              <w:bidi w:val="0"/>
              <w:rPr>
                <w:color w:val="auto"/>
                <w:highlight w:val="none"/>
              </w:rPr>
            </w:pPr>
            <w:r>
              <w:rPr>
                <w:color w:val="auto"/>
                <w:highlight w:val="none"/>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823" w:type="dxa"/>
            <w:vMerge w:val="continue"/>
            <w:vAlign w:val="center"/>
          </w:tcPr>
          <w:p>
            <w:pPr>
              <w:pStyle w:val="42"/>
              <w:bidi w:val="0"/>
              <w:rPr>
                <w:color w:val="auto"/>
                <w:highlight w:val="none"/>
              </w:rPr>
            </w:pPr>
          </w:p>
        </w:tc>
        <w:tc>
          <w:tcPr>
            <w:tcW w:w="1182" w:type="dxa"/>
            <w:vMerge w:val="continue"/>
            <w:vAlign w:val="center"/>
          </w:tcPr>
          <w:p>
            <w:pPr>
              <w:pStyle w:val="42"/>
              <w:bidi w:val="0"/>
              <w:rPr>
                <w:color w:val="auto"/>
                <w:highlight w:val="none"/>
              </w:rPr>
            </w:pPr>
          </w:p>
        </w:tc>
        <w:tc>
          <w:tcPr>
            <w:tcW w:w="3204" w:type="dxa"/>
            <w:vAlign w:val="center"/>
          </w:tcPr>
          <w:p>
            <w:pPr>
              <w:pStyle w:val="42"/>
              <w:bidi w:val="0"/>
              <w:rPr>
                <w:color w:val="auto"/>
                <w:highlight w:val="none"/>
              </w:rPr>
            </w:pPr>
            <w:r>
              <w:rPr>
                <w:color w:val="auto"/>
                <w:highlight w:val="none"/>
              </w:rPr>
              <w:t>在进场道路路口设噪声禁鸣标志， 减速慢行</w:t>
            </w:r>
          </w:p>
        </w:tc>
        <w:tc>
          <w:tcPr>
            <w:tcW w:w="775" w:type="dxa"/>
            <w:vAlign w:val="center"/>
          </w:tcPr>
          <w:p>
            <w:pPr>
              <w:pStyle w:val="42"/>
              <w:bidi w:val="0"/>
              <w:rPr>
                <w:color w:val="auto"/>
                <w:highlight w:val="none"/>
              </w:rPr>
            </w:pPr>
            <w:r>
              <w:rPr>
                <w:color w:val="auto"/>
                <w:highlight w:val="none"/>
              </w:rPr>
              <w:t>项目</w:t>
            </w:r>
          </w:p>
        </w:tc>
        <w:tc>
          <w:tcPr>
            <w:tcW w:w="787" w:type="dxa"/>
            <w:vAlign w:val="center"/>
          </w:tcPr>
          <w:p>
            <w:pPr>
              <w:pStyle w:val="42"/>
              <w:bidi w:val="0"/>
              <w:rPr>
                <w:color w:val="auto"/>
                <w:highlight w:val="none"/>
              </w:rPr>
            </w:pPr>
            <w:r>
              <w:rPr>
                <w:color w:val="auto"/>
                <w:highlight w:val="none"/>
              </w:rPr>
              <w:t>3</w:t>
            </w:r>
          </w:p>
        </w:tc>
        <w:tc>
          <w:tcPr>
            <w:tcW w:w="748"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0.01</w:t>
            </w:r>
          </w:p>
        </w:tc>
        <w:tc>
          <w:tcPr>
            <w:tcW w:w="869"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7" w:hRule="atLeast"/>
          <w:jc w:val="center"/>
        </w:trPr>
        <w:tc>
          <w:tcPr>
            <w:tcW w:w="823" w:type="dxa"/>
            <w:vMerge w:val="continue"/>
            <w:vAlign w:val="center"/>
          </w:tcPr>
          <w:p>
            <w:pPr>
              <w:pStyle w:val="42"/>
              <w:bidi w:val="0"/>
              <w:rPr>
                <w:color w:val="auto"/>
                <w:highlight w:val="none"/>
              </w:rPr>
            </w:pPr>
          </w:p>
        </w:tc>
        <w:tc>
          <w:tcPr>
            <w:tcW w:w="1182" w:type="dxa"/>
            <w:vMerge w:val="continue"/>
            <w:vAlign w:val="center"/>
          </w:tcPr>
          <w:p>
            <w:pPr>
              <w:pStyle w:val="42"/>
              <w:bidi w:val="0"/>
              <w:rPr>
                <w:color w:val="auto"/>
                <w:highlight w:val="none"/>
              </w:rPr>
            </w:pPr>
          </w:p>
        </w:tc>
        <w:tc>
          <w:tcPr>
            <w:tcW w:w="3204" w:type="dxa"/>
            <w:vAlign w:val="center"/>
          </w:tcPr>
          <w:p>
            <w:pPr>
              <w:pStyle w:val="42"/>
              <w:bidi w:val="0"/>
              <w:rPr>
                <w:color w:val="auto"/>
                <w:highlight w:val="none"/>
              </w:rPr>
            </w:pPr>
            <w:r>
              <w:rPr>
                <w:color w:val="auto"/>
                <w:highlight w:val="none"/>
              </w:rPr>
              <w:t>对距离居民点较近的工区进行围挡</w:t>
            </w:r>
          </w:p>
        </w:tc>
        <w:tc>
          <w:tcPr>
            <w:tcW w:w="775" w:type="dxa"/>
            <w:vAlign w:val="center"/>
          </w:tcPr>
          <w:p>
            <w:pPr>
              <w:pStyle w:val="42"/>
              <w:bidi w:val="0"/>
              <w:rPr>
                <w:color w:val="auto"/>
                <w:highlight w:val="none"/>
              </w:rPr>
            </w:pPr>
            <w:r>
              <w:rPr>
                <w:color w:val="auto"/>
                <w:highlight w:val="none"/>
              </w:rPr>
              <w:t>处（米）</w:t>
            </w:r>
          </w:p>
        </w:tc>
        <w:tc>
          <w:tcPr>
            <w:tcW w:w="787" w:type="dxa"/>
            <w:vAlign w:val="center"/>
          </w:tcPr>
          <w:p>
            <w:pPr>
              <w:pStyle w:val="42"/>
              <w:bidi w:val="0"/>
              <w:rPr>
                <w:color w:val="auto"/>
                <w:highlight w:val="none"/>
              </w:rPr>
            </w:pPr>
            <w:r>
              <w:rPr>
                <w:color w:val="auto"/>
                <w:highlight w:val="none"/>
              </w:rPr>
              <w:t>360</w:t>
            </w:r>
          </w:p>
        </w:tc>
        <w:tc>
          <w:tcPr>
            <w:tcW w:w="748" w:type="dxa"/>
            <w:vAlign w:val="center"/>
          </w:tcPr>
          <w:p>
            <w:pPr>
              <w:pStyle w:val="42"/>
              <w:bidi w:val="0"/>
              <w:rPr>
                <w:color w:val="auto"/>
                <w:highlight w:val="none"/>
              </w:rPr>
            </w:pPr>
            <w:r>
              <w:rPr>
                <w:color w:val="auto"/>
                <w:highlight w:val="none"/>
              </w:rPr>
              <w:t>0.21</w:t>
            </w:r>
          </w:p>
        </w:tc>
        <w:tc>
          <w:tcPr>
            <w:tcW w:w="869" w:type="dxa"/>
            <w:vAlign w:val="center"/>
          </w:tcPr>
          <w:p>
            <w:pPr>
              <w:pStyle w:val="42"/>
              <w:bidi w:val="0"/>
              <w:rPr>
                <w:color w:val="auto"/>
                <w:highlight w:val="none"/>
              </w:rPr>
            </w:pPr>
            <w:r>
              <w:rPr>
                <w:color w:val="auto"/>
                <w:highlight w:val="none"/>
              </w:rPr>
              <w:t>75.6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8" w:hRule="atLeast"/>
          <w:jc w:val="center"/>
        </w:trPr>
        <w:tc>
          <w:tcPr>
            <w:tcW w:w="823" w:type="dxa"/>
            <w:vMerge w:val="continue"/>
            <w:vAlign w:val="center"/>
          </w:tcPr>
          <w:p>
            <w:pPr>
              <w:pStyle w:val="42"/>
              <w:bidi w:val="0"/>
              <w:rPr>
                <w:color w:val="auto"/>
                <w:highlight w:val="none"/>
              </w:rPr>
            </w:pPr>
          </w:p>
        </w:tc>
        <w:tc>
          <w:tcPr>
            <w:tcW w:w="1182" w:type="dxa"/>
            <w:vMerge w:val="restart"/>
            <w:vAlign w:val="center"/>
          </w:tcPr>
          <w:p>
            <w:pPr>
              <w:pStyle w:val="42"/>
              <w:bidi w:val="0"/>
              <w:rPr>
                <w:color w:val="auto"/>
                <w:highlight w:val="none"/>
              </w:rPr>
            </w:pPr>
            <w:r>
              <w:rPr>
                <w:color w:val="auto"/>
                <w:highlight w:val="none"/>
              </w:rPr>
              <w:t>生态保护设施</w:t>
            </w:r>
          </w:p>
        </w:tc>
        <w:tc>
          <w:tcPr>
            <w:tcW w:w="3204" w:type="dxa"/>
            <w:vAlign w:val="center"/>
          </w:tcPr>
          <w:p>
            <w:pPr>
              <w:pStyle w:val="42"/>
              <w:bidi w:val="0"/>
              <w:rPr>
                <w:color w:val="auto"/>
                <w:highlight w:val="none"/>
              </w:rPr>
            </w:pPr>
            <w:r>
              <w:rPr>
                <w:color w:val="auto"/>
                <w:highlight w:val="none"/>
              </w:rPr>
              <w:t>施工迹地生态恢复</w:t>
            </w:r>
          </w:p>
        </w:tc>
        <w:tc>
          <w:tcPr>
            <w:tcW w:w="775" w:type="dxa"/>
            <w:vAlign w:val="center"/>
          </w:tcPr>
          <w:p>
            <w:pPr>
              <w:pStyle w:val="42"/>
              <w:bidi w:val="0"/>
              <w:rPr>
                <w:rFonts w:hint="eastAsia" w:eastAsia="宋体"/>
                <w:color w:val="auto"/>
                <w:highlight w:val="none"/>
                <w:lang w:val="en-US" w:eastAsia="zh-CN"/>
              </w:rPr>
            </w:pPr>
            <w:r>
              <w:rPr>
                <w:rFonts w:hint="eastAsia"/>
                <w:color w:val="auto"/>
                <w:highlight w:val="none"/>
                <w:lang w:val="en-US" w:eastAsia="zh-CN"/>
              </w:rPr>
              <w:t>/</w:t>
            </w:r>
          </w:p>
        </w:tc>
        <w:tc>
          <w:tcPr>
            <w:tcW w:w="787" w:type="dxa"/>
            <w:vAlign w:val="center"/>
          </w:tcPr>
          <w:p>
            <w:pPr>
              <w:pStyle w:val="42"/>
              <w:bidi w:val="0"/>
              <w:rPr>
                <w:color w:val="auto"/>
                <w:highlight w:val="none"/>
              </w:rPr>
            </w:pPr>
            <w:r>
              <w:rPr>
                <w:color w:val="auto"/>
                <w:highlight w:val="none"/>
              </w:rPr>
              <w:t>/</w:t>
            </w:r>
          </w:p>
        </w:tc>
        <w:tc>
          <w:tcPr>
            <w:tcW w:w="748" w:type="dxa"/>
            <w:vAlign w:val="center"/>
          </w:tcPr>
          <w:p>
            <w:pPr>
              <w:pStyle w:val="42"/>
              <w:bidi w:val="0"/>
              <w:rPr>
                <w:color w:val="auto"/>
                <w:highlight w:val="none"/>
              </w:rPr>
            </w:pPr>
            <w:r>
              <w:rPr>
                <w:color w:val="auto"/>
                <w:highlight w:val="none"/>
              </w:rPr>
              <w:t>343</w:t>
            </w:r>
          </w:p>
        </w:tc>
        <w:tc>
          <w:tcPr>
            <w:tcW w:w="869" w:type="dxa"/>
            <w:vAlign w:val="center"/>
          </w:tcPr>
          <w:p>
            <w:pPr>
              <w:pStyle w:val="42"/>
              <w:bidi w:val="0"/>
              <w:rPr>
                <w:color w:val="auto"/>
                <w:highlight w:val="none"/>
              </w:rPr>
            </w:pPr>
            <w:r>
              <w:rPr>
                <w:color w:val="auto"/>
                <w:highlight w:val="none"/>
              </w:rPr>
              <w:t>343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6" w:hRule="atLeast"/>
          <w:jc w:val="center"/>
        </w:trPr>
        <w:tc>
          <w:tcPr>
            <w:tcW w:w="823" w:type="dxa"/>
            <w:vMerge w:val="continue"/>
            <w:vAlign w:val="center"/>
          </w:tcPr>
          <w:p>
            <w:pPr>
              <w:pStyle w:val="42"/>
              <w:bidi w:val="0"/>
              <w:rPr>
                <w:color w:val="0000FF"/>
                <w:highlight w:val="none"/>
              </w:rPr>
            </w:pPr>
          </w:p>
        </w:tc>
        <w:tc>
          <w:tcPr>
            <w:tcW w:w="1182" w:type="dxa"/>
            <w:vMerge w:val="continue"/>
            <w:vAlign w:val="center"/>
          </w:tcPr>
          <w:p>
            <w:pPr>
              <w:pStyle w:val="42"/>
              <w:bidi w:val="0"/>
              <w:rPr>
                <w:color w:val="0000FF"/>
                <w:highlight w:val="none"/>
              </w:rPr>
            </w:pPr>
          </w:p>
        </w:tc>
        <w:tc>
          <w:tcPr>
            <w:tcW w:w="3204" w:type="dxa"/>
            <w:vAlign w:val="center"/>
          </w:tcPr>
          <w:p>
            <w:pPr>
              <w:pStyle w:val="42"/>
              <w:bidi w:val="0"/>
              <w:rPr>
                <w:color w:val="0000FF"/>
                <w:highlight w:val="none"/>
              </w:rPr>
            </w:pPr>
            <w:r>
              <w:rPr>
                <w:color w:val="0000FF"/>
                <w:highlight w:val="none"/>
              </w:rPr>
              <w:t>保护植物围挡+立牌</w:t>
            </w:r>
          </w:p>
        </w:tc>
        <w:tc>
          <w:tcPr>
            <w:tcW w:w="775" w:type="dxa"/>
            <w:vAlign w:val="center"/>
          </w:tcPr>
          <w:p>
            <w:pPr>
              <w:pStyle w:val="42"/>
              <w:bidi w:val="0"/>
              <w:rPr>
                <w:rFonts w:hint="eastAsia" w:eastAsia="宋体"/>
                <w:color w:val="0000FF"/>
                <w:highlight w:val="none"/>
                <w:lang w:eastAsia="zh-CN"/>
              </w:rPr>
            </w:pPr>
            <w:r>
              <w:rPr>
                <w:rFonts w:hint="eastAsia"/>
                <w:color w:val="0000FF"/>
                <w:highlight w:val="none"/>
                <w:lang w:val="en-US" w:eastAsia="zh-CN"/>
              </w:rPr>
              <w:t>/</w:t>
            </w:r>
          </w:p>
        </w:tc>
        <w:tc>
          <w:tcPr>
            <w:tcW w:w="787" w:type="dxa"/>
            <w:vAlign w:val="center"/>
          </w:tcPr>
          <w:p>
            <w:pPr>
              <w:pStyle w:val="42"/>
              <w:bidi w:val="0"/>
              <w:rPr>
                <w:rFonts w:hint="eastAsia" w:eastAsia="宋体"/>
                <w:color w:val="0000FF"/>
                <w:highlight w:val="none"/>
                <w:lang w:eastAsia="zh-CN"/>
              </w:rPr>
            </w:pPr>
            <w:r>
              <w:rPr>
                <w:rFonts w:hint="eastAsia"/>
                <w:color w:val="0000FF"/>
                <w:highlight w:val="none"/>
                <w:lang w:val="en-US" w:eastAsia="zh-CN"/>
              </w:rPr>
              <w:t>/</w:t>
            </w:r>
          </w:p>
        </w:tc>
        <w:tc>
          <w:tcPr>
            <w:tcW w:w="748" w:type="dxa"/>
            <w:vAlign w:val="center"/>
          </w:tcPr>
          <w:p>
            <w:pPr>
              <w:pStyle w:val="42"/>
              <w:bidi w:val="0"/>
              <w:rPr>
                <w:color w:val="0000FF"/>
                <w:highlight w:val="none"/>
              </w:rPr>
            </w:pPr>
            <w:r>
              <w:rPr>
                <w:color w:val="0000FF"/>
                <w:highlight w:val="none"/>
              </w:rPr>
              <w:t>0.5</w:t>
            </w:r>
          </w:p>
        </w:tc>
        <w:tc>
          <w:tcPr>
            <w:tcW w:w="869" w:type="dxa"/>
            <w:vAlign w:val="center"/>
          </w:tcPr>
          <w:p>
            <w:pPr>
              <w:pStyle w:val="42"/>
              <w:bidi w:val="0"/>
              <w:rPr>
                <w:color w:val="0000FF"/>
                <w:highlight w:val="none"/>
              </w:rPr>
            </w:pPr>
            <w:r>
              <w:rPr>
                <w:color w:val="0000FF"/>
                <w:highlight w:val="none"/>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94" w:hRule="atLeast"/>
          <w:jc w:val="center"/>
        </w:trPr>
        <w:tc>
          <w:tcPr>
            <w:tcW w:w="823" w:type="dxa"/>
            <w:vMerge w:val="continue"/>
            <w:vAlign w:val="center"/>
          </w:tcPr>
          <w:p>
            <w:pPr>
              <w:pStyle w:val="42"/>
              <w:bidi w:val="0"/>
              <w:rPr>
                <w:color w:val="auto"/>
                <w:highlight w:val="none"/>
              </w:rPr>
            </w:pPr>
          </w:p>
        </w:tc>
        <w:tc>
          <w:tcPr>
            <w:tcW w:w="1182" w:type="dxa"/>
            <w:vAlign w:val="center"/>
          </w:tcPr>
          <w:p>
            <w:pPr>
              <w:pStyle w:val="42"/>
              <w:bidi w:val="0"/>
              <w:jc w:val="center"/>
              <w:rPr>
                <w:color w:val="auto"/>
                <w:highlight w:val="none"/>
              </w:rPr>
            </w:pPr>
            <w:r>
              <w:rPr>
                <w:color w:val="auto"/>
                <w:highlight w:val="none"/>
              </w:rPr>
              <w:t>噪声防治措 施</w:t>
            </w:r>
          </w:p>
        </w:tc>
        <w:tc>
          <w:tcPr>
            <w:tcW w:w="3204" w:type="dxa"/>
            <w:vAlign w:val="center"/>
          </w:tcPr>
          <w:p>
            <w:pPr>
              <w:pStyle w:val="42"/>
              <w:bidi w:val="0"/>
              <w:jc w:val="center"/>
              <w:rPr>
                <w:color w:val="auto"/>
                <w:highlight w:val="none"/>
              </w:rPr>
            </w:pPr>
            <w:r>
              <w:rPr>
                <w:color w:val="auto"/>
                <w:highlight w:val="none"/>
              </w:rPr>
              <w:t>施工区外声环境保护目标处设置临</w:t>
            </w:r>
          </w:p>
          <w:p>
            <w:pPr>
              <w:pStyle w:val="42"/>
              <w:bidi w:val="0"/>
              <w:jc w:val="center"/>
              <w:rPr>
                <w:color w:val="auto"/>
                <w:highlight w:val="none"/>
              </w:rPr>
            </w:pPr>
            <w:r>
              <w:rPr>
                <w:color w:val="auto"/>
                <w:highlight w:val="none"/>
              </w:rPr>
              <w:t>时围挡，必要时设置移动声屏障、隔声罩和隔声间，进行封闭施工</w:t>
            </w:r>
          </w:p>
        </w:tc>
        <w:tc>
          <w:tcPr>
            <w:tcW w:w="775" w:type="dxa"/>
            <w:vAlign w:val="center"/>
          </w:tcPr>
          <w:p>
            <w:pPr>
              <w:pStyle w:val="42"/>
              <w:bidi w:val="0"/>
              <w:jc w:val="center"/>
              <w:rPr>
                <w:color w:val="auto"/>
                <w:highlight w:val="none"/>
              </w:rPr>
            </w:pPr>
            <w:r>
              <w:rPr>
                <w:color w:val="auto"/>
                <w:highlight w:val="none"/>
              </w:rPr>
              <w:t>/</w:t>
            </w:r>
          </w:p>
        </w:tc>
        <w:tc>
          <w:tcPr>
            <w:tcW w:w="787" w:type="dxa"/>
            <w:vAlign w:val="center"/>
          </w:tcPr>
          <w:p>
            <w:pPr>
              <w:pStyle w:val="42"/>
              <w:bidi w:val="0"/>
              <w:jc w:val="center"/>
              <w:rPr>
                <w:color w:val="auto"/>
                <w:highlight w:val="none"/>
              </w:rPr>
            </w:pPr>
            <w:r>
              <w:rPr>
                <w:color w:val="auto"/>
                <w:highlight w:val="none"/>
              </w:rPr>
              <w:t>/</w:t>
            </w:r>
          </w:p>
        </w:tc>
        <w:tc>
          <w:tcPr>
            <w:tcW w:w="748" w:type="dxa"/>
            <w:vAlign w:val="center"/>
          </w:tcPr>
          <w:p>
            <w:pPr>
              <w:pStyle w:val="42"/>
              <w:bidi w:val="0"/>
              <w:jc w:val="center"/>
              <w:rPr>
                <w:color w:val="auto"/>
                <w:highlight w:val="none"/>
              </w:rPr>
            </w:pPr>
            <w:r>
              <w:rPr>
                <w:color w:val="auto"/>
                <w:highlight w:val="none"/>
              </w:rPr>
              <w:t>12</w:t>
            </w:r>
          </w:p>
        </w:tc>
        <w:tc>
          <w:tcPr>
            <w:tcW w:w="869" w:type="dxa"/>
            <w:vAlign w:val="center"/>
          </w:tcPr>
          <w:p>
            <w:pPr>
              <w:pStyle w:val="42"/>
              <w:bidi w:val="0"/>
              <w:jc w:val="center"/>
              <w:rPr>
                <w:color w:val="auto"/>
                <w:highlight w:val="none"/>
              </w:rPr>
            </w:pPr>
            <w:r>
              <w:rPr>
                <w:color w:val="auto"/>
                <w:highlight w:val="none"/>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823" w:type="dxa"/>
            <w:vMerge w:val="restart"/>
            <w:vAlign w:val="center"/>
          </w:tcPr>
          <w:p>
            <w:pPr>
              <w:pStyle w:val="42"/>
              <w:bidi w:val="0"/>
              <w:jc w:val="center"/>
              <w:rPr>
                <w:color w:val="auto"/>
                <w:highlight w:val="none"/>
              </w:rPr>
            </w:pPr>
            <w:r>
              <w:rPr>
                <w:color w:val="auto"/>
                <w:highlight w:val="none"/>
              </w:rPr>
              <w:t>运行期环保工程</w:t>
            </w:r>
          </w:p>
        </w:tc>
        <w:tc>
          <w:tcPr>
            <w:tcW w:w="1182" w:type="dxa"/>
            <w:vAlign w:val="center"/>
          </w:tcPr>
          <w:p>
            <w:pPr>
              <w:pStyle w:val="42"/>
              <w:bidi w:val="0"/>
              <w:rPr>
                <w:color w:val="0000FF"/>
                <w:highlight w:val="none"/>
              </w:rPr>
            </w:pPr>
            <w:r>
              <w:rPr>
                <w:color w:val="0000FF"/>
                <w:highlight w:val="none"/>
              </w:rPr>
              <w:t>陆生生态保 护措施</w:t>
            </w:r>
          </w:p>
        </w:tc>
        <w:tc>
          <w:tcPr>
            <w:tcW w:w="3204" w:type="dxa"/>
            <w:vAlign w:val="center"/>
          </w:tcPr>
          <w:p>
            <w:pPr>
              <w:pStyle w:val="42"/>
              <w:bidi w:val="0"/>
              <w:rPr>
                <w:color w:val="0000FF"/>
                <w:highlight w:val="none"/>
              </w:rPr>
            </w:pPr>
            <w:r>
              <w:rPr>
                <w:color w:val="0000FF"/>
                <w:highlight w:val="none"/>
              </w:rPr>
              <w:t>宣传教育：宣传教育、宣传栏、警示牌。</w:t>
            </w:r>
          </w:p>
        </w:tc>
        <w:tc>
          <w:tcPr>
            <w:tcW w:w="775" w:type="dxa"/>
            <w:vAlign w:val="center"/>
          </w:tcPr>
          <w:p>
            <w:pPr>
              <w:pStyle w:val="42"/>
              <w:bidi w:val="0"/>
              <w:rPr>
                <w:color w:val="auto"/>
                <w:highlight w:val="none"/>
              </w:rPr>
            </w:pPr>
            <w:r>
              <w:rPr>
                <w:color w:val="auto"/>
                <w:highlight w:val="none"/>
              </w:rPr>
              <w:t>——</w:t>
            </w:r>
          </w:p>
        </w:tc>
        <w:tc>
          <w:tcPr>
            <w:tcW w:w="787" w:type="dxa"/>
            <w:vAlign w:val="center"/>
          </w:tcPr>
          <w:p>
            <w:pPr>
              <w:pStyle w:val="42"/>
              <w:bidi w:val="0"/>
              <w:rPr>
                <w:color w:val="auto"/>
                <w:highlight w:val="none"/>
              </w:rPr>
            </w:pPr>
            <w:r>
              <w:rPr>
                <w:color w:val="auto"/>
                <w:highlight w:val="none"/>
              </w:rPr>
              <w:t>——</w:t>
            </w:r>
          </w:p>
        </w:tc>
        <w:tc>
          <w:tcPr>
            <w:tcW w:w="748" w:type="dxa"/>
            <w:vAlign w:val="center"/>
          </w:tcPr>
          <w:p>
            <w:pPr>
              <w:pStyle w:val="42"/>
              <w:bidi w:val="0"/>
              <w:rPr>
                <w:color w:val="auto"/>
                <w:highlight w:val="none"/>
              </w:rPr>
            </w:pPr>
            <w:r>
              <w:rPr>
                <w:color w:val="auto"/>
                <w:highlight w:val="none"/>
              </w:rPr>
              <w:t>0.3</w:t>
            </w:r>
          </w:p>
        </w:tc>
        <w:tc>
          <w:tcPr>
            <w:tcW w:w="869" w:type="dxa"/>
            <w:vAlign w:val="center"/>
          </w:tcPr>
          <w:p>
            <w:pPr>
              <w:pStyle w:val="42"/>
              <w:bidi w:val="0"/>
              <w:rPr>
                <w:color w:val="auto"/>
                <w:highlight w:val="none"/>
              </w:rPr>
            </w:pPr>
            <w:r>
              <w:rPr>
                <w:color w:val="auto"/>
                <w:highlight w:val="none"/>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0" w:hRule="atLeast"/>
          <w:jc w:val="center"/>
        </w:trPr>
        <w:tc>
          <w:tcPr>
            <w:tcW w:w="823" w:type="dxa"/>
            <w:vMerge w:val="continue"/>
            <w:vAlign w:val="center"/>
          </w:tcPr>
          <w:p>
            <w:pPr>
              <w:pStyle w:val="42"/>
              <w:bidi w:val="0"/>
              <w:rPr>
                <w:color w:val="auto"/>
                <w:highlight w:val="none"/>
              </w:rPr>
            </w:pPr>
          </w:p>
        </w:tc>
        <w:tc>
          <w:tcPr>
            <w:tcW w:w="1182" w:type="dxa"/>
            <w:vAlign w:val="center"/>
          </w:tcPr>
          <w:p>
            <w:pPr>
              <w:pStyle w:val="42"/>
              <w:bidi w:val="0"/>
              <w:rPr>
                <w:color w:val="auto"/>
                <w:highlight w:val="none"/>
              </w:rPr>
            </w:pPr>
            <w:r>
              <w:rPr>
                <w:color w:val="auto"/>
                <w:highlight w:val="none"/>
              </w:rPr>
              <w:t>水环境护</w:t>
            </w:r>
          </w:p>
          <w:p>
            <w:pPr>
              <w:pStyle w:val="42"/>
              <w:bidi w:val="0"/>
              <w:rPr>
                <w:color w:val="auto"/>
                <w:highlight w:val="none"/>
              </w:rPr>
            </w:pPr>
            <w:r>
              <w:rPr>
                <w:color w:val="auto"/>
                <w:highlight w:val="none"/>
              </w:rPr>
              <w:t>措施</w:t>
            </w:r>
          </w:p>
        </w:tc>
        <w:tc>
          <w:tcPr>
            <w:tcW w:w="3204" w:type="dxa"/>
            <w:vAlign w:val="center"/>
          </w:tcPr>
          <w:p>
            <w:pPr>
              <w:pStyle w:val="42"/>
              <w:bidi w:val="0"/>
              <w:rPr>
                <w:rFonts w:hint="default" w:eastAsia="宋"/>
                <w:color w:val="auto"/>
                <w:highlight w:val="none"/>
                <w:lang w:val="en-US" w:eastAsia="zh-CN"/>
              </w:rPr>
            </w:pPr>
            <w:r>
              <w:rPr>
                <w:rFonts w:hint="eastAsia" w:cs="Times New Roman"/>
                <w:color w:val="0000FF"/>
                <w:highlight w:val="none"/>
                <w:shd w:val="clear"/>
                <w:lang w:val="en-US" w:eastAsia="zh-CN"/>
              </w:rPr>
              <w:t>1</w:t>
            </w:r>
            <w:r>
              <w:rPr>
                <w:rFonts w:hint="default" w:ascii="Times New Roman" w:hAnsi="Times New Roman" w:cs="Times New Roman"/>
                <w:color w:val="0000FF"/>
                <w:highlight w:val="none"/>
                <w:shd w:val="clear"/>
                <w:lang w:val="en-US" w:eastAsia="zh-CN"/>
              </w:rPr>
              <w:t>m</w:t>
            </w:r>
            <w:r>
              <w:rPr>
                <w:rFonts w:hint="default" w:ascii="Times New Roman" w:hAnsi="Times New Roman" w:cs="Times New Roman"/>
                <w:color w:val="0000FF"/>
                <w:highlight w:val="none"/>
                <w:shd w:val="clear"/>
                <w:vertAlign w:val="superscript"/>
                <w:lang w:val="en-US" w:eastAsia="zh-CN"/>
              </w:rPr>
              <w:t>3</w:t>
            </w:r>
            <w:r>
              <w:rPr>
                <w:rFonts w:hint="default" w:ascii="Times New Roman" w:hAnsi="Times New Roman" w:cs="Times New Roman"/>
                <w:color w:val="0000FF"/>
                <w:highlight w:val="none"/>
                <w:shd w:val="clear"/>
                <w:lang w:val="en-US" w:eastAsia="zh-CN"/>
              </w:rPr>
              <w:t>隔油池</w:t>
            </w:r>
            <w:r>
              <w:rPr>
                <w:rFonts w:hint="eastAsia" w:ascii="Times New Roman" w:hAnsi="Times New Roman" w:cs="Times New Roman"/>
                <w:color w:val="0000FF"/>
                <w:highlight w:val="none"/>
                <w:shd w:val="clear"/>
                <w:lang w:val="en-US" w:eastAsia="zh-CN"/>
              </w:rPr>
              <w:t>、</w:t>
            </w:r>
            <w:r>
              <w:rPr>
                <w:rFonts w:hint="eastAsia"/>
                <w:color w:val="0000FF"/>
                <w:highlight w:val="none"/>
                <w:lang w:val="en-US" w:eastAsia="zh-CN"/>
              </w:rPr>
              <w:t>1.5</w:t>
            </w:r>
            <w:r>
              <w:rPr>
                <w:color w:val="0000FF"/>
                <w:highlight w:val="none"/>
              </w:rPr>
              <w:t>m</w:t>
            </w:r>
            <w:r>
              <w:rPr>
                <w:color w:val="0000FF"/>
                <w:highlight w:val="none"/>
                <w:vertAlign w:val="superscript"/>
              </w:rPr>
              <w:t>3</w:t>
            </w:r>
            <w:r>
              <w:rPr>
                <w:rFonts w:hint="eastAsia"/>
                <w:color w:val="0000FF"/>
                <w:highlight w:val="none"/>
                <w:lang w:val="en-US" w:eastAsia="zh-CN"/>
              </w:rPr>
              <w:t>化粪池</w:t>
            </w:r>
          </w:p>
        </w:tc>
        <w:tc>
          <w:tcPr>
            <w:tcW w:w="775" w:type="dxa"/>
            <w:vAlign w:val="center"/>
          </w:tcPr>
          <w:p>
            <w:pPr>
              <w:pStyle w:val="42"/>
              <w:bidi w:val="0"/>
              <w:rPr>
                <w:rFonts w:hint="eastAsia" w:eastAsia="宋"/>
                <w:color w:val="auto"/>
                <w:highlight w:val="none"/>
                <w:lang w:eastAsia="zh-CN"/>
              </w:rPr>
            </w:pPr>
            <w:r>
              <w:rPr>
                <w:rFonts w:hint="eastAsia"/>
                <w:color w:val="auto"/>
                <w:highlight w:val="none"/>
                <w:lang w:eastAsia="zh-CN"/>
              </w:rPr>
              <w:t>套</w:t>
            </w:r>
          </w:p>
        </w:tc>
        <w:tc>
          <w:tcPr>
            <w:tcW w:w="787" w:type="dxa"/>
            <w:vAlign w:val="center"/>
          </w:tcPr>
          <w:p>
            <w:pPr>
              <w:pStyle w:val="42"/>
              <w:bidi w:val="0"/>
              <w:rPr>
                <w:rFonts w:hint="eastAsia" w:eastAsia="宋"/>
                <w:color w:val="auto"/>
                <w:highlight w:val="none"/>
                <w:lang w:val="en-US" w:eastAsia="zh-CN"/>
              </w:rPr>
            </w:pPr>
            <w:r>
              <w:rPr>
                <w:rFonts w:hint="eastAsia"/>
                <w:color w:val="auto"/>
                <w:highlight w:val="none"/>
                <w:lang w:val="en-US" w:eastAsia="zh-CN"/>
              </w:rPr>
              <w:t>1</w:t>
            </w:r>
          </w:p>
        </w:tc>
        <w:tc>
          <w:tcPr>
            <w:tcW w:w="748"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0.5</w:t>
            </w:r>
          </w:p>
        </w:tc>
        <w:tc>
          <w:tcPr>
            <w:tcW w:w="869"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1" w:hRule="atLeast"/>
          <w:jc w:val="center"/>
        </w:trPr>
        <w:tc>
          <w:tcPr>
            <w:tcW w:w="823" w:type="dxa"/>
            <w:vMerge w:val="continue"/>
            <w:vAlign w:val="center"/>
          </w:tcPr>
          <w:p>
            <w:pPr>
              <w:pStyle w:val="42"/>
              <w:bidi w:val="0"/>
              <w:rPr>
                <w:color w:val="auto"/>
                <w:highlight w:val="none"/>
              </w:rPr>
            </w:pPr>
          </w:p>
        </w:tc>
        <w:tc>
          <w:tcPr>
            <w:tcW w:w="1182" w:type="dxa"/>
            <w:vAlign w:val="center"/>
          </w:tcPr>
          <w:p>
            <w:pPr>
              <w:pStyle w:val="42"/>
              <w:bidi w:val="0"/>
              <w:rPr>
                <w:color w:val="auto"/>
                <w:highlight w:val="none"/>
              </w:rPr>
            </w:pPr>
            <w:r>
              <w:rPr>
                <w:color w:val="auto"/>
                <w:highlight w:val="none"/>
              </w:rPr>
              <w:t>噪声污染防治措施</w:t>
            </w:r>
          </w:p>
        </w:tc>
        <w:tc>
          <w:tcPr>
            <w:tcW w:w="3204" w:type="dxa"/>
            <w:vAlign w:val="center"/>
          </w:tcPr>
          <w:p>
            <w:pPr>
              <w:pStyle w:val="42"/>
              <w:bidi w:val="0"/>
              <w:rPr>
                <w:color w:val="auto"/>
                <w:highlight w:val="none"/>
              </w:rPr>
            </w:pPr>
            <w:r>
              <w:rPr>
                <w:color w:val="auto"/>
                <w:highlight w:val="none"/>
              </w:rPr>
              <w:t>泵站噪声：设置在泵房内，减震降 噪</w:t>
            </w:r>
          </w:p>
        </w:tc>
        <w:tc>
          <w:tcPr>
            <w:tcW w:w="775" w:type="dxa"/>
            <w:vAlign w:val="center"/>
          </w:tcPr>
          <w:p>
            <w:pPr>
              <w:pStyle w:val="42"/>
              <w:bidi w:val="0"/>
              <w:rPr>
                <w:color w:val="auto"/>
                <w:highlight w:val="none"/>
              </w:rPr>
            </w:pPr>
            <w:r>
              <w:rPr>
                <w:color w:val="auto"/>
                <w:highlight w:val="none"/>
              </w:rPr>
              <w:t>——</w:t>
            </w:r>
          </w:p>
        </w:tc>
        <w:tc>
          <w:tcPr>
            <w:tcW w:w="787" w:type="dxa"/>
            <w:vAlign w:val="center"/>
          </w:tcPr>
          <w:p>
            <w:pPr>
              <w:pStyle w:val="42"/>
              <w:bidi w:val="0"/>
              <w:rPr>
                <w:color w:val="auto"/>
                <w:highlight w:val="none"/>
              </w:rPr>
            </w:pPr>
            <w:r>
              <w:rPr>
                <w:color w:val="auto"/>
                <w:highlight w:val="none"/>
              </w:rPr>
              <w:t>——</w:t>
            </w:r>
          </w:p>
        </w:tc>
        <w:tc>
          <w:tcPr>
            <w:tcW w:w="748" w:type="dxa"/>
            <w:vAlign w:val="center"/>
          </w:tcPr>
          <w:p>
            <w:pPr>
              <w:pStyle w:val="42"/>
              <w:bidi w:val="0"/>
              <w:rPr>
                <w:color w:val="auto"/>
                <w:highlight w:val="none"/>
              </w:rPr>
            </w:pPr>
            <w:r>
              <w:rPr>
                <w:color w:val="auto"/>
                <w:highlight w:val="none"/>
              </w:rPr>
              <w:t>5.0</w:t>
            </w:r>
          </w:p>
        </w:tc>
        <w:tc>
          <w:tcPr>
            <w:tcW w:w="869" w:type="dxa"/>
            <w:vAlign w:val="center"/>
          </w:tcPr>
          <w:p>
            <w:pPr>
              <w:pStyle w:val="42"/>
              <w:bidi w:val="0"/>
              <w:rPr>
                <w:color w:val="auto"/>
                <w:highlight w:val="none"/>
              </w:rPr>
            </w:pPr>
            <w:r>
              <w:rPr>
                <w:color w:val="auto"/>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6" w:hRule="atLeast"/>
          <w:jc w:val="center"/>
        </w:trPr>
        <w:tc>
          <w:tcPr>
            <w:tcW w:w="823" w:type="dxa"/>
            <w:vMerge w:val="continue"/>
            <w:vAlign w:val="center"/>
          </w:tcPr>
          <w:p>
            <w:pPr>
              <w:pStyle w:val="42"/>
              <w:bidi w:val="0"/>
              <w:rPr>
                <w:color w:val="auto"/>
                <w:highlight w:val="none"/>
              </w:rPr>
            </w:pPr>
          </w:p>
        </w:tc>
        <w:tc>
          <w:tcPr>
            <w:tcW w:w="1182" w:type="dxa"/>
            <w:vAlign w:val="center"/>
          </w:tcPr>
          <w:p>
            <w:pPr>
              <w:pStyle w:val="42"/>
              <w:bidi w:val="0"/>
              <w:rPr>
                <w:color w:val="auto"/>
                <w:highlight w:val="none"/>
              </w:rPr>
            </w:pPr>
            <w:r>
              <w:rPr>
                <w:color w:val="auto"/>
                <w:highlight w:val="none"/>
              </w:rPr>
              <w:t>危废收集</w:t>
            </w:r>
          </w:p>
        </w:tc>
        <w:tc>
          <w:tcPr>
            <w:tcW w:w="3204" w:type="dxa"/>
            <w:vAlign w:val="center"/>
          </w:tcPr>
          <w:p>
            <w:pPr>
              <w:pStyle w:val="42"/>
              <w:bidi w:val="0"/>
              <w:jc w:val="both"/>
              <w:rPr>
                <w:color w:val="auto"/>
                <w:highlight w:val="none"/>
              </w:rPr>
            </w:pPr>
            <w:r>
              <w:rPr>
                <w:rFonts w:hint="eastAsia"/>
                <w:color w:val="0000FF"/>
                <w:highlight w:val="none"/>
                <w:lang w:val="en-US" w:eastAsia="zh-CN"/>
              </w:rPr>
              <w:t>在2个泵站内各设置1间危废暂存间。</w:t>
            </w:r>
            <w:r>
              <w:rPr>
                <w:rFonts w:hint="eastAsia"/>
                <w:color w:val="auto"/>
                <w:highlight w:val="none"/>
              </w:rPr>
              <w:t>基础防渗设置100mm厚P8抗渗混凝土防渗（等效2mm厚高密度聚乙烯），渗透系数要求为≤10-10cm/s，表面刷防腐漆，采用带盖收集桶收集废机油，同时设置围堰。</w:t>
            </w:r>
          </w:p>
        </w:tc>
        <w:tc>
          <w:tcPr>
            <w:tcW w:w="775" w:type="dxa"/>
            <w:vAlign w:val="center"/>
          </w:tcPr>
          <w:p>
            <w:pPr>
              <w:pStyle w:val="42"/>
              <w:bidi w:val="0"/>
              <w:rPr>
                <w:color w:val="auto"/>
                <w:highlight w:val="none"/>
              </w:rPr>
            </w:pPr>
            <w:r>
              <w:rPr>
                <w:color w:val="auto"/>
                <w:highlight w:val="none"/>
              </w:rPr>
              <w:t>间</w:t>
            </w:r>
          </w:p>
        </w:tc>
        <w:tc>
          <w:tcPr>
            <w:tcW w:w="787" w:type="dxa"/>
            <w:vAlign w:val="center"/>
          </w:tcPr>
          <w:p>
            <w:pPr>
              <w:pStyle w:val="42"/>
              <w:bidi w:val="0"/>
              <w:rPr>
                <w:rFonts w:hint="eastAsia" w:eastAsia="宋"/>
                <w:color w:val="auto"/>
                <w:highlight w:val="none"/>
                <w:lang w:eastAsia="zh-CN"/>
              </w:rPr>
            </w:pPr>
            <w:r>
              <w:rPr>
                <w:rFonts w:hint="eastAsia"/>
                <w:color w:val="auto"/>
                <w:highlight w:val="none"/>
                <w:lang w:val="en-US" w:eastAsia="zh-CN"/>
              </w:rPr>
              <w:t>2</w:t>
            </w:r>
          </w:p>
        </w:tc>
        <w:tc>
          <w:tcPr>
            <w:tcW w:w="748" w:type="dxa"/>
            <w:vAlign w:val="center"/>
          </w:tcPr>
          <w:p>
            <w:pPr>
              <w:pStyle w:val="42"/>
              <w:bidi w:val="0"/>
              <w:rPr>
                <w:color w:val="auto"/>
                <w:highlight w:val="none"/>
              </w:rPr>
            </w:pPr>
            <w:r>
              <w:rPr>
                <w:color w:val="auto"/>
                <w:highlight w:val="none"/>
              </w:rPr>
              <w:t>2</w:t>
            </w:r>
          </w:p>
        </w:tc>
        <w:tc>
          <w:tcPr>
            <w:tcW w:w="869" w:type="dxa"/>
            <w:vAlign w:val="center"/>
          </w:tcPr>
          <w:p>
            <w:pPr>
              <w:pStyle w:val="42"/>
              <w:bidi w:val="0"/>
              <w:rPr>
                <w:rFonts w:hint="eastAsia" w:eastAsia="宋"/>
                <w:color w:val="auto"/>
                <w:highlight w:val="none"/>
                <w:lang w:eastAsia="zh-CN"/>
              </w:rPr>
            </w:pPr>
            <w:r>
              <w:rPr>
                <w:rFonts w:hint="eastAsia"/>
                <w:color w:val="auto"/>
                <w:highlight w:val="no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jc w:val="center"/>
        </w:trPr>
        <w:tc>
          <w:tcPr>
            <w:tcW w:w="2005" w:type="dxa"/>
            <w:gridSpan w:val="2"/>
            <w:vMerge w:val="restart"/>
            <w:vAlign w:val="center"/>
          </w:tcPr>
          <w:p>
            <w:pPr>
              <w:pStyle w:val="42"/>
              <w:bidi w:val="0"/>
              <w:rPr>
                <w:color w:val="auto"/>
                <w:highlight w:val="none"/>
              </w:rPr>
            </w:pPr>
            <w:r>
              <w:rPr>
                <w:color w:val="auto"/>
                <w:highlight w:val="none"/>
              </w:rPr>
              <w:t>环境管理</w:t>
            </w:r>
          </w:p>
        </w:tc>
        <w:tc>
          <w:tcPr>
            <w:tcW w:w="3204" w:type="dxa"/>
            <w:vAlign w:val="center"/>
          </w:tcPr>
          <w:p>
            <w:pPr>
              <w:pStyle w:val="42"/>
              <w:bidi w:val="0"/>
              <w:rPr>
                <w:color w:val="auto"/>
                <w:highlight w:val="none"/>
              </w:rPr>
            </w:pPr>
            <w:r>
              <w:rPr>
                <w:color w:val="auto"/>
                <w:highlight w:val="none"/>
              </w:rPr>
              <w:t>环境监理费</w:t>
            </w:r>
          </w:p>
        </w:tc>
        <w:tc>
          <w:tcPr>
            <w:tcW w:w="775" w:type="dxa"/>
            <w:vAlign w:val="center"/>
          </w:tcPr>
          <w:p>
            <w:pPr>
              <w:pStyle w:val="42"/>
              <w:bidi w:val="0"/>
              <w:rPr>
                <w:color w:val="auto"/>
                <w:highlight w:val="none"/>
              </w:rPr>
            </w:pPr>
            <w:r>
              <w:rPr>
                <w:color w:val="auto"/>
                <w:highlight w:val="none"/>
              </w:rPr>
              <w:t>人·年</w:t>
            </w:r>
          </w:p>
        </w:tc>
        <w:tc>
          <w:tcPr>
            <w:tcW w:w="787" w:type="dxa"/>
            <w:vAlign w:val="center"/>
          </w:tcPr>
          <w:p>
            <w:pPr>
              <w:pStyle w:val="42"/>
              <w:bidi w:val="0"/>
              <w:rPr>
                <w:color w:val="auto"/>
                <w:highlight w:val="none"/>
              </w:rPr>
            </w:pPr>
            <w:r>
              <w:rPr>
                <w:color w:val="auto"/>
                <w:highlight w:val="none"/>
              </w:rPr>
              <w:t>2</w:t>
            </w:r>
          </w:p>
        </w:tc>
        <w:tc>
          <w:tcPr>
            <w:tcW w:w="748" w:type="dxa"/>
            <w:vAlign w:val="center"/>
          </w:tcPr>
          <w:p>
            <w:pPr>
              <w:pStyle w:val="42"/>
              <w:bidi w:val="0"/>
              <w:rPr>
                <w:color w:val="auto"/>
                <w:highlight w:val="none"/>
              </w:rPr>
            </w:pPr>
            <w:r>
              <w:rPr>
                <w:color w:val="auto"/>
                <w:highlight w:val="none"/>
              </w:rPr>
              <w:t>4</w:t>
            </w:r>
          </w:p>
        </w:tc>
        <w:tc>
          <w:tcPr>
            <w:tcW w:w="869" w:type="dxa"/>
            <w:vAlign w:val="center"/>
          </w:tcPr>
          <w:p>
            <w:pPr>
              <w:pStyle w:val="42"/>
              <w:bidi w:val="0"/>
              <w:rPr>
                <w:color w:val="auto"/>
                <w:highlight w:val="none"/>
              </w:rPr>
            </w:pPr>
            <w:r>
              <w:rPr>
                <w:color w:val="auto"/>
                <w:highlight w:val="none"/>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2005" w:type="dxa"/>
            <w:gridSpan w:val="2"/>
            <w:vMerge w:val="continue"/>
            <w:vAlign w:val="center"/>
          </w:tcPr>
          <w:p>
            <w:pPr>
              <w:pStyle w:val="42"/>
              <w:bidi w:val="0"/>
              <w:rPr>
                <w:color w:val="auto"/>
                <w:highlight w:val="none"/>
              </w:rPr>
            </w:pPr>
          </w:p>
        </w:tc>
        <w:tc>
          <w:tcPr>
            <w:tcW w:w="3204" w:type="dxa"/>
            <w:vAlign w:val="center"/>
          </w:tcPr>
          <w:p>
            <w:pPr>
              <w:pStyle w:val="42"/>
              <w:bidi w:val="0"/>
              <w:rPr>
                <w:color w:val="auto"/>
                <w:highlight w:val="none"/>
              </w:rPr>
            </w:pPr>
            <w:r>
              <w:rPr>
                <w:color w:val="auto"/>
                <w:highlight w:val="none"/>
              </w:rPr>
              <w:t>环保设计咨询费</w:t>
            </w:r>
          </w:p>
        </w:tc>
        <w:tc>
          <w:tcPr>
            <w:tcW w:w="775" w:type="dxa"/>
            <w:vAlign w:val="center"/>
          </w:tcPr>
          <w:p>
            <w:pPr>
              <w:pStyle w:val="42"/>
              <w:bidi w:val="0"/>
              <w:rPr>
                <w:color w:val="auto"/>
                <w:highlight w:val="none"/>
              </w:rPr>
            </w:pPr>
            <w:r>
              <w:rPr>
                <w:color w:val="auto"/>
                <w:highlight w:val="none"/>
              </w:rPr>
              <w:t>项</w:t>
            </w:r>
          </w:p>
        </w:tc>
        <w:tc>
          <w:tcPr>
            <w:tcW w:w="787" w:type="dxa"/>
            <w:vAlign w:val="center"/>
          </w:tcPr>
          <w:p>
            <w:pPr>
              <w:pStyle w:val="42"/>
              <w:bidi w:val="0"/>
              <w:rPr>
                <w:color w:val="auto"/>
                <w:highlight w:val="none"/>
              </w:rPr>
            </w:pPr>
            <w:r>
              <w:rPr>
                <w:color w:val="auto"/>
                <w:highlight w:val="none"/>
              </w:rPr>
              <w:t>1</w:t>
            </w:r>
          </w:p>
        </w:tc>
        <w:tc>
          <w:tcPr>
            <w:tcW w:w="748" w:type="dxa"/>
            <w:vAlign w:val="center"/>
          </w:tcPr>
          <w:p>
            <w:pPr>
              <w:pStyle w:val="42"/>
              <w:bidi w:val="0"/>
              <w:rPr>
                <w:color w:val="auto"/>
                <w:highlight w:val="none"/>
              </w:rPr>
            </w:pPr>
            <w:r>
              <w:rPr>
                <w:color w:val="auto"/>
                <w:highlight w:val="none"/>
              </w:rPr>
              <w:t>40</w:t>
            </w:r>
          </w:p>
        </w:tc>
        <w:tc>
          <w:tcPr>
            <w:tcW w:w="869" w:type="dxa"/>
            <w:vAlign w:val="center"/>
          </w:tcPr>
          <w:p>
            <w:pPr>
              <w:pStyle w:val="42"/>
              <w:bidi w:val="0"/>
              <w:rPr>
                <w:color w:val="auto"/>
                <w:highlight w:val="none"/>
              </w:rPr>
            </w:pPr>
            <w:r>
              <w:rPr>
                <w:color w:val="auto"/>
                <w:highlight w:val="none"/>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9" w:hRule="atLeast"/>
          <w:jc w:val="center"/>
        </w:trPr>
        <w:tc>
          <w:tcPr>
            <w:tcW w:w="2005" w:type="dxa"/>
            <w:gridSpan w:val="2"/>
            <w:vMerge w:val="continue"/>
            <w:vAlign w:val="center"/>
          </w:tcPr>
          <w:p>
            <w:pPr>
              <w:pStyle w:val="42"/>
              <w:bidi w:val="0"/>
              <w:rPr>
                <w:color w:val="auto"/>
                <w:highlight w:val="none"/>
              </w:rPr>
            </w:pPr>
          </w:p>
        </w:tc>
        <w:tc>
          <w:tcPr>
            <w:tcW w:w="3204" w:type="dxa"/>
            <w:vAlign w:val="center"/>
          </w:tcPr>
          <w:p>
            <w:pPr>
              <w:pStyle w:val="42"/>
              <w:bidi w:val="0"/>
              <w:rPr>
                <w:color w:val="auto"/>
                <w:highlight w:val="none"/>
              </w:rPr>
            </w:pPr>
            <w:r>
              <w:rPr>
                <w:color w:val="auto"/>
                <w:highlight w:val="none"/>
              </w:rPr>
              <w:t>环境保护措施竣工验收费</w:t>
            </w:r>
          </w:p>
        </w:tc>
        <w:tc>
          <w:tcPr>
            <w:tcW w:w="775" w:type="dxa"/>
            <w:vAlign w:val="center"/>
          </w:tcPr>
          <w:p>
            <w:pPr>
              <w:pStyle w:val="42"/>
              <w:bidi w:val="0"/>
              <w:rPr>
                <w:color w:val="auto"/>
                <w:highlight w:val="none"/>
              </w:rPr>
            </w:pPr>
            <w:r>
              <w:rPr>
                <w:color w:val="auto"/>
                <w:highlight w:val="none"/>
              </w:rPr>
              <w:t>项</w:t>
            </w:r>
          </w:p>
        </w:tc>
        <w:tc>
          <w:tcPr>
            <w:tcW w:w="787" w:type="dxa"/>
            <w:vAlign w:val="center"/>
          </w:tcPr>
          <w:p>
            <w:pPr>
              <w:pStyle w:val="42"/>
              <w:bidi w:val="0"/>
              <w:rPr>
                <w:color w:val="auto"/>
                <w:highlight w:val="none"/>
              </w:rPr>
            </w:pPr>
            <w:r>
              <w:rPr>
                <w:color w:val="auto"/>
                <w:highlight w:val="none"/>
              </w:rPr>
              <w:t>1</w:t>
            </w:r>
          </w:p>
        </w:tc>
        <w:tc>
          <w:tcPr>
            <w:tcW w:w="748"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15</w:t>
            </w:r>
          </w:p>
        </w:tc>
        <w:tc>
          <w:tcPr>
            <w:tcW w:w="869"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2005" w:type="dxa"/>
            <w:gridSpan w:val="2"/>
            <w:vMerge w:val="continue"/>
            <w:vAlign w:val="center"/>
          </w:tcPr>
          <w:p>
            <w:pPr>
              <w:pStyle w:val="42"/>
              <w:bidi w:val="0"/>
              <w:rPr>
                <w:color w:val="auto"/>
                <w:highlight w:val="none"/>
              </w:rPr>
            </w:pPr>
          </w:p>
        </w:tc>
        <w:tc>
          <w:tcPr>
            <w:tcW w:w="3204" w:type="dxa"/>
            <w:vAlign w:val="center"/>
          </w:tcPr>
          <w:p>
            <w:pPr>
              <w:pStyle w:val="42"/>
              <w:bidi w:val="0"/>
              <w:rPr>
                <w:color w:val="auto"/>
                <w:highlight w:val="none"/>
              </w:rPr>
            </w:pPr>
            <w:r>
              <w:rPr>
                <w:color w:val="auto"/>
                <w:highlight w:val="none"/>
              </w:rPr>
              <w:t>环境影响评价费</w:t>
            </w:r>
          </w:p>
        </w:tc>
        <w:tc>
          <w:tcPr>
            <w:tcW w:w="775" w:type="dxa"/>
            <w:vAlign w:val="center"/>
          </w:tcPr>
          <w:p>
            <w:pPr>
              <w:pStyle w:val="42"/>
              <w:bidi w:val="0"/>
              <w:rPr>
                <w:color w:val="auto"/>
                <w:highlight w:val="none"/>
              </w:rPr>
            </w:pPr>
            <w:r>
              <w:rPr>
                <w:color w:val="auto"/>
                <w:highlight w:val="none"/>
              </w:rPr>
              <w:t>项</w:t>
            </w:r>
          </w:p>
        </w:tc>
        <w:tc>
          <w:tcPr>
            <w:tcW w:w="787" w:type="dxa"/>
            <w:vAlign w:val="center"/>
          </w:tcPr>
          <w:p>
            <w:pPr>
              <w:pStyle w:val="42"/>
              <w:bidi w:val="0"/>
              <w:rPr>
                <w:color w:val="auto"/>
                <w:highlight w:val="none"/>
              </w:rPr>
            </w:pPr>
            <w:r>
              <w:rPr>
                <w:color w:val="auto"/>
                <w:highlight w:val="none"/>
              </w:rPr>
              <w:t>1</w:t>
            </w:r>
          </w:p>
        </w:tc>
        <w:tc>
          <w:tcPr>
            <w:tcW w:w="748"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20</w:t>
            </w:r>
          </w:p>
        </w:tc>
        <w:tc>
          <w:tcPr>
            <w:tcW w:w="869"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7" w:hRule="atLeast"/>
          <w:jc w:val="center"/>
        </w:trPr>
        <w:tc>
          <w:tcPr>
            <w:tcW w:w="2005" w:type="dxa"/>
            <w:gridSpan w:val="2"/>
            <w:vAlign w:val="center"/>
          </w:tcPr>
          <w:p>
            <w:pPr>
              <w:pStyle w:val="42"/>
              <w:bidi w:val="0"/>
              <w:rPr>
                <w:color w:val="auto"/>
                <w:highlight w:val="none"/>
              </w:rPr>
            </w:pPr>
            <w:r>
              <w:rPr>
                <w:color w:val="auto"/>
                <w:highlight w:val="none"/>
              </w:rPr>
              <w:t>合计</w:t>
            </w:r>
          </w:p>
        </w:tc>
        <w:tc>
          <w:tcPr>
            <w:tcW w:w="3204" w:type="dxa"/>
            <w:vAlign w:val="center"/>
          </w:tcPr>
          <w:p>
            <w:pPr>
              <w:pStyle w:val="42"/>
              <w:bidi w:val="0"/>
              <w:rPr>
                <w:color w:val="auto"/>
                <w:highlight w:val="none"/>
              </w:rPr>
            </w:pPr>
            <w:r>
              <w:rPr>
                <w:color w:val="auto"/>
                <w:highlight w:val="none"/>
              </w:rPr>
              <w:t>环境保护总投资</w:t>
            </w:r>
          </w:p>
        </w:tc>
        <w:tc>
          <w:tcPr>
            <w:tcW w:w="775" w:type="dxa"/>
            <w:vAlign w:val="center"/>
          </w:tcPr>
          <w:p>
            <w:pPr>
              <w:pStyle w:val="42"/>
              <w:bidi w:val="0"/>
              <w:rPr>
                <w:color w:val="auto"/>
                <w:highlight w:val="none"/>
              </w:rPr>
            </w:pPr>
            <w:r>
              <w:rPr>
                <w:color w:val="auto"/>
                <w:highlight w:val="none"/>
              </w:rPr>
              <w:t>——</w:t>
            </w:r>
          </w:p>
        </w:tc>
        <w:tc>
          <w:tcPr>
            <w:tcW w:w="787" w:type="dxa"/>
            <w:vAlign w:val="center"/>
          </w:tcPr>
          <w:p>
            <w:pPr>
              <w:pStyle w:val="42"/>
              <w:bidi w:val="0"/>
              <w:rPr>
                <w:color w:val="auto"/>
                <w:highlight w:val="none"/>
              </w:rPr>
            </w:pPr>
            <w:r>
              <w:rPr>
                <w:color w:val="auto"/>
                <w:highlight w:val="none"/>
              </w:rPr>
              <w:t>——</w:t>
            </w:r>
          </w:p>
        </w:tc>
        <w:tc>
          <w:tcPr>
            <w:tcW w:w="748" w:type="dxa"/>
            <w:vAlign w:val="center"/>
          </w:tcPr>
          <w:p>
            <w:pPr>
              <w:pStyle w:val="42"/>
              <w:bidi w:val="0"/>
              <w:rPr>
                <w:color w:val="auto"/>
                <w:highlight w:val="none"/>
              </w:rPr>
            </w:pPr>
            <w:r>
              <w:rPr>
                <w:color w:val="auto"/>
                <w:highlight w:val="none"/>
              </w:rPr>
              <w:t>——</w:t>
            </w:r>
          </w:p>
        </w:tc>
        <w:tc>
          <w:tcPr>
            <w:tcW w:w="869" w:type="dxa"/>
            <w:vAlign w:val="center"/>
          </w:tcPr>
          <w:p>
            <w:pPr>
              <w:pStyle w:val="42"/>
              <w:bidi w:val="0"/>
              <w:rPr>
                <w:rFonts w:hint="default" w:eastAsia="宋"/>
                <w:color w:val="auto"/>
                <w:highlight w:val="none"/>
                <w:lang w:val="en-US" w:eastAsia="zh-CN"/>
              </w:rPr>
            </w:pPr>
            <w:r>
              <w:rPr>
                <w:rFonts w:hint="eastAsia"/>
                <w:color w:val="auto"/>
                <w:highlight w:val="none"/>
                <w:lang w:val="en-US" w:eastAsia="zh-CN"/>
              </w:rPr>
              <w:t>543.63</w:t>
            </w:r>
          </w:p>
        </w:tc>
      </w:tr>
    </w:tbl>
    <w:p>
      <w:pPr>
        <w:pStyle w:val="3"/>
        <w:numPr>
          <w:ilvl w:val="1"/>
          <w:numId w:val="2"/>
        </w:numPr>
        <w:tabs>
          <w:tab w:val="left" w:pos="420"/>
        </w:tabs>
        <w:bidi w:val="0"/>
        <w:rPr>
          <w:color w:val="0000FF"/>
        </w:rPr>
      </w:pPr>
      <w:bookmarkStart w:id="809" w:name="_Toc20368"/>
      <w:r>
        <w:rPr>
          <w:color w:val="0000FF"/>
        </w:rPr>
        <w:t xml:space="preserve"> </w:t>
      </w:r>
      <w:bookmarkStart w:id="810" w:name="_Toc29885"/>
      <w:bookmarkStart w:id="811" w:name="_Toc22285"/>
      <w:bookmarkStart w:id="812" w:name="_Toc9094"/>
      <w:bookmarkStart w:id="813" w:name="_Toc6110"/>
      <w:r>
        <w:rPr>
          <w:color w:val="0000FF"/>
        </w:rPr>
        <w:t>环境影响经济效益分析</w:t>
      </w:r>
      <w:bookmarkEnd w:id="809"/>
      <w:bookmarkEnd w:id="810"/>
      <w:bookmarkEnd w:id="811"/>
      <w:bookmarkEnd w:id="812"/>
      <w:bookmarkEnd w:id="813"/>
    </w:p>
    <w:p>
      <w:pPr>
        <w:pStyle w:val="4"/>
        <w:numPr>
          <w:ilvl w:val="2"/>
          <w:numId w:val="2"/>
        </w:numPr>
        <w:tabs>
          <w:tab w:val="left" w:pos="420"/>
        </w:tabs>
        <w:bidi w:val="0"/>
        <w:rPr>
          <w:color w:val="auto"/>
        </w:rPr>
      </w:pPr>
      <w:bookmarkStart w:id="814" w:name="_Toc19435"/>
      <w:bookmarkStart w:id="815" w:name="_Toc22753"/>
      <w:bookmarkStart w:id="816" w:name="_Toc29474"/>
      <w:bookmarkStart w:id="817" w:name="_Toc14676"/>
      <w:r>
        <w:rPr>
          <w:color w:val="auto"/>
        </w:rPr>
        <w:t>社会效益</w:t>
      </w:r>
      <w:bookmarkEnd w:id="814"/>
      <w:bookmarkEnd w:id="815"/>
      <w:bookmarkEnd w:id="816"/>
      <w:bookmarkEnd w:id="817"/>
    </w:p>
    <w:p>
      <w:pPr>
        <w:bidi w:val="0"/>
        <w:ind w:firstLine="480" w:firstLineChars="200"/>
        <w:rPr>
          <w:color w:val="auto"/>
          <w:highlight w:val="none"/>
        </w:rPr>
      </w:pPr>
      <w:r>
        <w:rPr>
          <w:color w:val="auto"/>
          <w:highlight w:val="none"/>
        </w:rPr>
        <w:t>（1）促进全面建成小康社会</w:t>
      </w:r>
    </w:p>
    <w:p>
      <w:pPr>
        <w:bidi w:val="0"/>
        <w:ind w:firstLine="480" w:firstLineChars="200"/>
        <w:rPr>
          <w:color w:val="auto"/>
          <w:highlight w:val="none"/>
        </w:rPr>
      </w:pPr>
      <w:r>
        <w:rPr>
          <w:color w:val="auto"/>
          <w:highlight w:val="none"/>
        </w:rPr>
        <w:t>目前我国已进入全面建成小康社会的最后冲刺阶段，农业水价综合改革贯穿了</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农业、农民、农村</w:t>
      </w:r>
      <w:r>
        <w:rPr>
          <w:rFonts w:hint="eastAsia" w:ascii="宋体" w:hAnsi="宋体" w:eastAsia="宋体" w:cs="宋体"/>
          <w:color w:val="auto"/>
          <w:highlight w:val="none"/>
          <w:lang w:eastAsia="zh-CN"/>
        </w:rPr>
        <w:t>”</w:t>
      </w:r>
      <w:r>
        <w:rPr>
          <w:color w:val="auto"/>
          <w:highlight w:val="none"/>
        </w:rPr>
        <w:t>发展的全过程，通过改革，化解灌溉水事纠纷，促进村民自治和农村社会和谐，同时促进农村社会和谐及解放农村劳动力，使更多农民工进城务工，增加农村、农民收入，提高广大农民群众的生活水平和质量。</w:t>
      </w:r>
    </w:p>
    <w:p>
      <w:pPr>
        <w:bidi w:val="0"/>
        <w:ind w:firstLine="480" w:firstLineChars="200"/>
        <w:rPr>
          <w:color w:val="auto"/>
          <w:highlight w:val="none"/>
        </w:rPr>
      </w:pPr>
      <w:r>
        <w:rPr>
          <w:color w:val="auto"/>
          <w:highlight w:val="none"/>
        </w:rPr>
        <w:t>（2）促进农业现代化发展</w:t>
      </w:r>
    </w:p>
    <w:p>
      <w:pPr>
        <w:bidi w:val="0"/>
        <w:ind w:firstLine="480" w:firstLineChars="200"/>
        <w:rPr>
          <w:color w:val="auto"/>
          <w:highlight w:val="none"/>
        </w:rPr>
      </w:pPr>
      <w:r>
        <w:rPr>
          <w:color w:val="auto"/>
          <w:highlight w:val="none"/>
        </w:rPr>
        <w:t>农业水价综合改革实施后，灌溉工程体系逐步完善，工程管护水平逐步提高，同时将充分利用市场调节机制，促使农业生产更加注重质量和效益，农业种植结构得以持续优化，农业生产新技术得以广泛应用，从而促进农业不断向现代化迈</w:t>
      </w:r>
    </w:p>
    <w:p>
      <w:pPr>
        <w:bidi w:val="0"/>
        <w:rPr>
          <w:color w:val="auto"/>
          <w:highlight w:val="none"/>
        </w:rPr>
      </w:pPr>
      <w:r>
        <w:rPr>
          <w:color w:val="auto"/>
          <w:highlight w:val="none"/>
        </w:rPr>
        <w:t>进。</w:t>
      </w:r>
    </w:p>
    <w:p>
      <w:pPr>
        <w:bidi w:val="0"/>
        <w:ind w:firstLine="480" w:firstLineChars="200"/>
        <w:rPr>
          <w:color w:val="auto"/>
          <w:highlight w:val="none"/>
        </w:rPr>
      </w:pPr>
      <w:r>
        <w:rPr>
          <w:color w:val="auto"/>
          <w:highlight w:val="none"/>
        </w:rPr>
        <w:t>（3）受益区群众对水价改革的接受度</w:t>
      </w:r>
    </w:p>
    <w:p>
      <w:pPr>
        <w:bidi w:val="0"/>
        <w:ind w:firstLine="480" w:firstLineChars="200"/>
        <w:rPr>
          <w:color w:val="auto"/>
          <w:highlight w:val="none"/>
        </w:rPr>
      </w:pPr>
      <w:r>
        <w:rPr>
          <w:color w:val="auto"/>
          <w:highlight w:val="none"/>
        </w:rPr>
        <w:t>农业水价综合改革并不是让农民不用水，而是做到科学用水，让水发挥出最大效能，使农民珍惜水资源，杜绝浪费现象。节约的水资源也能够让农民得实惠，其一，建立农业水权制度，节约下来的水量可以进入水权市场进行流转。其二，实行农业水价改革对用水主体定额内的用水给予补贴和节水奖励。</w:t>
      </w:r>
    </w:p>
    <w:p>
      <w:pPr>
        <w:bidi w:val="0"/>
        <w:ind w:firstLine="480" w:firstLineChars="200"/>
        <w:rPr>
          <w:color w:val="auto"/>
          <w:highlight w:val="none"/>
        </w:rPr>
      </w:pPr>
      <w:r>
        <w:rPr>
          <w:color w:val="auto"/>
          <w:highlight w:val="none"/>
        </w:rPr>
        <w:t>（4）促进农业结构调整，增加农民收入</w:t>
      </w:r>
    </w:p>
    <w:p>
      <w:pPr>
        <w:bidi w:val="0"/>
        <w:ind w:firstLine="480" w:firstLineChars="200"/>
        <w:rPr>
          <w:color w:val="auto"/>
          <w:highlight w:val="none"/>
        </w:rPr>
      </w:pPr>
      <w:r>
        <w:rPr>
          <w:color w:val="auto"/>
          <w:highlight w:val="none"/>
        </w:rPr>
        <w:t>项目实施后，将形成完善的灌排系统，一方面有利于推进规模化和专业化经营，项目所在地的区位优势得到了充分发挥，促进了农业结构调整。另一方面，项目实施后，农民可充分利用完善的农业生产设施，发展多种经营，降低生产成本和风险，从而增加收入。同时，低压管道灌溉设施的建设，还可降低灌溉劳动强度，节省劳动时间，使当地农民有更多的时间从事第三产业的发展，可提高农</w:t>
      </w:r>
    </w:p>
    <w:p>
      <w:pPr>
        <w:bidi w:val="0"/>
        <w:rPr>
          <w:color w:val="auto"/>
          <w:highlight w:val="none"/>
        </w:rPr>
      </w:pPr>
      <w:r>
        <w:rPr>
          <w:color w:val="auto"/>
          <w:highlight w:val="none"/>
        </w:rPr>
        <w:t>民的收入水平。</w:t>
      </w:r>
    </w:p>
    <w:p>
      <w:pPr>
        <w:pStyle w:val="4"/>
        <w:numPr>
          <w:ilvl w:val="2"/>
          <w:numId w:val="2"/>
        </w:numPr>
        <w:tabs>
          <w:tab w:val="left" w:pos="420"/>
        </w:tabs>
        <w:bidi w:val="0"/>
        <w:rPr>
          <w:color w:val="auto"/>
        </w:rPr>
      </w:pPr>
      <w:bookmarkStart w:id="818" w:name="_Toc13435"/>
      <w:r>
        <w:rPr>
          <w:color w:val="auto"/>
        </w:rPr>
        <w:t xml:space="preserve"> </w:t>
      </w:r>
      <w:bookmarkStart w:id="819" w:name="_Toc10665"/>
      <w:bookmarkStart w:id="820" w:name="_Toc16651"/>
      <w:bookmarkStart w:id="821" w:name="_Toc649"/>
      <w:r>
        <w:rPr>
          <w:color w:val="auto"/>
        </w:rPr>
        <w:t>生态效益</w:t>
      </w:r>
      <w:bookmarkEnd w:id="818"/>
      <w:bookmarkEnd w:id="819"/>
      <w:bookmarkEnd w:id="820"/>
      <w:bookmarkEnd w:id="821"/>
    </w:p>
    <w:p>
      <w:pPr>
        <w:bidi w:val="0"/>
        <w:ind w:firstLine="480" w:firstLineChars="200"/>
        <w:rPr>
          <w:rFonts w:hint="eastAsia"/>
          <w:color w:val="auto"/>
          <w:highlight w:val="none"/>
          <w:lang w:eastAsia="zh-CN"/>
        </w:rPr>
      </w:pPr>
      <w:r>
        <w:rPr>
          <w:color w:val="auto"/>
          <w:highlight w:val="none"/>
        </w:rPr>
        <w:t>工程建设在满足社会经济发展的同时，也改善了当地的生态环境</w:t>
      </w:r>
      <w:r>
        <w:rPr>
          <w:rFonts w:hint="eastAsia"/>
          <w:color w:val="auto"/>
          <w:highlight w:val="none"/>
          <w:lang w:eastAsia="zh-CN"/>
        </w:rPr>
        <w:t>。</w:t>
      </w:r>
    </w:p>
    <w:p>
      <w:pPr>
        <w:bidi w:val="0"/>
        <w:ind w:firstLine="480" w:firstLineChars="200"/>
        <w:rPr>
          <w:color w:val="auto"/>
          <w:highlight w:val="none"/>
        </w:rPr>
      </w:pPr>
      <w:r>
        <w:rPr>
          <w:color w:val="auto"/>
          <w:highlight w:val="none"/>
        </w:rPr>
        <w:t>项目实施后，可以扩大灌溉面积，种植更多农作物，增强调节气候和净化水体的能力，增加了该地区大气湿润度，调节了区域小气候，改善了当地的生态环境，提高了当地生活质量。</w:t>
      </w:r>
    </w:p>
    <w:p>
      <w:pPr>
        <w:bidi w:val="0"/>
        <w:ind w:firstLine="480" w:firstLineChars="200"/>
        <w:rPr>
          <w:rFonts w:ascii="宋体" w:hAnsi="宋体" w:eastAsia="宋体" w:cs="宋体"/>
          <w:color w:val="auto"/>
          <w:szCs w:val="24"/>
          <w:highlight w:val="none"/>
        </w:rPr>
      </w:pPr>
      <w:r>
        <w:rPr>
          <w:color w:val="auto"/>
          <w:highlight w:val="none"/>
        </w:rPr>
        <w:t>项目实施后，使原有非充分灌溉发展为充分灌溉，缓解了当地的水资源供需矛盾，增加了农作物产量；减少了局部地下水开采，有利于维持当地地下水的采补平衡，使地下水资源能够持续开发利用。</w:t>
      </w:r>
    </w:p>
    <w:p>
      <w:pPr>
        <w:pStyle w:val="4"/>
        <w:numPr>
          <w:ilvl w:val="2"/>
          <w:numId w:val="2"/>
        </w:numPr>
        <w:tabs>
          <w:tab w:val="left" w:pos="420"/>
        </w:tabs>
        <w:bidi w:val="0"/>
        <w:rPr>
          <w:color w:val="auto"/>
        </w:rPr>
      </w:pPr>
      <w:bookmarkStart w:id="822" w:name="_Toc7644"/>
      <w:r>
        <w:rPr>
          <w:color w:val="auto"/>
        </w:rPr>
        <w:t xml:space="preserve"> </w:t>
      </w:r>
      <w:bookmarkStart w:id="823" w:name="_Toc23534"/>
      <w:bookmarkStart w:id="824" w:name="_Toc9838"/>
      <w:bookmarkStart w:id="825" w:name="_Toc24888"/>
      <w:r>
        <w:rPr>
          <w:color w:val="auto"/>
        </w:rPr>
        <w:t>经济效益</w:t>
      </w:r>
      <w:bookmarkEnd w:id="822"/>
      <w:bookmarkEnd w:id="823"/>
      <w:bookmarkEnd w:id="824"/>
      <w:bookmarkEnd w:id="825"/>
    </w:p>
    <w:p>
      <w:pPr>
        <w:bidi w:val="0"/>
        <w:ind w:firstLine="480" w:firstLineChars="200"/>
        <w:rPr>
          <w:color w:val="auto"/>
          <w:highlight w:val="none"/>
        </w:rPr>
      </w:pPr>
      <w:r>
        <w:rPr>
          <w:color w:val="auto"/>
          <w:highlight w:val="none"/>
        </w:rPr>
        <w:t>根据工程特点和实际情况，本工程产生的经济效益主要包括节地效益、增产效益和省工效益。</w:t>
      </w:r>
    </w:p>
    <w:p>
      <w:pPr>
        <w:pStyle w:val="3"/>
        <w:numPr>
          <w:ilvl w:val="1"/>
          <w:numId w:val="2"/>
        </w:numPr>
        <w:tabs>
          <w:tab w:val="left" w:pos="420"/>
        </w:tabs>
        <w:bidi w:val="0"/>
        <w:rPr>
          <w:color w:val="auto"/>
        </w:rPr>
      </w:pPr>
      <w:bookmarkStart w:id="826" w:name="bookmark80"/>
      <w:bookmarkEnd w:id="826"/>
      <w:bookmarkStart w:id="827" w:name="_Toc1192"/>
      <w:r>
        <w:rPr>
          <w:color w:val="auto"/>
        </w:rPr>
        <w:t xml:space="preserve"> </w:t>
      </w:r>
      <w:bookmarkStart w:id="828" w:name="_Toc25439"/>
      <w:bookmarkStart w:id="829" w:name="_Toc22262"/>
      <w:bookmarkStart w:id="830" w:name="_Toc3313"/>
      <w:bookmarkStart w:id="831" w:name="_Toc30408"/>
      <w:r>
        <w:rPr>
          <w:color w:val="auto"/>
        </w:rPr>
        <w:t>环境影响经济损失分析</w:t>
      </w:r>
      <w:bookmarkEnd w:id="827"/>
      <w:bookmarkEnd w:id="828"/>
      <w:bookmarkEnd w:id="829"/>
      <w:bookmarkEnd w:id="830"/>
      <w:bookmarkEnd w:id="831"/>
    </w:p>
    <w:p>
      <w:pPr>
        <w:bidi w:val="0"/>
        <w:ind w:firstLine="480" w:firstLineChars="200"/>
        <w:rPr>
          <w:color w:val="auto"/>
          <w:highlight w:val="none"/>
        </w:rPr>
      </w:pPr>
      <w:r>
        <w:rPr>
          <w:color w:val="auto"/>
          <w:highlight w:val="none"/>
        </w:rPr>
        <w:t>本项目属于非污染生态型项目， 其建设对环境的影响主要来自于施工期，施工期主要的污染物为扬尘、机械车辆尾气、施工人员生活污水、施工生产废水、施工噪声、建筑垃圾、施工人员生活垃圾等，但是，本项目不利环境影响的范围较小、时间较短、程度较低，可以通过采取污染防治措施和生态保护措施得到减缓和避免。本项目环境保护措施投资约</w:t>
      </w:r>
      <w:r>
        <w:rPr>
          <w:rFonts w:hint="eastAsia"/>
          <w:color w:val="auto"/>
          <w:highlight w:val="none"/>
          <w:lang w:val="en-US" w:eastAsia="zh-CN"/>
        </w:rPr>
        <w:t>902.88</w:t>
      </w:r>
      <w:r>
        <w:rPr>
          <w:color w:val="auto"/>
          <w:highlight w:val="none"/>
        </w:rPr>
        <w:t>万元。</w:t>
      </w:r>
    </w:p>
    <w:p>
      <w:pPr>
        <w:pStyle w:val="3"/>
        <w:numPr>
          <w:ilvl w:val="1"/>
          <w:numId w:val="2"/>
        </w:numPr>
        <w:tabs>
          <w:tab w:val="left" w:pos="420"/>
        </w:tabs>
        <w:bidi w:val="0"/>
        <w:rPr>
          <w:color w:val="auto"/>
        </w:rPr>
      </w:pPr>
      <w:bookmarkStart w:id="832" w:name="bookmark81"/>
      <w:bookmarkEnd w:id="832"/>
      <w:bookmarkStart w:id="833" w:name="_Toc3372"/>
      <w:r>
        <w:rPr>
          <w:color w:val="auto"/>
        </w:rPr>
        <w:t xml:space="preserve"> </w:t>
      </w:r>
      <w:bookmarkStart w:id="834" w:name="_Toc25491"/>
      <w:bookmarkStart w:id="835" w:name="_Toc5003"/>
      <w:bookmarkStart w:id="836" w:name="_Toc4156"/>
      <w:bookmarkStart w:id="837" w:name="_Toc5599"/>
      <w:r>
        <w:rPr>
          <w:color w:val="auto"/>
        </w:rPr>
        <w:t>环境经济损益分析</w:t>
      </w:r>
      <w:bookmarkEnd w:id="833"/>
      <w:bookmarkEnd w:id="834"/>
      <w:bookmarkEnd w:id="835"/>
      <w:bookmarkEnd w:id="836"/>
      <w:bookmarkEnd w:id="837"/>
    </w:p>
    <w:p>
      <w:pPr>
        <w:bidi w:val="0"/>
        <w:ind w:firstLine="480" w:firstLineChars="200"/>
        <w:rPr>
          <w:color w:val="auto"/>
          <w:highlight w:val="none"/>
        </w:rPr>
        <w:sectPr>
          <w:pgSz w:w="11906" w:h="16838"/>
          <w:pgMar w:top="1440" w:right="1800" w:bottom="1440" w:left="1800" w:header="851" w:footer="992" w:gutter="0"/>
          <w:pgNumType w:fmt="decimal"/>
          <w:cols w:space="720" w:num="1"/>
          <w:docGrid w:type="lines" w:linePitch="312" w:charSpace="0"/>
        </w:sectPr>
      </w:pPr>
      <w:r>
        <w:rPr>
          <w:color w:val="auto"/>
          <w:highlight w:val="none"/>
        </w:rPr>
        <w:t>根据以上分析，工程具有一定的抗风险能力，再加上显著的社会效益和生态效益，本工程环境效益显著。</w:t>
      </w:r>
    </w:p>
    <w:p>
      <w:pPr>
        <w:bidi w:val="0"/>
        <w:ind w:firstLine="480" w:firstLineChars="200"/>
        <w:rPr>
          <w:color w:val="auto"/>
          <w:highlight w:val="none"/>
        </w:rPr>
      </w:pPr>
    </w:p>
    <w:p>
      <w:pPr>
        <w:pStyle w:val="2"/>
        <w:numPr>
          <w:ilvl w:val="0"/>
          <w:numId w:val="2"/>
        </w:numPr>
        <w:tabs>
          <w:tab w:val="left" w:pos="420"/>
        </w:tabs>
        <w:bidi w:val="0"/>
        <w:rPr>
          <w:color w:val="auto"/>
        </w:rPr>
      </w:pPr>
      <w:bookmarkStart w:id="838" w:name="_Toc22744"/>
      <w:bookmarkStart w:id="839" w:name="_Toc22599"/>
      <w:bookmarkStart w:id="840" w:name="_Toc5786"/>
      <w:bookmarkStart w:id="841" w:name="_Toc11863"/>
      <w:r>
        <w:rPr>
          <w:color w:val="auto"/>
        </w:rPr>
        <w:t>环境管理与监测计划</w:t>
      </w:r>
      <w:bookmarkEnd w:id="838"/>
      <w:bookmarkEnd w:id="839"/>
      <w:bookmarkEnd w:id="840"/>
      <w:bookmarkEnd w:id="841"/>
    </w:p>
    <w:p>
      <w:pPr>
        <w:pStyle w:val="3"/>
        <w:numPr>
          <w:ilvl w:val="1"/>
          <w:numId w:val="2"/>
        </w:numPr>
        <w:tabs>
          <w:tab w:val="left" w:pos="420"/>
        </w:tabs>
        <w:bidi w:val="0"/>
        <w:rPr>
          <w:color w:val="auto"/>
        </w:rPr>
      </w:pPr>
      <w:bookmarkStart w:id="842" w:name="_Toc11876"/>
      <w:bookmarkStart w:id="843" w:name="_Toc32054"/>
      <w:bookmarkStart w:id="844" w:name="_Toc10625"/>
      <w:bookmarkStart w:id="845" w:name="_Toc15602"/>
      <w:r>
        <w:rPr>
          <w:color w:val="auto"/>
        </w:rPr>
        <w:t>环境管理</w:t>
      </w:r>
      <w:bookmarkEnd w:id="842"/>
      <w:bookmarkEnd w:id="843"/>
      <w:bookmarkEnd w:id="844"/>
      <w:bookmarkEnd w:id="845"/>
    </w:p>
    <w:p>
      <w:pPr>
        <w:bidi w:val="0"/>
        <w:ind w:firstLine="480" w:firstLineChars="200"/>
        <w:rPr>
          <w:color w:val="auto"/>
          <w:highlight w:val="none"/>
        </w:rPr>
      </w:pPr>
      <w:r>
        <w:rPr>
          <w:color w:val="auto"/>
          <w:highlight w:val="none"/>
        </w:rPr>
        <w:t>环境管理是工程管理的一部分，是工程环境保护工作有效实施的重要环节。建设项目环境管理的目的在于保证各项环境保护措施的顺利实施，使工程的兴建对环境的不利影响得以减免，维护区域生态稳定，促进工程建设区域的社会经济与生态环境相互协调和良性发展。</w:t>
      </w:r>
    </w:p>
    <w:p>
      <w:pPr>
        <w:bidi w:val="0"/>
        <w:ind w:firstLine="480" w:firstLineChars="200"/>
        <w:rPr>
          <w:rFonts w:ascii="宋体" w:hAnsi="宋体" w:eastAsia="宋体" w:cs="宋体"/>
          <w:color w:val="auto"/>
          <w:szCs w:val="24"/>
          <w:highlight w:val="none"/>
        </w:rPr>
      </w:pPr>
      <w:r>
        <w:rPr>
          <w:color w:val="auto"/>
          <w:highlight w:val="none"/>
        </w:rPr>
        <w:t>本工程环境管理的目标是：确保施工期所有环保措施的落实；加强施工期环境监理；严防施工时污染扩大扩散；确保施工期环保目标的实现。</w:t>
      </w:r>
    </w:p>
    <w:p>
      <w:pPr>
        <w:pStyle w:val="3"/>
        <w:numPr>
          <w:ilvl w:val="1"/>
          <w:numId w:val="2"/>
        </w:numPr>
        <w:tabs>
          <w:tab w:val="left" w:pos="420"/>
        </w:tabs>
        <w:bidi w:val="0"/>
        <w:rPr>
          <w:color w:val="auto"/>
        </w:rPr>
      </w:pPr>
      <w:bookmarkStart w:id="846" w:name="bookmark84"/>
      <w:bookmarkEnd w:id="846"/>
      <w:r>
        <w:rPr>
          <w:color w:val="auto"/>
        </w:rPr>
        <w:t xml:space="preserve"> </w:t>
      </w:r>
      <w:bookmarkStart w:id="847" w:name="_Toc7952"/>
      <w:bookmarkStart w:id="848" w:name="_Toc4652"/>
      <w:bookmarkStart w:id="849" w:name="_Toc27378"/>
      <w:bookmarkStart w:id="850" w:name="_Toc4573"/>
      <w:r>
        <w:rPr>
          <w:color w:val="auto"/>
        </w:rPr>
        <w:t>环境管理原则</w:t>
      </w:r>
      <w:bookmarkEnd w:id="847"/>
      <w:bookmarkEnd w:id="848"/>
      <w:bookmarkEnd w:id="849"/>
      <w:bookmarkEnd w:id="850"/>
    </w:p>
    <w:p>
      <w:pPr>
        <w:bidi w:val="0"/>
        <w:ind w:firstLine="480" w:firstLineChars="200"/>
        <w:rPr>
          <w:color w:val="auto"/>
          <w:highlight w:val="none"/>
        </w:rPr>
      </w:pPr>
      <w:r>
        <w:rPr>
          <w:color w:val="auto"/>
          <w:highlight w:val="none"/>
        </w:rPr>
        <w:t>（1）预防为主，防治结合的原则</w:t>
      </w:r>
    </w:p>
    <w:p>
      <w:pPr>
        <w:bidi w:val="0"/>
        <w:ind w:firstLine="480" w:firstLineChars="200"/>
        <w:rPr>
          <w:color w:val="auto"/>
          <w:highlight w:val="none"/>
        </w:rPr>
      </w:pPr>
      <w:r>
        <w:rPr>
          <w:color w:val="auto"/>
          <w:highlight w:val="none"/>
        </w:rPr>
        <w:t>工程在施工和运行的过程中，环境管理要预先采取防范措施，防止环境污染和生态破坏的现象发生，并把预防作为环境管理的重要原则。</w:t>
      </w:r>
    </w:p>
    <w:p>
      <w:pPr>
        <w:bidi w:val="0"/>
        <w:ind w:firstLine="480" w:firstLineChars="200"/>
        <w:rPr>
          <w:color w:val="auto"/>
          <w:highlight w:val="none"/>
        </w:rPr>
      </w:pPr>
      <w:r>
        <w:rPr>
          <w:color w:val="auto"/>
          <w:highlight w:val="none"/>
        </w:rPr>
        <w:t>（2）分级管理原则</w:t>
      </w:r>
    </w:p>
    <w:p>
      <w:pPr>
        <w:bidi w:val="0"/>
        <w:ind w:firstLine="480" w:firstLineChars="200"/>
        <w:rPr>
          <w:color w:val="auto"/>
          <w:highlight w:val="none"/>
        </w:rPr>
      </w:pPr>
      <w:r>
        <w:rPr>
          <w:color w:val="auto"/>
          <w:highlight w:val="none"/>
        </w:rPr>
        <w:t>工程建设和运行应接受各级环境行政主管部门的监督，而在内部则实行分级管理，层次负责，责任明确。</w:t>
      </w:r>
    </w:p>
    <w:p>
      <w:pPr>
        <w:bidi w:val="0"/>
        <w:ind w:firstLine="480" w:firstLineChars="200"/>
        <w:rPr>
          <w:color w:val="auto"/>
          <w:highlight w:val="none"/>
        </w:rPr>
      </w:pPr>
      <w:r>
        <w:rPr>
          <w:color w:val="auto"/>
          <w:highlight w:val="none"/>
        </w:rPr>
        <w:t>（3）相对独立性原则</w:t>
      </w:r>
    </w:p>
    <w:p>
      <w:pPr>
        <w:bidi w:val="0"/>
        <w:ind w:firstLine="480" w:firstLineChars="200"/>
        <w:rPr>
          <w:color w:val="auto"/>
          <w:highlight w:val="none"/>
        </w:rPr>
      </w:pPr>
      <w:r>
        <w:rPr>
          <w:color w:val="auto"/>
          <w:highlight w:val="none"/>
        </w:rPr>
        <w:t>环境管理是工程管理的一部分，需要满足整个工程管理的要求，但同时环境管理又具有一定的独立性，即必须根据我国的环境保护法律法规体系，从环境保护的角度对工程进行监督管理，协调工程建设与环境保护的关系。</w:t>
      </w:r>
    </w:p>
    <w:p>
      <w:pPr>
        <w:bidi w:val="0"/>
        <w:ind w:firstLine="480" w:firstLineChars="200"/>
        <w:rPr>
          <w:color w:val="auto"/>
          <w:highlight w:val="none"/>
        </w:rPr>
      </w:pPr>
      <w:r>
        <w:rPr>
          <w:color w:val="auto"/>
          <w:highlight w:val="none"/>
        </w:rPr>
        <w:t>（4）针对性原则</w:t>
      </w:r>
    </w:p>
    <w:p>
      <w:pPr>
        <w:bidi w:val="0"/>
        <w:ind w:firstLine="480" w:firstLineChars="200"/>
        <w:rPr>
          <w:color w:val="auto"/>
          <w:highlight w:val="none"/>
        </w:rPr>
      </w:pPr>
      <w:r>
        <w:rPr>
          <w:color w:val="auto"/>
          <w:highlight w:val="none"/>
        </w:rPr>
        <w:t>工程建设的不同时期和不同区域可能出现不同的环境问题，应通过建立合理的环境管理结构和管理制度，针对性地解决出现的问题。</w:t>
      </w:r>
    </w:p>
    <w:p>
      <w:pPr>
        <w:pStyle w:val="3"/>
        <w:numPr>
          <w:ilvl w:val="1"/>
          <w:numId w:val="2"/>
        </w:numPr>
        <w:tabs>
          <w:tab w:val="left" w:pos="420"/>
        </w:tabs>
        <w:bidi w:val="0"/>
        <w:rPr>
          <w:color w:val="auto"/>
        </w:rPr>
      </w:pPr>
      <w:bookmarkStart w:id="851" w:name="bookmark85"/>
      <w:bookmarkEnd w:id="851"/>
      <w:bookmarkStart w:id="852" w:name="_Toc12098"/>
      <w:bookmarkStart w:id="853" w:name="_Toc32197"/>
      <w:bookmarkStart w:id="854" w:name="_Toc27897"/>
      <w:bookmarkStart w:id="855" w:name="_Toc32501"/>
      <w:r>
        <w:rPr>
          <w:color w:val="auto"/>
        </w:rPr>
        <w:t>环境管理机构设置与职责</w:t>
      </w:r>
      <w:bookmarkEnd w:id="852"/>
      <w:bookmarkEnd w:id="853"/>
      <w:bookmarkEnd w:id="854"/>
      <w:bookmarkEnd w:id="855"/>
    </w:p>
    <w:p>
      <w:pPr>
        <w:bidi w:val="0"/>
        <w:ind w:firstLine="480" w:firstLineChars="200"/>
        <w:rPr>
          <w:rFonts w:hint="eastAsia"/>
          <w:color w:val="auto"/>
          <w:highlight w:val="none"/>
          <w:lang w:eastAsia="zh-CN"/>
        </w:rPr>
      </w:pPr>
      <w:r>
        <w:rPr>
          <w:color w:val="auto"/>
          <w:highlight w:val="none"/>
        </w:rPr>
        <w:t>根据国家环境保护管理的规定，应设置工程环境保护管理机构，分管本工程的环境保护工作。环境保护管理机构是工程管理机构的重要组成部分，在工程筹建期即开始组建，作为公司的职能部门，在业务上接受当地环境保护部门的指导。该机构的具体职责是</w:t>
      </w:r>
      <w:r>
        <w:rPr>
          <w:rFonts w:hint="eastAsia"/>
          <w:color w:val="auto"/>
          <w:highlight w:val="none"/>
          <w:lang w:eastAsia="zh-CN"/>
        </w:rPr>
        <w:t>：</w:t>
      </w:r>
    </w:p>
    <w:p>
      <w:pPr>
        <w:bidi w:val="0"/>
        <w:ind w:firstLine="480" w:firstLineChars="200"/>
        <w:rPr>
          <w:color w:val="auto"/>
          <w:highlight w:val="none"/>
        </w:rPr>
      </w:pPr>
      <w:r>
        <w:rPr>
          <w:color w:val="auto"/>
          <w:highlight w:val="none"/>
        </w:rPr>
        <w:t>（1）根据各施工段的施工内容和当地环境保护要求，制定本工程环境管理制度和章程，制定详细的施工期污染防治措施计划和应急计划；</w:t>
      </w:r>
    </w:p>
    <w:p>
      <w:pPr>
        <w:bidi w:val="0"/>
        <w:ind w:firstLine="480" w:firstLineChars="200"/>
        <w:rPr>
          <w:color w:val="auto"/>
          <w:highlight w:val="none"/>
        </w:rPr>
      </w:pPr>
      <w:r>
        <w:rPr>
          <w:color w:val="auto"/>
          <w:highlight w:val="none"/>
        </w:rPr>
        <w:t>（2）负责对施工人员进行环境保护培训，明确施工应采取的环境保护措施及注意事项；</w:t>
      </w:r>
    </w:p>
    <w:p>
      <w:pPr>
        <w:bidi w:val="0"/>
        <w:ind w:firstLine="480" w:firstLineChars="200"/>
        <w:rPr>
          <w:color w:val="auto"/>
          <w:highlight w:val="none"/>
        </w:rPr>
      </w:pPr>
      <w:r>
        <w:rPr>
          <w:color w:val="auto"/>
          <w:highlight w:val="none"/>
        </w:rPr>
        <w:t>（3）施工中全过程跟踪检查、监督环境管理制度和环保措施执行情况，是否符合当地环境保护的要求，及时反馈与传达当地环保部门意见和要求；</w:t>
      </w:r>
    </w:p>
    <w:p>
      <w:pPr>
        <w:bidi w:val="0"/>
        <w:ind w:firstLine="480" w:firstLineChars="200"/>
        <w:rPr>
          <w:color w:val="auto"/>
          <w:highlight w:val="none"/>
        </w:rPr>
      </w:pPr>
      <w:r>
        <w:rPr>
          <w:color w:val="auto"/>
          <w:highlight w:val="none"/>
        </w:rPr>
        <w:t>（</w:t>
      </w:r>
      <w:r>
        <w:rPr>
          <w:rFonts w:hint="eastAsia"/>
          <w:color w:val="auto"/>
          <w:highlight w:val="none"/>
          <w:lang w:val="en-US" w:eastAsia="zh-CN"/>
        </w:rPr>
        <w:t>4</w:t>
      </w:r>
      <w:r>
        <w:rPr>
          <w:color w:val="auto"/>
          <w:highlight w:val="none"/>
        </w:rPr>
        <w:t>）负责开展施工期环境监测工作，统计整理有关环境监测资料并上报地方环保部门；</w:t>
      </w:r>
    </w:p>
    <w:p>
      <w:pPr>
        <w:bidi w:val="0"/>
        <w:ind w:firstLine="480" w:firstLineChars="200"/>
        <w:rPr>
          <w:color w:val="auto"/>
          <w:highlight w:val="none"/>
        </w:rPr>
      </w:pPr>
      <w:r>
        <w:rPr>
          <w:color w:val="auto"/>
          <w:highlight w:val="none"/>
        </w:rPr>
        <w:t>（</w:t>
      </w:r>
      <w:r>
        <w:rPr>
          <w:rFonts w:hint="eastAsia"/>
          <w:color w:val="auto"/>
          <w:highlight w:val="none"/>
          <w:lang w:val="en-US" w:eastAsia="zh-CN"/>
        </w:rPr>
        <w:t>5</w:t>
      </w:r>
      <w:r>
        <w:rPr>
          <w:color w:val="auto"/>
          <w:highlight w:val="none"/>
        </w:rPr>
        <w:t>）及时发现施工中可能出现的各类生态破坏和环境污染问题，负责处理各类污染事故和善后处理等。</w:t>
      </w:r>
    </w:p>
    <w:p>
      <w:pPr>
        <w:pStyle w:val="3"/>
        <w:numPr>
          <w:ilvl w:val="1"/>
          <w:numId w:val="2"/>
        </w:numPr>
        <w:tabs>
          <w:tab w:val="left" w:pos="420"/>
        </w:tabs>
        <w:bidi w:val="0"/>
        <w:rPr>
          <w:color w:val="auto"/>
        </w:rPr>
      </w:pPr>
      <w:bookmarkStart w:id="856" w:name="bookmark86"/>
      <w:bookmarkEnd w:id="856"/>
      <w:bookmarkStart w:id="857" w:name="_Toc23946"/>
      <w:bookmarkStart w:id="858" w:name="_Toc31610"/>
      <w:bookmarkStart w:id="859" w:name="_Toc5765"/>
      <w:bookmarkStart w:id="860" w:name="_Toc29568"/>
      <w:r>
        <w:rPr>
          <w:color w:val="auto"/>
        </w:rPr>
        <w:t>环境管理内容</w:t>
      </w:r>
      <w:bookmarkEnd w:id="857"/>
      <w:bookmarkEnd w:id="858"/>
      <w:bookmarkEnd w:id="859"/>
      <w:bookmarkEnd w:id="860"/>
    </w:p>
    <w:p>
      <w:pPr>
        <w:bidi w:val="0"/>
        <w:ind w:firstLine="480" w:firstLineChars="200"/>
        <w:rPr>
          <w:color w:val="auto"/>
          <w:highlight w:val="none"/>
        </w:rPr>
      </w:pPr>
      <w:r>
        <w:rPr>
          <w:color w:val="auto"/>
          <w:highlight w:val="none"/>
        </w:rPr>
        <w:t>根据工程环境影响评价中提出的施工期和运行期环境保护措施，落实环境保护经费，实施环境保护对策措施，协调政府环境管理与工程环境管理之间的关系。用技术手段对工程建设所影响的主要环境因子进行系统的监测。通过定量化的分析比较，掌握环境质量的变化过程，为具体实施环境保护措施和采取某些补救措施提供依据和基本资料。环境管理工作应贯穿工程建设前期、建设期和运行期的全过程，根据各阶段对环保工作的不同要求，不同时期环境管理工作的具体内容也分别有所侧重。</w:t>
      </w:r>
    </w:p>
    <w:p>
      <w:pPr>
        <w:pStyle w:val="3"/>
        <w:numPr>
          <w:ilvl w:val="1"/>
          <w:numId w:val="2"/>
        </w:numPr>
        <w:tabs>
          <w:tab w:val="left" w:pos="420"/>
        </w:tabs>
        <w:bidi w:val="0"/>
        <w:rPr>
          <w:color w:val="auto"/>
        </w:rPr>
      </w:pPr>
      <w:bookmarkStart w:id="861" w:name="bookmark87"/>
      <w:bookmarkEnd w:id="861"/>
      <w:bookmarkStart w:id="862" w:name="_Toc25728"/>
      <w:bookmarkStart w:id="863" w:name="_Toc10717"/>
      <w:bookmarkStart w:id="864" w:name="_Toc26822"/>
      <w:bookmarkStart w:id="865" w:name="_Toc12455"/>
      <w:r>
        <w:rPr>
          <w:color w:val="auto"/>
        </w:rPr>
        <w:t>施工期环境监理</w:t>
      </w:r>
      <w:bookmarkEnd w:id="862"/>
      <w:bookmarkEnd w:id="863"/>
      <w:bookmarkEnd w:id="864"/>
      <w:bookmarkEnd w:id="865"/>
    </w:p>
    <w:p>
      <w:pPr>
        <w:bidi w:val="0"/>
        <w:ind w:firstLine="480" w:firstLineChars="200"/>
        <w:rPr>
          <w:color w:val="auto"/>
          <w:highlight w:val="none"/>
        </w:rPr>
      </w:pPr>
      <w:r>
        <w:rPr>
          <w:color w:val="auto"/>
          <w:highlight w:val="none"/>
        </w:rPr>
        <w:t>环境监理目的是按照环保要求，在本项目施工期，根据环境保护设计要求开展环境监理。全面监督和检查环境保护措施的实施情况，及时处理和解决临时出现的环境污染问题，确保项目环境影响报告书中提出的环境保护措施得到落实。</w:t>
      </w:r>
    </w:p>
    <w:p>
      <w:pPr>
        <w:bidi w:val="0"/>
        <w:ind w:firstLine="480" w:firstLineChars="200"/>
        <w:rPr>
          <w:color w:val="auto"/>
          <w:highlight w:val="none"/>
        </w:rPr>
      </w:pPr>
      <w:r>
        <w:rPr>
          <w:color w:val="auto"/>
          <w:highlight w:val="none"/>
        </w:rPr>
        <w:t>施工期环境监理计划见下表。</w:t>
      </w:r>
    </w:p>
    <w:p>
      <w:pPr>
        <w:pStyle w:val="40"/>
        <w:bidi w:val="0"/>
        <w:rPr>
          <w:color w:val="auto"/>
          <w:highlight w:val="none"/>
        </w:rPr>
      </w:pPr>
      <w:r>
        <w:rPr>
          <w:color w:val="auto"/>
          <w:highlight w:val="none"/>
        </w:rPr>
        <w:t>表</w:t>
      </w:r>
      <w:r>
        <w:rPr>
          <w:rFonts w:hint="eastAsia"/>
          <w:color w:val="auto"/>
          <w:highlight w:val="none"/>
          <w:lang w:val="en-US" w:eastAsia="zh-CN"/>
        </w:rPr>
        <w:t>8</w:t>
      </w:r>
      <w:r>
        <w:rPr>
          <w:color w:val="auto"/>
          <w:highlight w:val="none"/>
        </w:rPr>
        <w:t>.5-1  施工期环境监理计划</w:t>
      </w:r>
    </w:p>
    <w:tbl>
      <w:tblPr>
        <w:tblStyle w:val="57"/>
        <w:tblW w:w="5022" w:type="pct"/>
        <w:tblInd w:w="10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15"/>
        <w:gridCol w:w="4799"/>
        <w:gridCol w:w="1043"/>
        <w:gridCol w:w="119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1314" w:type="dxa"/>
            <w:vAlign w:val="center"/>
          </w:tcPr>
          <w:p>
            <w:pPr>
              <w:pStyle w:val="42"/>
              <w:bidi w:val="0"/>
              <w:jc w:val="center"/>
              <w:rPr>
                <w:color w:val="auto"/>
                <w:highlight w:val="none"/>
              </w:rPr>
            </w:pPr>
            <w:r>
              <w:rPr>
                <w:color w:val="auto"/>
                <w:highlight w:val="none"/>
              </w:rPr>
              <w:t>环境问题</w:t>
            </w:r>
          </w:p>
        </w:tc>
        <w:tc>
          <w:tcPr>
            <w:tcW w:w="4797" w:type="dxa"/>
            <w:vAlign w:val="center"/>
          </w:tcPr>
          <w:p>
            <w:pPr>
              <w:pStyle w:val="42"/>
              <w:bidi w:val="0"/>
              <w:jc w:val="center"/>
              <w:rPr>
                <w:color w:val="auto"/>
                <w:highlight w:val="none"/>
              </w:rPr>
            </w:pPr>
            <w:r>
              <w:rPr>
                <w:color w:val="auto"/>
                <w:highlight w:val="none"/>
              </w:rPr>
              <w:t>减缓措施</w:t>
            </w:r>
          </w:p>
        </w:tc>
        <w:tc>
          <w:tcPr>
            <w:tcW w:w="1042" w:type="dxa"/>
            <w:vAlign w:val="center"/>
          </w:tcPr>
          <w:p>
            <w:pPr>
              <w:pStyle w:val="42"/>
              <w:bidi w:val="0"/>
              <w:jc w:val="center"/>
              <w:rPr>
                <w:color w:val="auto"/>
                <w:highlight w:val="none"/>
              </w:rPr>
            </w:pPr>
            <w:r>
              <w:rPr>
                <w:color w:val="auto"/>
                <w:highlight w:val="none"/>
              </w:rPr>
              <w:t>实施</w:t>
            </w:r>
            <w:r>
              <w:rPr>
                <w:rFonts w:hint="eastAsia"/>
                <w:color w:val="auto"/>
                <w:highlight w:val="none"/>
                <w:lang w:val="en-US" w:eastAsia="zh-CN"/>
              </w:rPr>
              <w:t>单位</w:t>
            </w:r>
          </w:p>
        </w:tc>
        <w:tc>
          <w:tcPr>
            <w:tcW w:w="1191" w:type="dxa"/>
            <w:vAlign w:val="center"/>
          </w:tcPr>
          <w:p>
            <w:pPr>
              <w:pStyle w:val="42"/>
              <w:bidi w:val="0"/>
              <w:jc w:val="center"/>
              <w:rPr>
                <w:rFonts w:hint="eastAsia" w:eastAsia="宋体"/>
                <w:color w:val="auto"/>
                <w:highlight w:val="none"/>
                <w:lang w:eastAsia="zh-CN"/>
              </w:rPr>
            </w:pPr>
            <w:r>
              <w:rPr>
                <w:color w:val="auto"/>
                <w:highlight w:val="none"/>
              </w:rPr>
              <w:t>负责</w:t>
            </w:r>
            <w:r>
              <w:rPr>
                <w:rFonts w:hint="eastAsia"/>
                <w:color w:val="auto"/>
                <w:highlight w:val="none"/>
                <w:lang w:val="en-US" w:eastAsia="zh-CN"/>
              </w:rPr>
              <w:t>单位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8344" w:type="dxa"/>
            <w:gridSpan w:val="4"/>
            <w:vAlign w:val="center"/>
          </w:tcPr>
          <w:p>
            <w:pPr>
              <w:pStyle w:val="42"/>
              <w:bidi w:val="0"/>
              <w:jc w:val="center"/>
              <w:rPr>
                <w:color w:val="auto"/>
                <w:highlight w:val="none"/>
              </w:rPr>
            </w:pPr>
            <w:r>
              <w:rPr>
                <w:color w:val="auto"/>
                <w:highlight w:val="none"/>
              </w:rPr>
              <w:t>施工期</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5" w:hRule="atLeast"/>
        </w:trPr>
        <w:tc>
          <w:tcPr>
            <w:tcW w:w="1314" w:type="dxa"/>
            <w:vAlign w:val="center"/>
          </w:tcPr>
          <w:p>
            <w:pPr>
              <w:pStyle w:val="42"/>
              <w:bidi w:val="0"/>
              <w:jc w:val="center"/>
              <w:rPr>
                <w:color w:val="auto"/>
                <w:highlight w:val="none"/>
              </w:rPr>
            </w:pPr>
            <w:r>
              <w:rPr>
                <w:color w:val="auto"/>
                <w:highlight w:val="none"/>
              </w:rPr>
              <w:t>空气污染</w:t>
            </w:r>
          </w:p>
        </w:tc>
        <w:tc>
          <w:tcPr>
            <w:tcW w:w="4797" w:type="dxa"/>
            <w:shd w:val="clear" w:color="auto" w:fill="auto"/>
            <w:vAlign w:val="center"/>
          </w:tcPr>
          <w:p>
            <w:pPr>
              <w:pStyle w:val="42"/>
              <w:bidi w:val="0"/>
              <w:jc w:val="both"/>
              <w:rPr>
                <w:color w:val="auto"/>
                <w:highlight w:val="none"/>
              </w:rPr>
            </w:pPr>
            <w:r>
              <w:rPr>
                <w:color w:val="auto"/>
                <w:highlight w:val="none"/>
              </w:rPr>
              <w:t>施工区及主要运输道路进行洒水降尘，临时堆土区用 绿网覆盖并定期喷水；运送建筑材料的货车须用帆布遮盖，以减少撒落；加强对燃油机械设备的维护保养，发动机应在正常、良好状态下工作，提高燃烧效率；穿越村庄的管道施工区进行围挡施工。</w:t>
            </w:r>
          </w:p>
        </w:tc>
        <w:tc>
          <w:tcPr>
            <w:tcW w:w="1042" w:type="dxa"/>
            <w:vAlign w:val="center"/>
          </w:tcPr>
          <w:p>
            <w:pPr>
              <w:pStyle w:val="42"/>
              <w:bidi w:val="0"/>
              <w:jc w:val="center"/>
              <w:rPr>
                <w:rFonts w:hint="eastAsia" w:eastAsia="宋体"/>
                <w:color w:val="auto"/>
                <w:highlight w:val="none"/>
                <w:lang w:eastAsia="zh-CN"/>
              </w:rPr>
            </w:pPr>
            <w:r>
              <w:rPr>
                <w:rFonts w:hint="eastAsia"/>
                <w:color w:val="auto"/>
                <w:highlight w:val="none"/>
                <w:lang w:val="en-US" w:eastAsia="zh-CN"/>
              </w:rPr>
              <w:t>施工单位</w:t>
            </w:r>
          </w:p>
        </w:tc>
        <w:tc>
          <w:tcPr>
            <w:tcW w:w="1191" w:type="dxa"/>
            <w:vAlign w:val="center"/>
          </w:tcPr>
          <w:p>
            <w:pPr>
              <w:pStyle w:val="42"/>
              <w:bidi w:val="0"/>
              <w:jc w:val="center"/>
              <w:rPr>
                <w:color w:val="auto"/>
                <w:highlight w:val="none"/>
              </w:rPr>
            </w:pPr>
            <w:r>
              <w:rPr>
                <w:color w:val="auto"/>
                <w:highlight w:val="none"/>
              </w:rPr>
              <w:t>监理单位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43" w:hRule="atLeast"/>
        </w:trPr>
        <w:tc>
          <w:tcPr>
            <w:tcW w:w="1314" w:type="dxa"/>
            <w:vAlign w:val="center"/>
          </w:tcPr>
          <w:p>
            <w:pPr>
              <w:pStyle w:val="42"/>
              <w:bidi w:val="0"/>
              <w:jc w:val="center"/>
              <w:rPr>
                <w:color w:val="auto"/>
                <w:highlight w:val="none"/>
              </w:rPr>
            </w:pPr>
            <w:r>
              <w:rPr>
                <w:color w:val="auto"/>
                <w:highlight w:val="none"/>
              </w:rPr>
              <w:t>水污染</w:t>
            </w:r>
          </w:p>
        </w:tc>
        <w:tc>
          <w:tcPr>
            <w:tcW w:w="4797" w:type="dxa"/>
            <w:shd w:val="clear" w:color="auto" w:fill="auto"/>
            <w:vAlign w:val="center"/>
          </w:tcPr>
          <w:p>
            <w:pPr>
              <w:pStyle w:val="42"/>
              <w:bidi w:val="0"/>
              <w:jc w:val="both"/>
              <w:rPr>
                <w:rFonts w:hint="eastAsia"/>
                <w:color w:val="auto"/>
                <w:highlight w:val="none"/>
              </w:rPr>
            </w:pPr>
            <w:r>
              <w:rPr>
                <w:rFonts w:hint="eastAsia"/>
                <w:color w:val="auto"/>
                <w:highlight w:val="none"/>
                <w:lang w:eastAsia="zh-CN"/>
              </w:rPr>
              <w:t>①</w:t>
            </w:r>
            <w:r>
              <w:rPr>
                <w:rFonts w:hint="eastAsia"/>
                <w:color w:val="auto"/>
                <w:highlight w:val="none"/>
              </w:rPr>
              <w:t>跨河建筑物施工应严格按照施工组织计划，选择枯季施工，减少水土流失。并对跨河管道施工会产生的少量混凝土养护废水，通过铺设稻草或其他物品用于吸纳养护废水，禁止废水排入河流水体。</w:t>
            </w:r>
          </w:p>
          <w:p>
            <w:pPr>
              <w:pStyle w:val="42"/>
              <w:bidi w:val="0"/>
              <w:jc w:val="both"/>
              <w:rPr>
                <w:rFonts w:hint="eastAsia"/>
                <w:color w:val="auto"/>
                <w:highlight w:val="none"/>
              </w:rPr>
            </w:pPr>
            <w:r>
              <w:rPr>
                <w:rFonts w:hint="eastAsia"/>
                <w:color w:val="auto"/>
                <w:highlight w:val="none"/>
                <w:lang w:eastAsia="zh-CN"/>
              </w:rPr>
              <w:t>②</w:t>
            </w:r>
            <w:r>
              <w:rPr>
                <w:color w:val="auto"/>
                <w:highlight w:val="none"/>
              </w:rPr>
              <w:t>严禁在河道内清洗施工机械和车辆；施工材料并应备有临时遮挡的帆布，防止大风暴雨冲刷而进入水体；</w:t>
            </w:r>
            <w:r>
              <w:rPr>
                <w:rFonts w:hint="eastAsia"/>
                <w:color w:val="auto"/>
                <w:highlight w:val="none"/>
              </w:rPr>
              <w:t>施工期使用临时旱厕，粪便用于周边农田施肥，其余生活废水设置4m</w:t>
            </w:r>
            <w:r>
              <w:rPr>
                <w:rFonts w:hint="eastAsia"/>
                <w:color w:val="auto"/>
                <w:highlight w:val="none"/>
                <w:vertAlign w:val="superscript"/>
              </w:rPr>
              <w:t>3</w:t>
            </w:r>
            <w:r>
              <w:rPr>
                <w:rFonts w:hint="eastAsia"/>
                <w:color w:val="auto"/>
                <w:highlight w:val="none"/>
              </w:rPr>
              <w:t>的临时沉淀池沉淀处理后，用于洒水降尘，不外排。</w:t>
            </w:r>
          </w:p>
          <w:p>
            <w:pPr>
              <w:pStyle w:val="42"/>
              <w:bidi w:val="0"/>
              <w:jc w:val="both"/>
              <w:rPr>
                <w:color w:val="auto"/>
                <w:highlight w:val="none"/>
              </w:rPr>
            </w:pPr>
            <w:r>
              <w:rPr>
                <w:rFonts w:hint="eastAsia"/>
                <w:color w:val="auto"/>
                <w:highlight w:val="none"/>
                <w:lang w:eastAsia="zh-CN"/>
              </w:rPr>
              <w:t>③</w:t>
            </w:r>
            <w:r>
              <w:rPr>
                <w:rFonts w:hint="eastAsia"/>
                <w:color w:val="auto"/>
                <w:highlight w:val="none"/>
              </w:rPr>
              <w:t>施工期移动式混凝土搅拌车冲洗废水可就地采用临时沉淀池收集，临时沉淀池大小为2m</w:t>
            </w:r>
            <w:r>
              <w:rPr>
                <w:rFonts w:hint="eastAsia"/>
                <w:color w:val="auto"/>
                <w:highlight w:val="none"/>
                <w:vertAlign w:val="superscript"/>
              </w:rPr>
              <w:t>3</w:t>
            </w:r>
            <w:r>
              <w:rPr>
                <w:rFonts w:hint="eastAsia"/>
                <w:color w:val="auto"/>
                <w:highlight w:val="none"/>
              </w:rPr>
              <w:t>，位置根据实际需要设置，沉淀后</w:t>
            </w:r>
            <w:r>
              <w:rPr>
                <w:rFonts w:hint="eastAsia"/>
                <w:color w:val="auto"/>
                <w:highlight w:val="none"/>
                <w:shd w:val="clear"/>
              </w:rPr>
              <w:t>回用</w:t>
            </w:r>
            <w:r>
              <w:rPr>
                <w:rFonts w:hint="eastAsia"/>
                <w:color w:val="auto"/>
                <w:highlight w:val="none"/>
              </w:rPr>
              <w:t>或洒水降尘，不外排。</w:t>
            </w:r>
          </w:p>
          <w:p>
            <w:pPr>
              <w:pStyle w:val="42"/>
              <w:bidi w:val="0"/>
              <w:jc w:val="both"/>
              <w:rPr>
                <w:color w:val="auto"/>
                <w:highlight w:val="none"/>
              </w:rPr>
            </w:pPr>
            <w:r>
              <w:rPr>
                <w:rFonts w:hint="eastAsia"/>
                <w:color w:val="auto"/>
                <w:highlight w:val="none"/>
                <w:lang w:eastAsia="zh-CN"/>
              </w:rPr>
              <w:t>④</w:t>
            </w:r>
            <w:r>
              <w:rPr>
                <w:rFonts w:hint="eastAsia"/>
                <w:color w:val="auto"/>
                <w:highlight w:val="none"/>
              </w:rPr>
              <w:t>施工区施工机械及车辆冲洗废水通过在施工生产区集中各设车辆冲洗设备1套及1m</w:t>
            </w:r>
            <w:r>
              <w:rPr>
                <w:rFonts w:hint="eastAsia"/>
                <w:color w:val="auto"/>
                <w:highlight w:val="none"/>
                <w:vertAlign w:val="superscript"/>
              </w:rPr>
              <w:t>3</w:t>
            </w:r>
            <w:r>
              <w:rPr>
                <w:rFonts w:hint="eastAsia"/>
                <w:color w:val="auto"/>
                <w:highlight w:val="none"/>
              </w:rPr>
              <w:t>沉淀池1个，冲洗废水经沉淀后重复使用或洒水降尘，不外排。</w:t>
            </w:r>
          </w:p>
          <w:p>
            <w:pPr>
              <w:pStyle w:val="42"/>
              <w:bidi w:val="0"/>
              <w:jc w:val="both"/>
              <w:rPr>
                <w:color w:val="auto"/>
                <w:highlight w:val="none"/>
              </w:rPr>
            </w:pPr>
            <w:r>
              <w:rPr>
                <w:rFonts w:hint="eastAsia"/>
                <w:color w:val="auto"/>
                <w:highlight w:val="none"/>
                <w:lang w:eastAsia="zh-CN"/>
              </w:rPr>
              <w:t>⑤</w:t>
            </w:r>
            <w:r>
              <w:rPr>
                <w:color w:val="auto"/>
                <w:highlight w:val="none"/>
              </w:rPr>
              <w:t>设置临时水土保持设施，做好施工生活区、施工便道等临时设施的水保工作。</w:t>
            </w:r>
          </w:p>
        </w:tc>
        <w:tc>
          <w:tcPr>
            <w:tcW w:w="1042" w:type="dxa"/>
            <w:vAlign w:val="center"/>
          </w:tcPr>
          <w:p>
            <w:pPr>
              <w:pStyle w:val="42"/>
              <w:bidi w:val="0"/>
              <w:jc w:val="center"/>
              <w:rPr>
                <w:rFonts w:hint="default" w:eastAsia="宋体"/>
                <w:color w:val="auto"/>
                <w:highlight w:val="none"/>
                <w:lang w:val="en-US" w:eastAsia="zh-CN"/>
              </w:rPr>
            </w:pPr>
            <w:r>
              <w:rPr>
                <w:rFonts w:hint="eastAsia"/>
                <w:color w:val="auto"/>
                <w:highlight w:val="none"/>
                <w:lang w:val="en-US" w:eastAsia="zh-CN"/>
              </w:rPr>
              <w:t>施工单位</w:t>
            </w:r>
          </w:p>
        </w:tc>
        <w:tc>
          <w:tcPr>
            <w:tcW w:w="1191" w:type="dxa"/>
            <w:vAlign w:val="center"/>
          </w:tcPr>
          <w:p>
            <w:pPr>
              <w:pStyle w:val="42"/>
              <w:bidi w:val="0"/>
              <w:jc w:val="center"/>
              <w:rPr>
                <w:color w:val="auto"/>
                <w:highlight w:val="none"/>
              </w:rPr>
            </w:pPr>
            <w:r>
              <w:rPr>
                <w:color w:val="auto"/>
                <w:highlight w:val="none"/>
              </w:rPr>
              <w:t>监理单位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95" w:hRule="atLeast"/>
        </w:trPr>
        <w:tc>
          <w:tcPr>
            <w:tcW w:w="1314" w:type="dxa"/>
            <w:vAlign w:val="center"/>
          </w:tcPr>
          <w:p>
            <w:pPr>
              <w:pStyle w:val="42"/>
              <w:bidi w:val="0"/>
              <w:jc w:val="center"/>
              <w:rPr>
                <w:color w:val="auto"/>
                <w:highlight w:val="none"/>
              </w:rPr>
            </w:pPr>
            <w:r>
              <w:rPr>
                <w:color w:val="auto"/>
                <w:highlight w:val="none"/>
              </w:rPr>
              <w:t>噪声</w:t>
            </w:r>
          </w:p>
        </w:tc>
        <w:tc>
          <w:tcPr>
            <w:tcW w:w="4797" w:type="dxa"/>
            <w:vAlign w:val="center"/>
          </w:tcPr>
          <w:p>
            <w:pPr>
              <w:pStyle w:val="42"/>
              <w:bidi w:val="0"/>
              <w:jc w:val="center"/>
              <w:rPr>
                <w:color w:val="auto"/>
                <w:highlight w:val="none"/>
              </w:rPr>
            </w:pPr>
            <w:r>
              <w:rPr>
                <w:color w:val="auto"/>
                <w:highlight w:val="none"/>
              </w:rPr>
              <w:t>采取严格措施控制夜间施工，严禁夜间打桩作业，工 程需要进行夜间作业时须经当地环保部门同意后方可进行施工；加强对机械和车辆的维修以使它们保持较低的噪声；在施工场地紧邻村庄两侧以及施工区域紧邻村庄一侧设置临时声屏障，减轻施工噪声对周围居民的影响。</w:t>
            </w:r>
          </w:p>
        </w:tc>
        <w:tc>
          <w:tcPr>
            <w:tcW w:w="1042" w:type="dxa"/>
            <w:vAlign w:val="center"/>
          </w:tcPr>
          <w:p>
            <w:pPr>
              <w:pStyle w:val="42"/>
              <w:bidi w:val="0"/>
              <w:jc w:val="center"/>
              <w:rPr>
                <w:rFonts w:hint="eastAsia" w:eastAsia="宋体"/>
                <w:color w:val="auto"/>
                <w:highlight w:val="none"/>
                <w:lang w:eastAsia="zh-CN"/>
              </w:rPr>
            </w:pPr>
            <w:r>
              <w:rPr>
                <w:rFonts w:hint="eastAsia"/>
                <w:color w:val="auto"/>
                <w:highlight w:val="none"/>
                <w:lang w:val="en-US" w:eastAsia="zh-CN"/>
              </w:rPr>
              <w:t>施工单位</w:t>
            </w:r>
          </w:p>
        </w:tc>
        <w:tc>
          <w:tcPr>
            <w:tcW w:w="1191" w:type="dxa"/>
            <w:vAlign w:val="center"/>
          </w:tcPr>
          <w:p>
            <w:pPr>
              <w:pStyle w:val="42"/>
              <w:bidi w:val="0"/>
              <w:jc w:val="center"/>
              <w:rPr>
                <w:color w:val="auto"/>
                <w:highlight w:val="none"/>
              </w:rPr>
            </w:pPr>
            <w:r>
              <w:rPr>
                <w:color w:val="auto"/>
                <w:highlight w:val="none"/>
              </w:rPr>
              <w:t>监理单位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6" w:hRule="atLeast"/>
        </w:trPr>
        <w:tc>
          <w:tcPr>
            <w:tcW w:w="1314" w:type="dxa"/>
            <w:vAlign w:val="center"/>
          </w:tcPr>
          <w:p>
            <w:pPr>
              <w:pStyle w:val="42"/>
              <w:bidi w:val="0"/>
              <w:jc w:val="center"/>
              <w:rPr>
                <w:color w:val="auto"/>
                <w:highlight w:val="none"/>
              </w:rPr>
            </w:pPr>
            <w:r>
              <w:rPr>
                <w:color w:val="auto"/>
                <w:highlight w:val="none"/>
              </w:rPr>
              <w:t>固体废物</w:t>
            </w:r>
          </w:p>
        </w:tc>
        <w:tc>
          <w:tcPr>
            <w:tcW w:w="4797" w:type="dxa"/>
            <w:vAlign w:val="center"/>
          </w:tcPr>
          <w:p>
            <w:pPr>
              <w:pStyle w:val="42"/>
              <w:bidi w:val="0"/>
              <w:jc w:val="center"/>
              <w:rPr>
                <w:color w:val="auto"/>
                <w:highlight w:val="none"/>
              </w:rPr>
            </w:pPr>
            <w:r>
              <w:rPr>
                <w:color w:val="auto"/>
                <w:highlight w:val="none"/>
              </w:rPr>
              <w:t>施工生活垃圾收集至乡镇集中处置点处理；</w:t>
            </w:r>
          </w:p>
          <w:p>
            <w:pPr>
              <w:pStyle w:val="42"/>
              <w:bidi w:val="0"/>
              <w:jc w:val="center"/>
              <w:rPr>
                <w:color w:val="auto"/>
                <w:highlight w:val="none"/>
              </w:rPr>
            </w:pPr>
            <w:r>
              <w:rPr>
                <w:color w:val="auto"/>
                <w:highlight w:val="none"/>
              </w:rPr>
              <w:t>工程弃渣运至指定渣场处置，禁止随意弃渣。</w:t>
            </w:r>
          </w:p>
        </w:tc>
        <w:tc>
          <w:tcPr>
            <w:tcW w:w="1042" w:type="dxa"/>
            <w:vAlign w:val="center"/>
          </w:tcPr>
          <w:p>
            <w:pPr>
              <w:pStyle w:val="42"/>
              <w:bidi w:val="0"/>
              <w:jc w:val="center"/>
              <w:rPr>
                <w:rFonts w:hint="default" w:eastAsia="宋体"/>
                <w:color w:val="auto"/>
                <w:highlight w:val="none"/>
                <w:lang w:val="en-US" w:eastAsia="zh-CN"/>
              </w:rPr>
            </w:pPr>
            <w:r>
              <w:rPr>
                <w:rFonts w:hint="eastAsia"/>
                <w:color w:val="auto"/>
                <w:highlight w:val="none"/>
                <w:lang w:val="en-US" w:eastAsia="zh-CN"/>
              </w:rPr>
              <w:t>施工单位</w:t>
            </w:r>
          </w:p>
        </w:tc>
        <w:tc>
          <w:tcPr>
            <w:tcW w:w="1191" w:type="dxa"/>
            <w:vAlign w:val="center"/>
          </w:tcPr>
          <w:p>
            <w:pPr>
              <w:pStyle w:val="42"/>
              <w:bidi w:val="0"/>
              <w:jc w:val="center"/>
              <w:rPr>
                <w:color w:val="auto"/>
                <w:highlight w:val="none"/>
              </w:rPr>
            </w:pPr>
            <w:r>
              <w:rPr>
                <w:color w:val="auto"/>
                <w:highlight w:val="none"/>
              </w:rPr>
              <w:t>监理单位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09" w:hRule="atLeast"/>
        </w:trPr>
        <w:tc>
          <w:tcPr>
            <w:tcW w:w="1314" w:type="dxa"/>
            <w:vAlign w:val="center"/>
          </w:tcPr>
          <w:p>
            <w:pPr>
              <w:pStyle w:val="42"/>
              <w:bidi w:val="0"/>
              <w:jc w:val="center"/>
              <w:rPr>
                <w:color w:val="auto"/>
                <w:highlight w:val="none"/>
              </w:rPr>
            </w:pPr>
            <w:r>
              <w:rPr>
                <w:color w:val="auto"/>
                <w:highlight w:val="none"/>
              </w:rPr>
              <w:t>生态资源保护</w:t>
            </w:r>
          </w:p>
        </w:tc>
        <w:tc>
          <w:tcPr>
            <w:tcW w:w="4797" w:type="dxa"/>
            <w:vAlign w:val="center"/>
          </w:tcPr>
          <w:p>
            <w:pPr>
              <w:pStyle w:val="42"/>
              <w:bidi w:val="0"/>
              <w:jc w:val="center"/>
              <w:rPr>
                <w:color w:val="auto"/>
                <w:highlight w:val="none"/>
              </w:rPr>
            </w:pPr>
            <w:r>
              <w:rPr>
                <w:color w:val="auto"/>
                <w:highlight w:val="none"/>
              </w:rPr>
              <w:t>对临时占地，应将原有表层土推在一旁堆放，待施工  完毕将其推平，恢复土地表层以利于生物的多样化；  杜绝任意从路边农田取土，应严格按照设计方案取土；对工人加强教育，禁止滥砍乱伐和破坏国家保护野生植物；按照设计施工，不得在风景名胜区范围内建设渣场、生产生活区等；保护地内建设工程严格按照已审批要求建设，不得随意更改。</w:t>
            </w:r>
          </w:p>
        </w:tc>
        <w:tc>
          <w:tcPr>
            <w:tcW w:w="1042" w:type="dxa"/>
            <w:vAlign w:val="center"/>
          </w:tcPr>
          <w:p>
            <w:pPr>
              <w:pStyle w:val="42"/>
              <w:bidi w:val="0"/>
              <w:jc w:val="center"/>
              <w:rPr>
                <w:color w:val="auto"/>
                <w:highlight w:val="none"/>
              </w:rPr>
            </w:pPr>
            <w:r>
              <w:rPr>
                <w:color w:val="auto"/>
                <w:highlight w:val="none"/>
              </w:rPr>
              <w:t>承包商</w:t>
            </w:r>
          </w:p>
        </w:tc>
        <w:tc>
          <w:tcPr>
            <w:tcW w:w="1191" w:type="dxa"/>
            <w:vAlign w:val="center"/>
          </w:tcPr>
          <w:p>
            <w:pPr>
              <w:pStyle w:val="42"/>
              <w:bidi w:val="0"/>
              <w:jc w:val="center"/>
              <w:rPr>
                <w:color w:val="auto"/>
                <w:highlight w:val="none"/>
              </w:rPr>
            </w:pPr>
            <w:r>
              <w:rPr>
                <w:color w:val="auto"/>
                <w:highlight w:val="none"/>
              </w:rPr>
              <w:t>监理单位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1314" w:type="dxa"/>
            <w:vAlign w:val="center"/>
          </w:tcPr>
          <w:p>
            <w:pPr>
              <w:pStyle w:val="42"/>
              <w:bidi w:val="0"/>
              <w:jc w:val="center"/>
              <w:rPr>
                <w:color w:val="auto"/>
                <w:highlight w:val="none"/>
              </w:rPr>
            </w:pPr>
            <w:r>
              <w:rPr>
                <w:color w:val="auto"/>
                <w:highlight w:val="none"/>
              </w:rPr>
              <w:t>景观保护</w:t>
            </w:r>
          </w:p>
        </w:tc>
        <w:tc>
          <w:tcPr>
            <w:tcW w:w="4797" w:type="dxa"/>
            <w:vAlign w:val="center"/>
          </w:tcPr>
          <w:p>
            <w:pPr>
              <w:pStyle w:val="42"/>
              <w:bidi w:val="0"/>
              <w:jc w:val="center"/>
              <w:rPr>
                <w:color w:val="auto"/>
                <w:highlight w:val="none"/>
              </w:rPr>
            </w:pPr>
            <w:r>
              <w:rPr>
                <w:color w:val="auto"/>
                <w:highlight w:val="none"/>
              </w:rPr>
              <w:t>严格按设计操作恢复景观质量；弃渣场施工结束后应进行植被恢复，采用本地物种。</w:t>
            </w:r>
          </w:p>
        </w:tc>
        <w:tc>
          <w:tcPr>
            <w:tcW w:w="1042" w:type="dxa"/>
            <w:vAlign w:val="center"/>
          </w:tcPr>
          <w:p>
            <w:pPr>
              <w:pStyle w:val="42"/>
              <w:bidi w:val="0"/>
              <w:jc w:val="center"/>
              <w:rPr>
                <w:color w:val="auto"/>
                <w:highlight w:val="none"/>
              </w:rPr>
            </w:pPr>
            <w:r>
              <w:rPr>
                <w:rFonts w:hint="eastAsia"/>
                <w:color w:val="auto"/>
                <w:highlight w:val="none"/>
                <w:lang w:val="en-US" w:eastAsia="zh-CN"/>
              </w:rPr>
              <w:t>施工单位</w:t>
            </w:r>
          </w:p>
        </w:tc>
        <w:tc>
          <w:tcPr>
            <w:tcW w:w="1191" w:type="dxa"/>
            <w:vAlign w:val="center"/>
          </w:tcPr>
          <w:p>
            <w:pPr>
              <w:pStyle w:val="42"/>
              <w:bidi w:val="0"/>
              <w:jc w:val="center"/>
              <w:rPr>
                <w:color w:val="auto"/>
                <w:highlight w:val="none"/>
              </w:rPr>
            </w:pPr>
            <w:r>
              <w:rPr>
                <w:color w:val="auto"/>
                <w:highlight w:val="none"/>
              </w:rPr>
              <w:t>监理单位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6" w:hRule="atLeast"/>
        </w:trPr>
        <w:tc>
          <w:tcPr>
            <w:tcW w:w="1314" w:type="dxa"/>
            <w:vAlign w:val="center"/>
          </w:tcPr>
          <w:p>
            <w:pPr>
              <w:pStyle w:val="42"/>
              <w:bidi w:val="0"/>
              <w:jc w:val="center"/>
              <w:rPr>
                <w:color w:val="auto"/>
                <w:highlight w:val="none"/>
              </w:rPr>
            </w:pPr>
            <w:r>
              <w:rPr>
                <w:color w:val="auto"/>
                <w:highlight w:val="none"/>
              </w:rPr>
              <w:t>环境监测</w:t>
            </w:r>
          </w:p>
        </w:tc>
        <w:tc>
          <w:tcPr>
            <w:tcW w:w="4797" w:type="dxa"/>
            <w:vAlign w:val="center"/>
          </w:tcPr>
          <w:p>
            <w:pPr>
              <w:pStyle w:val="42"/>
              <w:bidi w:val="0"/>
              <w:jc w:val="center"/>
              <w:rPr>
                <w:color w:val="auto"/>
                <w:highlight w:val="none"/>
              </w:rPr>
            </w:pPr>
            <w:r>
              <w:rPr>
                <w:color w:val="auto"/>
                <w:highlight w:val="none"/>
              </w:rPr>
              <w:t>按环境监测计划进行。</w:t>
            </w:r>
          </w:p>
        </w:tc>
        <w:tc>
          <w:tcPr>
            <w:tcW w:w="1042" w:type="dxa"/>
            <w:vAlign w:val="center"/>
          </w:tcPr>
          <w:p>
            <w:pPr>
              <w:pStyle w:val="42"/>
              <w:bidi w:val="0"/>
              <w:jc w:val="center"/>
              <w:rPr>
                <w:color w:val="auto"/>
                <w:highlight w:val="none"/>
              </w:rPr>
            </w:pPr>
            <w:r>
              <w:rPr>
                <w:color w:val="auto"/>
                <w:highlight w:val="none"/>
              </w:rPr>
              <w:t>环境监测单 位</w:t>
            </w:r>
          </w:p>
        </w:tc>
        <w:tc>
          <w:tcPr>
            <w:tcW w:w="1191" w:type="dxa"/>
            <w:vAlign w:val="center"/>
          </w:tcPr>
          <w:p>
            <w:pPr>
              <w:pStyle w:val="42"/>
              <w:bidi w:val="0"/>
              <w:jc w:val="center"/>
              <w:rPr>
                <w:color w:val="auto"/>
                <w:highlight w:val="none"/>
              </w:rPr>
            </w:pPr>
            <w:r>
              <w:rPr>
                <w:color w:val="auto"/>
                <w:highlight w:val="none"/>
              </w:rPr>
              <w:t>建设单位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1314" w:type="dxa"/>
            <w:vAlign w:val="center"/>
          </w:tcPr>
          <w:p>
            <w:pPr>
              <w:pStyle w:val="42"/>
              <w:bidi w:val="0"/>
              <w:jc w:val="center"/>
              <w:rPr>
                <w:color w:val="auto"/>
                <w:highlight w:val="none"/>
              </w:rPr>
            </w:pPr>
            <w:r>
              <w:rPr>
                <w:color w:val="auto"/>
                <w:highlight w:val="none"/>
              </w:rPr>
              <w:t>工程环境监理</w:t>
            </w:r>
          </w:p>
        </w:tc>
        <w:tc>
          <w:tcPr>
            <w:tcW w:w="4797" w:type="dxa"/>
            <w:vAlign w:val="center"/>
          </w:tcPr>
          <w:p>
            <w:pPr>
              <w:pStyle w:val="42"/>
              <w:bidi w:val="0"/>
              <w:jc w:val="center"/>
              <w:rPr>
                <w:color w:val="auto"/>
                <w:highlight w:val="none"/>
              </w:rPr>
            </w:pPr>
            <w:r>
              <w:rPr>
                <w:color w:val="auto"/>
                <w:highlight w:val="none"/>
              </w:rPr>
              <w:t>按施工期工程环境监理计划进行，纳入工程监理范畴。</w:t>
            </w:r>
          </w:p>
        </w:tc>
        <w:tc>
          <w:tcPr>
            <w:tcW w:w="1042" w:type="dxa"/>
            <w:vAlign w:val="center"/>
          </w:tcPr>
          <w:p>
            <w:pPr>
              <w:pStyle w:val="42"/>
              <w:bidi w:val="0"/>
              <w:jc w:val="center"/>
              <w:rPr>
                <w:color w:val="auto"/>
                <w:highlight w:val="none"/>
              </w:rPr>
            </w:pPr>
            <w:r>
              <w:rPr>
                <w:color w:val="auto"/>
                <w:highlight w:val="none"/>
              </w:rPr>
              <w:t>监理单位</w:t>
            </w:r>
          </w:p>
        </w:tc>
        <w:tc>
          <w:tcPr>
            <w:tcW w:w="1191" w:type="dxa"/>
            <w:vAlign w:val="center"/>
          </w:tcPr>
          <w:p>
            <w:pPr>
              <w:pStyle w:val="42"/>
              <w:bidi w:val="0"/>
              <w:jc w:val="center"/>
              <w:rPr>
                <w:color w:val="auto"/>
                <w:highlight w:val="none"/>
              </w:rPr>
            </w:pPr>
            <w:r>
              <w:rPr>
                <w:color w:val="auto"/>
                <w:highlight w:val="none"/>
              </w:rPr>
              <w:t>建设单位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1314" w:type="dxa"/>
            <w:vAlign w:val="center"/>
          </w:tcPr>
          <w:p>
            <w:pPr>
              <w:pStyle w:val="42"/>
              <w:bidi w:val="0"/>
              <w:jc w:val="center"/>
              <w:rPr>
                <w:color w:val="auto"/>
                <w:highlight w:val="none"/>
              </w:rPr>
            </w:pPr>
            <w:r>
              <w:rPr>
                <w:color w:val="auto"/>
                <w:highlight w:val="none"/>
              </w:rPr>
              <w:t>防渗设施</w:t>
            </w:r>
          </w:p>
        </w:tc>
        <w:tc>
          <w:tcPr>
            <w:tcW w:w="4797" w:type="dxa"/>
            <w:vAlign w:val="center"/>
          </w:tcPr>
          <w:p>
            <w:pPr>
              <w:pStyle w:val="42"/>
              <w:bidi w:val="0"/>
              <w:jc w:val="center"/>
              <w:rPr>
                <w:color w:val="auto"/>
                <w:highlight w:val="none"/>
              </w:rPr>
            </w:pPr>
            <w:r>
              <w:rPr>
                <w:color w:val="auto"/>
                <w:highlight w:val="none"/>
              </w:rPr>
              <w:t>防渗设施应进行施工影像资料的保存</w:t>
            </w:r>
          </w:p>
        </w:tc>
        <w:tc>
          <w:tcPr>
            <w:tcW w:w="1042" w:type="dxa"/>
            <w:vAlign w:val="center"/>
          </w:tcPr>
          <w:p>
            <w:pPr>
              <w:pStyle w:val="42"/>
              <w:bidi w:val="0"/>
              <w:jc w:val="center"/>
              <w:rPr>
                <w:color w:val="auto"/>
                <w:highlight w:val="none"/>
              </w:rPr>
            </w:pPr>
            <w:r>
              <w:rPr>
                <w:rFonts w:hint="eastAsia"/>
                <w:color w:val="auto"/>
                <w:highlight w:val="none"/>
                <w:lang w:val="en-US" w:eastAsia="zh-CN"/>
              </w:rPr>
              <w:t>施工单位</w:t>
            </w:r>
          </w:p>
        </w:tc>
        <w:tc>
          <w:tcPr>
            <w:tcW w:w="1191" w:type="dxa"/>
            <w:vAlign w:val="center"/>
          </w:tcPr>
          <w:p>
            <w:pPr>
              <w:pStyle w:val="42"/>
              <w:bidi w:val="0"/>
              <w:jc w:val="center"/>
              <w:rPr>
                <w:color w:val="auto"/>
                <w:highlight w:val="none"/>
              </w:rPr>
            </w:pPr>
            <w:r>
              <w:rPr>
                <w:color w:val="auto"/>
                <w:highlight w:val="none"/>
              </w:rPr>
              <w:t>监理单位</w:t>
            </w:r>
          </w:p>
        </w:tc>
      </w:tr>
    </w:tbl>
    <w:p>
      <w:pPr>
        <w:pStyle w:val="3"/>
        <w:numPr>
          <w:ilvl w:val="1"/>
          <w:numId w:val="2"/>
        </w:numPr>
        <w:tabs>
          <w:tab w:val="left" w:pos="420"/>
        </w:tabs>
        <w:bidi w:val="0"/>
        <w:rPr>
          <w:color w:val="auto"/>
        </w:rPr>
      </w:pPr>
      <w:bookmarkStart w:id="866" w:name="_Toc32285"/>
      <w:bookmarkStart w:id="867" w:name="_Toc13338"/>
      <w:bookmarkStart w:id="868" w:name="_Toc11741"/>
      <w:bookmarkStart w:id="869" w:name="_Toc20301"/>
      <w:r>
        <w:rPr>
          <w:color w:val="auto"/>
        </w:rPr>
        <w:t>环境监测计划</w:t>
      </w:r>
      <w:bookmarkEnd w:id="866"/>
      <w:bookmarkEnd w:id="867"/>
      <w:bookmarkEnd w:id="868"/>
      <w:bookmarkEnd w:id="869"/>
    </w:p>
    <w:p>
      <w:pPr>
        <w:spacing w:line="360" w:lineRule="auto"/>
        <w:ind w:firstLine="480" w:firstLineChars="200"/>
        <w:rPr>
          <w:rFonts w:hint="default" w:ascii="Times New Roman" w:hAnsi="Times New Roman" w:cs="Times New Roman"/>
          <w:color w:val="auto"/>
          <w:sz w:val="24"/>
          <w:szCs w:val="20"/>
          <w:highlight w:val="none"/>
        </w:rPr>
      </w:pPr>
      <w:r>
        <w:rPr>
          <w:rFonts w:hint="default" w:ascii="Times New Roman" w:hAnsi="Times New Roman" w:cs="Times New Roman"/>
          <w:color w:val="auto"/>
          <w:sz w:val="24"/>
          <w:szCs w:val="20"/>
          <w:highlight w:val="none"/>
        </w:rPr>
        <w:t>环境监测是本项目环境管理体系的重要组成部分。环境监测计划的制定和执行，将保证环境管理措施的实施和落实，及时发现环境管理措施本身的不足和实施中存在的问题，并据此及时修正和改进。</w:t>
      </w:r>
    </w:p>
    <w:p>
      <w:pPr>
        <w:pStyle w:val="4"/>
        <w:numPr>
          <w:ilvl w:val="2"/>
          <w:numId w:val="2"/>
        </w:numPr>
        <w:tabs>
          <w:tab w:val="left" w:pos="420"/>
        </w:tabs>
        <w:bidi w:val="0"/>
        <w:rPr>
          <w:rFonts w:hint="default" w:ascii="Times New Roman" w:hAnsi="Times New Roman" w:cs="Times New Roman"/>
          <w:color w:val="auto"/>
          <w:highlight w:val="none"/>
        </w:rPr>
      </w:pPr>
      <w:bookmarkStart w:id="870" w:name="_Toc16206"/>
      <w:bookmarkStart w:id="871" w:name="_Toc46135964"/>
      <w:r>
        <w:rPr>
          <w:rFonts w:hint="default" w:ascii="Times New Roman" w:hAnsi="Times New Roman" w:cs="Times New Roman"/>
          <w:color w:val="auto"/>
          <w:highlight w:val="none"/>
        </w:rPr>
        <w:t>环境监测机构</w:t>
      </w:r>
      <w:bookmarkEnd w:id="870"/>
      <w:bookmarkEnd w:id="871"/>
    </w:p>
    <w:p>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szCs w:val="20"/>
          <w:highlight w:val="none"/>
        </w:rPr>
        <w:t>环境监测必须委托有环境质量认证资质的环境监测</w:t>
      </w:r>
      <w:r>
        <w:rPr>
          <w:rFonts w:hint="default" w:ascii="Times New Roman" w:hAnsi="Times New Roman" w:cs="Times New Roman"/>
          <w:color w:val="auto"/>
          <w:sz w:val="24"/>
          <w:szCs w:val="20"/>
          <w:highlight w:val="none"/>
          <w:lang w:val="en-US" w:eastAsia="zh-CN"/>
        </w:rPr>
        <w:t>机构</w:t>
      </w:r>
      <w:r>
        <w:rPr>
          <w:rFonts w:hint="default" w:ascii="Times New Roman" w:hAnsi="Times New Roman" w:cs="Times New Roman"/>
          <w:color w:val="auto"/>
          <w:sz w:val="24"/>
          <w:szCs w:val="20"/>
          <w:highlight w:val="none"/>
        </w:rPr>
        <w:t>承担。</w:t>
      </w:r>
    </w:p>
    <w:p>
      <w:pPr>
        <w:pStyle w:val="4"/>
        <w:numPr>
          <w:ilvl w:val="2"/>
          <w:numId w:val="2"/>
        </w:numPr>
        <w:tabs>
          <w:tab w:val="left" w:pos="420"/>
        </w:tabs>
        <w:bidi w:val="0"/>
        <w:rPr>
          <w:rFonts w:hint="default" w:ascii="Times New Roman" w:hAnsi="Times New Roman" w:cs="Times New Roman"/>
          <w:color w:val="auto"/>
          <w:highlight w:val="none"/>
        </w:rPr>
      </w:pPr>
      <w:bookmarkStart w:id="872" w:name="_Toc11432"/>
      <w:bookmarkStart w:id="873" w:name="_Toc46135965"/>
      <w:r>
        <w:rPr>
          <w:rFonts w:hint="default" w:ascii="Times New Roman" w:hAnsi="Times New Roman" w:cs="Times New Roman"/>
          <w:color w:val="auto"/>
          <w:highlight w:val="none"/>
        </w:rPr>
        <w:t>监测项目</w:t>
      </w:r>
      <w:bookmarkEnd w:id="872"/>
      <w:bookmarkEnd w:id="873"/>
    </w:p>
    <w:p>
      <w:pPr>
        <w:spacing w:line="360" w:lineRule="auto"/>
        <w:ind w:firstLine="480" w:firstLineChars="200"/>
        <w:rPr>
          <w:rFonts w:hint="default" w:ascii="Times New Roman" w:hAnsi="Times New Roman" w:cs="Times New Roman"/>
          <w:color w:val="auto"/>
          <w:sz w:val="24"/>
          <w:szCs w:val="20"/>
          <w:highlight w:val="none"/>
        </w:rPr>
      </w:pPr>
      <w:r>
        <w:rPr>
          <w:rFonts w:hint="default" w:ascii="Times New Roman" w:hAnsi="Times New Roman" w:cs="Times New Roman"/>
          <w:color w:val="auto"/>
          <w:sz w:val="24"/>
          <w:szCs w:val="20"/>
          <w:highlight w:val="none"/>
        </w:rPr>
        <w:t>监测主要针对施工期、竣工验收时开展。</w:t>
      </w:r>
    </w:p>
    <w:p>
      <w:pPr>
        <w:pStyle w:val="4"/>
        <w:numPr>
          <w:ilvl w:val="2"/>
          <w:numId w:val="2"/>
        </w:numPr>
        <w:tabs>
          <w:tab w:val="left" w:pos="420"/>
        </w:tabs>
        <w:bidi w:val="0"/>
        <w:rPr>
          <w:rFonts w:hint="default" w:ascii="Times New Roman" w:hAnsi="Times New Roman" w:cs="Times New Roman"/>
          <w:color w:val="auto"/>
          <w:highlight w:val="none"/>
        </w:rPr>
      </w:pPr>
      <w:bookmarkStart w:id="874" w:name="_Toc8443"/>
      <w:bookmarkStart w:id="875" w:name="_Toc46135966"/>
      <w:r>
        <w:rPr>
          <w:rFonts w:hint="default" w:ascii="Times New Roman" w:hAnsi="Times New Roman" w:cs="Times New Roman"/>
          <w:color w:val="auto"/>
          <w:highlight w:val="none"/>
        </w:rPr>
        <w:t>环境监测方案</w:t>
      </w:r>
      <w:bookmarkEnd w:id="874"/>
      <w:bookmarkEnd w:id="875"/>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20"/>
          <w:highlight w:val="none"/>
          <w:lang w:val="en-US" w:eastAsia="zh-CN"/>
        </w:rPr>
      </w:pPr>
      <w:r>
        <w:rPr>
          <w:rFonts w:hint="default" w:ascii="Times New Roman" w:hAnsi="Times New Roman" w:cs="Times New Roman"/>
          <w:color w:val="auto"/>
          <w:sz w:val="24"/>
          <w:szCs w:val="20"/>
          <w:highlight w:val="none"/>
        </w:rPr>
        <w:t>根据工程特征，所制定的环境监测方案</w:t>
      </w:r>
      <w:r>
        <w:rPr>
          <w:rFonts w:hint="default" w:ascii="Times New Roman" w:hAnsi="Times New Roman" w:cs="Times New Roman"/>
          <w:color w:val="auto"/>
          <w:sz w:val="24"/>
          <w:szCs w:val="20"/>
          <w:highlight w:val="none"/>
          <w:lang w:val="en-US" w:eastAsia="zh-CN"/>
        </w:rPr>
        <w:t>如下。</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cs="Times New Roman"/>
          <w:b/>
          <w:bCs/>
          <w:color w:val="auto"/>
          <w:sz w:val="24"/>
          <w:szCs w:val="20"/>
          <w:highlight w:val="none"/>
          <w:lang w:val="en-US" w:eastAsia="zh-CN"/>
        </w:rPr>
      </w:pPr>
      <w:r>
        <w:rPr>
          <w:rFonts w:hint="eastAsia" w:ascii="Times New Roman" w:hAnsi="Times New Roman" w:cs="Times New Roman"/>
          <w:b/>
          <w:bCs/>
          <w:color w:val="auto"/>
          <w:sz w:val="24"/>
          <w:szCs w:val="20"/>
          <w:highlight w:val="none"/>
          <w:lang w:val="en-US" w:eastAsia="zh-CN"/>
        </w:rPr>
        <w:t>1、</w:t>
      </w:r>
      <w:r>
        <w:rPr>
          <w:rFonts w:hint="default" w:ascii="Times New Roman" w:hAnsi="Times New Roman" w:cs="Times New Roman"/>
          <w:b/>
          <w:bCs/>
          <w:color w:val="auto"/>
          <w:sz w:val="24"/>
          <w:szCs w:val="20"/>
          <w:highlight w:val="none"/>
          <w:lang w:val="en-US" w:eastAsia="zh-CN"/>
        </w:rPr>
        <w:t>施工期监测方案</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1</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地表水监测方案</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监测断面：</w:t>
      </w:r>
      <w:r>
        <w:rPr>
          <w:rFonts w:hint="eastAsia" w:cs="Times New Roman"/>
          <w:color w:val="auto"/>
          <w:highlight w:val="none"/>
          <w:lang w:val="en-US" w:eastAsia="zh-CN"/>
        </w:rPr>
        <w:t>管道跨沙沟箐、姜驿河处</w:t>
      </w:r>
      <w:r>
        <w:rPr>
          <w:rFonts w:hint="default" w:ascii="Times New Roman" w:hAnsi="Times New Roman" w:cs="Times New Roman"/>
          <w:color w:val="auto"/>
          <w:highlight w:val="none"/>
        </w:rPr>
        <w:t>。</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cs="Times New Roman"/>
          <w:color w:val="auto"/>
          <w:highlight w:val="none"/>
          <w:lang w:eastAsia="zh-CN"/>
        </w:rPr>
      </w:pPr>
      <w:bookmarkStart w:id="876" w:name="_Toc57557316"/>
      <w:r>
        <w:rPr>
          <w:rFonts w:hint="default" w:ascii="Times New Roman" w:hAnsi="Times New Roman" w:cs="Times New Roman"/>
          <w:color w:val="auto"/>
          <w:highlight w:val="none"/>
        </w:rPr>
        <w:t>监测项目：pH、SS、石油类、COD、BOD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、TP、NH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-N等7项</w:t>
      </w:r>
      <w:bookmarkEnd w:id="876"/>
      <w:r>
        <w:rPr>
          <w:rFonts w:hint="default" w:ascii="Times New Roman" w:hAnsi="Times New Roman" w:cs="Times New Roman"/>
          <w:color w:val="auto"/>
          <w:highlight w:val="none"/>
          <w:lang w:eastAsia="zh-CN"/>
        </w:rPr>
        <w:t>。</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监测频次：施工期</w:t>
      </w:r>
      <w:r>
        <w:rPr>
          <w:rFonts w:hint="eastAsia" w:cs="Times New Roman"/>
          <w:color w:val="auto"/>
          <w:highlight w:val="none"/>
          <w:lang w:val="en-US" w:eastAsia="zh-CN"/>
        </w:rPr>
        <w:t>高峰期监测一次</w:t>
      </w:r>
      <w:r>
        <w:rPr>
          <w:rFonts w:hint="default" w:ascii="Times New Roman" w:hAnsi="Times New Roman" w:cs="Times New Roman"/>
          <w:color w:val="auto"/>
          <w:highlight w:val="none"/>
        </w:rPr>
        <w:t>。</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施工期地表水质监测计划详见下表。</w:t>
      </w:r>
    </w:p>
    <w:p>
      <w:pPr>
        <w:spacing w:line="240" w:lineRule="auto"/>
        <w:ind w:firstLine="0" w:firstLineChars="0"/>
        <w:jc w:val="center"/>
        <w:rPr>
          <w:rFonts w:hint="default" w:ascii="Times New Roman" w:hAnsi="Times New Roman" w:cs="Times New Roman"/>
          <w:b/>
          <w:bCs/>
          <w:snapToGrid w:val="0"/>
          <w:color w:val="auto"/>
          <w:kern w:val="0"/>
          <w:highlight w:val="none"/>
        </w:rPr>
      </w:pPr>
      <w:r>
        <w:rPr>
          <w:rFonts w:hint="default" w:ascii="Times New Roman" w:hAnsi="Times New Roman" w:cs="Times New Roman"/>
          <w:b/>
          <w:bCs/>
          <w:snapToGrid w:val="0"/>
          <w:color w:val="auto"/>
          <w:kern w:val="0"/>
          <w:highlight w:val="none"/>
        </w:rPr>
        <w:t>表</w:t>
      </w:r>
      <w:r>
        <w:rPr>
          <w:rFonts w:hint="eastAsia" w:ascii="Times New Roman" w:hAnsi="Times New Roman" w:cs="Times New Roman"/>
          <w:b/>
          <w:bCs/>
          <w:snapToGrid w:val="0"/>
          <w:color w:val="auto"/>
          <w:kern w:val="0"/>
          <w:highlight w:val="none"/>
          <w:lang w:val="en-US" w:eastAsia="zh-CN"/>
        </w:rPr>
        <w:t>8.6.3</w:t>
      </w:r>
      <w:r>
        <w:rPr>
          <w:rFonts w:hint="default" w:ascii="Times New Roman" w:hAnsi="Times New Roman" w:eastAsia="Times New Roman" w:cs="Times New Roman"/>
          <w:b/>
          <w:bCs/>
          <w:snapToGrid w:val="0"/>
          <w:color w:val="auto"/>
          <w:kern w:val="0"/>
          <w:highlight w:val="none"/>
        </w:rPr>
        <w:t>-</w:t>
      </w:r>
      <w:r>
        <w:rPr>
          <w:rFonts w:hint="default" w:ascii="Times New Roman" w:hAnsi="Times New Roman" w:cs="Times New Roman"/>
          <w:b/>
          <w:bCs/>
          <w:snapToGrid w:val="0"/>
          <w:color w:val="auto"/>
          <w:kern w:val="0"/>
          <w:highlight w:val="none"/>
          <w:lang w:val="en-US" w:eastAsia="zh-CN"/>
        </w:rPr>
        <w:t>1</w:t>
      </w:r>
      <w:r>
        <w:rPr>
          <w:rFonts w:hint="eastAsia" w:ascii="Times New Roman" w:hAnsi="Times New Roman" w:cs="Times New Roman"/>
          <w:b/>
          <w:bCs/>
          <w:snapToGrid w:val="0"/>
          <w:color w:val="auto"/>
          <w:kern w:val="0"/>
          <w:highlight w:val="none"/>
          <w:lang w:val="en-US" w:eastAsia="zh-CN"/>
        </w:rPr>
        <w:t xml:space="preserve">   </w:t>
      </w:r>
      <w:r>
        <w:rPr>
          <w:rFonts w:hint="default" w:ascii="Times New Roman" w:hAnsi="Times New Roman" w:cs="Times New Roman"/>
          <w:b/>
          <w:bCs/>
          <w:snapToGrid w:val="0"/>
          <w:color w:val="auto"/>
          <w:kern w:val="0"/>
          <w:highlight w:val="none"/>
        </w:rPr>
        <w:t>施工期地表水质监测计划一览表</w:t>
      </w:r>
    </w:p>
    <w:tbl>
      <w:tblPr>
        <w:tblStyle w:val="2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61"/>
        <w:gridCol w:w="1657"/>
        <w:gridCol w:w="2527"/>
        <w:gridCol w:w="1966"/>
        <w:gridCol w:w="122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1061"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监测对象</w:t>
            </w:r>
          </w:p>
        </w:tc>
        <w:tc>
          <w:tcPr>
            <w:tcW w:w="1657"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监测点位</w:t>
            </w:r>
          </w:p>
        </w:tc>
        <w:tc>
          <w:tcPr>
            <w:tcW w:w="2527"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w:t>
            </w:r>
          </w:p>
        </w:tc>
        <w:tc>
          <w:tcPr>
            <w:tcW w:w="1966"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监测时间及频率</w:t>
            </w:r>
          </w:p>
        </w:tc>
        <w:tc>
          <w:tcPr>
            <w:tcW w:w="1220"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监测方法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061" w:type="dxa"/>
            <w:noWrap w:val="0"/>
            <w:vAlign w:val="center"/>
          </w:tcPr>
          <w:p>
            <w:pPr>
              <w:pStyle w:val="4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沙沟箐、姜驿河</w:t>
            </w:r>
          </w:p>
        </w:tc>
        <w:tc>
          <w:tcPr>
            <w:tcW w:w="1657"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管道跨沙沟箐、姜驿河处</w:t>
            </w:r>
          </w:p>
        </w:tc>
        <w:tc>
          <w:tcPr>
            <w:tcW w:w="2527"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pH、SS、石油类、COD、BOD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、TP、NH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p>
        </w:tc>
        <w:tc>
          <w:tcPr>
            <w:tcW w:w="1966"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施工期高峰期监测一次</w:t>
            </w:r>
          </w:p>
        </w:tc>
        <w:tc>
          <w:tcPr>
            <w:tcW w:w="1220" w:type="dxa"/>
            <w:noWrap w:val="0"/>
            <w:vAlign w:val="center"/>
          </w:tcPr>
          <w:p>
            <w:pPr>
              <w:pStyle w:val="42"/>
              <w:rPr>
                <w:rFonts w:hint="default" w:ascii="Times New Roman" w:hAnsi="Times New Roman" w:cs="Times New Roman"/>
                <w:color w:val="auto"/>
                <w:highlight w:val="none"/>
              </w:rPr>
            </w:pPr>
            <w:r>
              <w:rPr>
                <w:rFonts w:hint="default" w:ascii="Times New Roman" w:hAnsi="Times New Roman" w:cs="Times New Roman"/>
                <w:color w:val="auto"/>
                <w:highlight w:val="none"/>
              </w:rPr>
              <w:t>《环境监测技术规范》</w:t>
            </w:r>
          </w:p>
        </w:tc>
      </w:tr>
    </w:tbl>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eastAsia="zh-CN"/>
        </w:rPr>
        <w:t>环境空气、噪声环境</w:t>
      </w:r>
    </w:p>
    <w:p>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eastAsia" w:ascii="宋体" w:hAnsi="宋体" w:eastAsia="宋体" w:cs="宋体"/>
          <w:color w:val="auto"/>
          <w:kern w:val="0"/>
          <w:sz w:val="24"/>
          <w:szCs w:val="24"/>
          <w:lang w:val="en-US" w:eastAsia="zh-CN" w:bidi="ar"/>
        </w:rPr>
        <w:t>为了</w:t>
      </w:r>
      <w:r>
        <w:rPr>
          <w:rFonts w:hint="default" w:ascii="Times New Roman" w:hAnsi="Times New Roman" w:eastAsia="宋体" w:cs="Times New Roman"/>
          <w:color w:val="auto"/>
          <w:kern w:val="0"/>
          <w:sz w:val="24"/>
          <w:szCs w:val="24"/>
          <w:lang w:val="en-US" w:eastAsia="zh-CN" w:bidi="ar"/>
        </w:rPr>
        <w:t>解工程施工期对环境空气和声环境的影响，结合工程施工总布置及敏感点分布，大气设置</w:t>
      </w:r>
      <w:r>
        <w:rPr>
          <w:rFonts w:hint="default" w:ascii="Times New Roman" w:hAnsi="Times New Roman" w:cs="Times New Roman"/>
          <w:color w:val="auto"/>
          <w:kern w:val="0"/>
          <w:sz w:val="24"/>
          <w:szCs w:val="24"/>
          <w:lang w:val="en-US" w:eastAsia="zh-CN" w:bidi="ar"/>
        </w:rPr>
        <w:t>9</w:t>
      </w:r>
      <w:r>
        <w:rPr>
          <w:rFonts w:hint="default" w:ascii="Times New Roman" w:hAnsi="Times New Roman" w:eastAsia="宋体" w:cs="Times New Roman"/>
          <w:color w:val="auto"/>
          <w:kern w:val="0"/>
          <w:sz w:val="24"/>
          <w:szCs w:val="24"/>
          <w:lang w:val="en-US" w:eastAsia="zh-CN" w:bidi="ar"/>
        </w:rPr>
        <w:t>个点位、声环境设</w:t>
      </w:r>
      <w:r>
        <w:rPr>
          <w:rFonts w:hint="default" w:ascii="Times New Roman" w:hAnsi="Times New Roman" w:cs="Times New Roman"/>
          <w:color w:val="auto"/>
          <w:kern w:val="0"/>
          <w:sz w:val="24"/>
          <w:szCs w:val="24"/>
          <w:lang w:val="en-US" w:eastAsia="zh-CN" w:bidi="ar"/>
        </w:rPr>
        <w:t>8</w:t>
      </w:r>
      <w:r>
        <w:rPr>
          <w:rFonts w:hint="default" w:ascii="Times New Roman" w:hAnsi="Times New Roman" w:eastAsia="宋体" w:cs="Times New Roman"/>
          <w:color w:val="auto"/>
          <w:kern w:val="0"/>
          <w:sz w:val="24"/>
          <w:szCs w:val="24"/>
          <w:lang w:val="en-US" w:eastAsia="zh-CN" w:bidi="ar"/>
        </w:rPr>
        <w:t>个监测点位，详见表 8.1-5。</w:t>
      </w:r>
    </w:p>
    <w:p>
      <w:pPr>
        <w:keepNext w:val="0"/>
        <w:keepLines w:val="0"/>
        <w:widowControl/>
        <w:suppressLineNumbers w:val="0"/>
        <w:spacing w:line="240" w:lineRule="auto"/>
        <w:jc w:val="center"/>
        <w:rPr>
          <w:rFonts w:hint="default" w:ascii="Times New Roman" w:hAnsi="Times New Roman" w:cs="Times New Roman"/>
          <w:color w:val="auto"/>
        </w:rPr>
      </w:pPr>
      <w:r>
        <w:rPr>
          <w:rFonts w:hint="default" w:ascii="Times New Roman" w:hAnsi="Times New Roman" w:eastAsia="宋体" w:cs="Times New Roman"/>
          <w:b/>
          <w:bCs/>
          <w:color w:val="auto"/>
          <w:kern w:val="0"/>
          <w:sz w:val="24"/>
          <w:szCs w:val="24"/>
          <w:lang w:val="en-US" w:eastAsia="zh-CN" w:bidi="ar"/>
        </w:rPr>
        <w:t>表 8.</w:t>
      </w:r>
      <w:r>
        <w:rPr>
          <w:rFonts w:hint="eastAsia" w:cs="Times New Roman"/>
          <w:b/>
          <w:bCs/>
          <w:color w:val="auto"/>
          <w:kern w:val="0"/>
          <w:sz w:val="24"/>
          <w:szCs w:val="24"/>
          <w:lang w:val="en-US" w:eastAsia="zh-CN" w:bidi="ar"/>
        </w:rPr>
        <w:t>6.3-2</w:t>
      </w:r>
      <w:r>
        <w:rPr>
          <w:rFonts w:hint="default" w:ascii="Times New Roman" w:hAnsi="Times New Roman" w:eastAsia="宋体" w:cs="Times New Roman"/>
          <w:b/>
          <w:bCs/>
          <w:color w:val="auto"/>
          <w:kern w:val="0"/>
          <w:sz w:val="24"/>
          <w:szCs w:val="24"/>
          <w:lang w:val="en-US" w:eastAsia="zh-CN" w:bidi="ar"/>
        </w:rPr>
        <w:t xml:space="preserve"> 施工期大气和声环境监测计划</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2"/>
        <w:gridCol w:w="4891"/>
        <w:gridCol w:w="1379"/>
        <w:gridCol w:w="14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监测对象</w:t>
            </w:r>
          </w:p>
        </w:tc>
        <w:tc>
          <w:tcPr>
            <w:tcW w:w="286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监测点位</w:t>
            </w:r>
          </w:p>
        </w:tc>
        <w:tc>
          <w:tcPr>
            <w:tcW w:w="80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cs="Times New Roman"/>
                <w:color w:val="auto"/>
                <w:sz w:val="21"/>
                <w:szCs w:val="21"/>
                <w:highlight w:val="none"/>
                <w:vertAlign w:val="baseline"/>
                <w:lang w:val="en-US" w:eastAsia="zh-CN"/>
              </w:rPr>
            </w:pPr>
            <w:r>
              <w:rPr>
                <w:rFonts w:hint="eastAsia" w:ascii="宋体" w:hAnsi="宋体" w:eastAsia="宋体" w:cs="宋体"/>
                <w:color w:val="auto"/>
                <w:kern w:val="0"/>
                <w:sz w:val="21"/>
                <w:szCs w:val="21"/>
                <w:lang w:val="en-US" w:eastAsia="zh-CN" w:bidi="ar"/>
              </w:rPr>
              <w:t>监测参数</w:t>
            </w:r>
          </w:p>
        </w:tc>
        <w:tc>
          <w:tcPr>
            <w:tcW w:w="87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监测频率及时间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环境空气</w:t>
            </w:r>
          </w:p>
        </w:tc>
        <w:tc>
          <w:tcPr>
            <w:tcW w:w="286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金马村</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阿洒姑村</w:t>
            </w:r>
            <w:r>
              <w:rPr>
                <w:rFonts w:hint="eastAsia"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华峰</w:t>
            </w:r>
            <w:r>
              <w:rPr>
                <w:rFonts w:hint="default" w:ascii="Times New Roman" w:hAnsi="Times New Roman" w:cs="Times New Roman"/>
                <w:color w:val="auto"/>
                <w:sz w:val="21"/>
                <w:szCs w:val="21"/>
                <w:highlight w:val="none"/>
                <w:vertAlign w:val="baseline"/>
                <w:lang w:val="en-US" w:eastAsia="zh-CN"/>
              </w:rPr>
              <w:t>村</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羊拉昔村</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姜驿乡</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红坡村</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姜驿大村</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拉黑沟村</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白秧树村</w:t>
            </w:r>
          </w:p>
        </w:tc>
        <w:tc>
          <w:tcPr>
            <w:tcW w:w="80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TSP</w:t>
            </w:r>
          </w:p>
        </w:tc>
        <w:tc>
          <w:tcPr>
            <w:tcW w:w="87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color w:val="auto"/>
                <w:sz w:val="21"/>
                <w:szCs w:val="21"/>
                <w:highlight w:val="none"/>
              </w:rPr>
              <w:t>施工期高峰期监测1次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噪声</w:t>
            </w:r>
          </w:p>
        </w:tc>
        <w:tc>
          <w:tcPr>
            <w:tcW w:w="2869"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金马村</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阿洒姑村</w:t>
            </w:r>
            <w:r>
              <w:rPr>
                <w:rFonts w:hint="eastAsia"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华峰</w:t>
            </w:r>
            <w:r>
              <w:rPr>
                <w:rFonts w:hint="default" w:ascii="Times New Roman" w:hAnsi="Times New Roman" w:cs="Times New Roman"/>
                <w:color w:val="auto"/>
                <w:sz w:val="21"/>
                <w:szCs w:val="21"/>
                <w:highlight w:val="none"/>
                <w:vertAlign w:val="baseline"/>
                <w:lang w:val="en-US" w:eastAsia="zh-CN"/>
              </w:rPr>
              <w:t>村</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羊拉昔村</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姜驿乡</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红坡村</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姜驿大村</w:t>
            </w:r>
            <w:r>
              <w:rPr>
                <w:rFonts w:hint="eastAsia"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白秧树村</w:t>
            </w:r>
          </w:p>
        </w:tc>
        <w:tc>
          <w:tcPr>
            <w:tcW w:w="809" w:type="pct"/>
            <w:vAlign w:val="center"/>
          </w:tcPr>
          <w:p>
            <w:pPr>
              <w:keepNext w:val="0"/>
              <w:keepLines w:val="0"/>
              <w:pageBreakBefore w:val="0"/>
              <w:widowControl/>
              <w:suppressLineNumbers w:val="0"/>
              <w:kinsoku/>
              <w:wordWrap/>
              <w:overflowPunct/>
              <w:topLinePunct w:val="0"/>
              <w:autoSpaceDE/>
              <w:autoSpaceDN/>
              <w:bidi w:val="0"/>
              <w:adjustRightInd/>
              <w:snapToGrid w:val="0"/>
              <w:spacing w:line="240" w:lineRule="auto"/>
              <w:ind w:firstLine="0" w:firstLineChars="0"/>
              <w:jc w:val="left"/>
              <w:textAlignment w:val="auto"/>
              <w:rPr>
                <w:rFonts w:hint="default" w:ascii="Times New Roman" w:hAnsi="Times New Roman" w:cs="Times New Roman"/>
                <w:color w:val="auto"/>
                <w:sz w:val="21"/>
                <w:szCs w:val="21"/>
                <w:highlight w:val="none"/>
                <w:vertAlign w:val="baseline"/>
                <w:lang w:val="en-US" w:eastAsia="zh-CN"/>
              </w:rPr>
            </w:pPr>
            <w:r>
              <w:rPr>
                <w:rFonts w:hint="eastAsia" w:ascii="宋体" w:hAnsi="宋体" w:eastAsia="宋体" w:cs="宋体"/>
                <w:color w:val="auto"/>
                <w:kern w:val="0"/>
                <w:sz w:val="21"/>
                <w:szCs w:val="21"/>
                <w:lang w:val="en-US" w:eastAsia="zh-CN" w:bidi="ar"/>
              </w:rPr>
              <w:t>等效</w:t>
            </w:r>
            <w:r>
              <w:rPr>
                <w:rFonts w:hint="default" w:ascii="Times New Roman" w:hAnsi="Times New Roman" w:eastAsia="宋体" w:cs="Times New Roman"/>
                <w:color w:val="auto"/>
                <w:kern w:val="0"/>
                <w:sz w:val="21"/>
                <w:szCs w:val="21"/>
                <w:lang w:val="en-US" w:eastAsia="zh-CN" w:bidi="ar"/>
              </w:rPr>
              <w:t>A</w:t>
            </w:r>
            <w:r>
              <w:rPr>
                <w:rFonts w:hint="eastAsia" w:ascii="宋体" w:hAnsi="宋体" w:eastAsia="宋体" w:cs="宋体"/>
                <w:color w:val="auto"/>
                <w:kern w:val="0"/>
                <w:sz w:val="21"/>
                <w:szCs w:val="21"/>
                <w:lang w:val="en-US" w:eastAsia="zh-CN" w:bidi="ar"/>
              </w:rPr>
              <w:t>声级</w:t>
            </w:r>
          </w:p>
        </w:tc>
        <w:tc>
          <w:tcPr>
            <w:tcW w:w="874"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color w:val="auto"/>
                <w:sz w:val="21"/>
                <w:szCs w:val="21"/>
                <w:highlight w:val="none"/>
              </w:rPr>
              <w:t>施工期高峰期监测1次</w:t>
            </w:r>
          </w:p>
        </w:tc>
      </w:tr>
    </w:tbl>
    <w:p>
      <w:pPr>
        <w:ind w:firstLine="480"/>
        <w:rPr>
          <w:rFonts w:hint="default" w:ascii="Times New Roman" w:hAnsi="Times New Roman" w:eastAsia="宋体" w:cs="Times New Roman"/>
          <w:b/>
          <w:bCs/>
          <w:color w:val="auto"/>
          <w:highlight w:val="none"/>
          <w:lang w:val="en-US" w:eastAsia="zh-CN"/>
        </w:rPr>
      </w:pPr>
      <w:r>
        <w:rPr>
          <w:rFonts w:hint="eastAsia" w:ascii="Times New Roman" w:hAnsi="Times New Roman" w:cs="Times New Roman"/>
          <w:b/>
          <w:bCs/>
          <w:color w:val="auto"/>
          <w:highlight w:val="none"/>
          <w:lang w:val="en-US" w:eastAsia="zh-CN"/>
        </w:rPr>
        <w:t>2、运营期环境监测方案</w:t>
      </w:r>
    </w:p>
    <w:p>
      <w:pPr>
        <w:ind w:firstLine="480"/>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1</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地表水监测方案</w:t>
      </w:r>
    </w:p>
    <w:p>
      <w:pPr>
        <w:ind w:firstLine="480"/>
        <w:rPr>
          <w:rFonts w:hint="default" w:ascii="Times New Roman" w:hAnsi="Times New Roman" w:cs="Times New Roman"/>
          <w:color w:val="0000FF"/>
          <w:highlight w:val="none"/>
        </w:rPr>
      </w:pPr>
      <w:r>
        <w:rPr>
          <w:rFonts w:hint="default" w:ascii="Times New Roman" w:hAnsi="Times New Roman" w:cs="Times New Roman"/>
          <w:color w:val="auto"/>
          <w:highlight w:val="none"/>
        </w:rPr>
        <w:t>①监测断面</w:t>
      </w:r>
      <w:r>
        <w:rPr>
          <w:rFonts w:hint="default" w:ascii="Times New Roman" w:hAnsi="Times New Roman" w:cs="Times New Roman"/>
          <w:color w:val="0000FF"/>
          <w:highlight w:val="none"/>
        </w:rPr>
        <w:t>：</w:t>
      </w:r>
      <w:r>
        <w:rPr>
          <w:rFonts w:hint="eastAsia" w:ascii="Times New Roman" w:hAnsi="Times New Roman" w:cs="Times New Roman"/>
          <w:color w:val="0000FF"/>
          <w:highlight w:val="none"/>
          <w:lang w:val="en-US" w:eastAsia="zh-CN"/>
        </w:rPr>
        <w:t>退水区</w:t>
      </w:r>
      <w:r>
        <w:rPr>
          <w:rFonts w:hint="default" w:ascii="Times New Roman" w:hAnsi="Times New Roman" w:cs="Times New Roman"/>
          <w:color w:val="0000FF"/>
          <w:highlight w:val="none"/>
        </w:rPr>
        <w:t>沙沟箐、姜驿河</w:t>
      </w:r>
      <w:r>
        <w:rPr>
          <w:rFonts w:hint="eastAsia" w:cs="Times New Roman"/>
          <w:color w:val="0000FF"/>
          <w:highlight w:val="none"/>
          <w:lang w:val="en-US" w:eastAsia="zh-CN"/>
        </w:rPr>
        <w:t>跨河段下游100m处</w:t>
      </w:r>
      <w:r>
        <w:rPr>
          <w:rFonts w:hint="eastAsia" w:cs="Times New Roman"/>
          <w:color w:val="0000FF"/>
          <w:highlight w:val="none"/>
          <w:lang w:eastAsia="zh-CN"/>
        </w:rPr>
        <w:t>；</w:t>
      </w:r>
      <w:r>
        <w:rPr>
          <w:rFonts w:hint="eastAsia" w:cs="Times New Roman"/>
          <w:color w:val="0000FF"/>
          <w:highlight w:val="none"/>
          <w:lang w:val="en-US" w:eastAsia="zh-CN"/>
        </w:rPr>
        <w:t>4个受水区水库</w:t>
      </w:r>
      <w:r>
        <w:rPr>
          <w:rFonts w:hint="default" w:ascii="Times New Roman" w:hAnsi="Times New Roman" w:cs="Times New Roman"/>
          <w:color w:val="0000FF"/>
          <w:highlight w:val="none"/>
        </w:rPr>
        <w:t>。</w:t>
      </w:r>
    </w:p>
    <w:p>
      <w:pPr>
        <w:ind w:firstLine="480"/>
        <w:rPr>
          <w:rFonts w:hint="default" w:ascii="Times New Roman" w:hAnsi="Times New Roman" w:cs="Times New Roman"/>
          <w:color w:val="0000FF"/>
          <w:highlight w:val="none"/>
        </w:rPr>
      </w:pPr>
      <w:r>
        <w:rPr>
          <w:rFonts w:hint="default" w:ascii="Times New Roman" w:hAnsi="Times New Roman" w:cs="Times New Roman"/>
          <w:color w:val="auto"/>
          <w:highlight w:val="none"/>
        </w:rPr>
        <w:t>②监测项目：水温、pH、溶解氧、高锰酸盐指数、化学需氧量（COD）、五日生化需氧量（BOD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）、氨氮、总磷、总氮、铜、锌、氟化物、硒、砷、汞、镉、铬（六价）、铅、氰化物、挥发酚、石油类、阴离子表面活性剂、硫化物、粪大肠菌群</w:t>
      </w:r>
      <w:r>
        <w:rPr>
          <w:rFonts w:hint="eastAsia" w:cs="Times New Roman"/>
          <w:color w:val="auto"/>
          <w:highlight w:val="none"/>
          <w:lang w:eastAsia="zh-CN"/>
        </w:rPr>
        <w:t>、</w:t>
      </w:r>
      <w:r>
        <w:rPr>
          <w:rFonts w:hint="eastAsia" w:cs="Times New Roman"/>
          <w:color w:val="0000FF"/>
          <w:highlight w:val="none"/>
          <w:lang w:val="en-US" w:eastAsia="zh-CN"/>
        </w:rPr>
        <w:t>叶绿素a</w:t>
      </w:r>
      <w:r>
        <w:rPr>
          <w:rFonts w:hint="default" w:ascii="Times New Roman" w:hAnsi="Times New Roman" w:cs="Times New Roman"/>
          <w:color w:val="0000FF"/>
          <w:highlight w:val="none"/>
        </w:rPr>
        <w:t>。</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③监测频次：运营期每年丰、枯水期各一次，每次连续监测3天。</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运营期地表水质监测计划详见下表。</w:t>
      </w:r>
    </w:p>
    <w:p>
      <w:pPr>
        <w:spacing w:line="240" w:lineRule="auto"/>
        <w:ind w:firstLine="0" w:firstLineChars="0"/>
        <w:jc w:val="center"/>
        <w:rPr>
          <w:rFonts w:hint="default" w:ascii="Times New Roman" w:hAnsi="Times New Roman" w:cs="Times New Roman"/>
          <w:b/>
          <w:bCs/>
          <w:snapToGrid w:val="0"/>
          <w:color w:val="auto"/>
          <w:kern w:val="0"/>
          <w:highlight w:val="none"/>
        </w:rPr>
      </w:pPr>
      <w:r>
        <w:rPr>
          <w:rFonts w:hint="default" w:ascii="Times New Roman" w:hAnsi="Times New Roman" w:eastAsia="宋体" w:cs="Times New Roman"/>
          <w:b/>
          <w:bCs/>
          <w:color w:val="auto"/>
          <w:kern w:val="0"/>
          <w:sz w:val="24"/>
          <w:szCs w:val="24"/>
          <w:lang w:val="en-US" w:eastAsia="zh-CN" w:bidi="ar"/>
        </w:rPr>
        <w:t>表 8.</w:t>
      </w:r>
      <w:r>
        <w:rPr>
          <w:rFonts w:hint="eastAsia" w:cs="Times New Roman"/>
          <w:b/>
          <w:bCs/>
          <w:color w:val="auto"/>
          <w:kern w:val="0"/>
          <w:sz w:val="24"/>
          <w:szCs w:val="24"/>
          <w:lang w:val="en-US" w:eastAsia="zh-CN" w:bidi="ar"/>
        </w:rPr>
        <w:t>6.3-3</w:t>
      </w:r>
      <w:r>
        <w:rPr>
          <w:rFonts w:hint="default" w:ascii="Times New Roman" w:hAnsi="Times New Roman" w:cs="Times New Roman"/>
          <w:b/>
          <w:bCs/>
          <w:snapToGrid w:val="0"/>
          <w:color w:val="auto"/>
          <w:kern w:val="0"/>
          <w:highlight w:val="none"/>
        </w:rPr>
        <w:t xml:space="preserve">   运营期地表水质监测计划一览表</w:t>
      </w:r>
    </w:p>
    <w:tbl>
      <w:tblPr>
        <w:tblStyle w:val="29"/>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68"/>
        <w:gridCol w:w="4512"/>
        <w:gridCol w:w="1843"/>
        <w:gridCol w:w="112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8" w:hRule="atLeast"/>
          <w:jc w:val="center"/>
        </w:trPr>
        <w:tc>
          <w:tcPr>
            <w:tcW w:w="868" w:type="dxa"/>
            <w:noWrap w:val="0"/>
            <w:vAlign w:val="center"/>
          </w:tcPr>
          <w:p>
            <w:pPr>
              <w:spacing w:line="240" w:lineRule="auto"/>
              <w:ind w:firstLine="0" w:firstLineChars="0"/>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监测对象</w:t>
            </w:r>
          </w:p>
        </w:tc>
        <w:tc>
          <w:tcPr>
            <w:tcW w:w="4512" w:type="dxa"/>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监测因子</w:t>
            </w:r>
          </w:p>
        </w:tc>
        <w:tc>
          <w:tcPr>
            <w:tcW w:w="1843" w:type="dxa"/>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监测时间及频率</w:t>
            </w:r>
          </w:p>
        </w:tc>
        <w:tc>
          <w:tcPr>
            <w:tcW w:w="1120" w:type="dxa"/>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监测方法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88" w:hRule="atLeast"/>
          <w:jc w:val="center"/>
        </w:trPr>
        <w:tc>
          <w:tcPr>
            <w:tcW w:w="868" w:type="dxa"/>
            <w:vMerge w:val="restart"/>
            <w:noWrap w:val="0"/>
            <w:vAlign w:val="center"/>
          </w:tcPr>
          <w:p>
            <w:pPr>
              <w:spacing w:line="240" w:lineRule="auto"/>
              <w:ind w:firstLine="0" w:firstLineChars="0"/>
              <w:jc w:val="center"/>
              <w:rPr>
                <w:rFonts w:hint="eastAsia" w:ascii="Times New Roman" w:hAnsi="Times New Roman" w:eastAsia="宋体" w:cs="Times New Roman"/>
                <w:color w:val="0000FF"/>
                <w:sz w:val="21"/>
                <w:szCs w:val="21"/>
                <w:highlight w:val="none"/>
                <w:lang w:eastAsia="zh-CN"/>
              </w:rPr>
            </w:pPr>
            <w:r>
              <w:rPr>
                <w:rFonts w:hint="default" w:ascii="Times New Roman" w:hAnsi="Times New Roman" w:cs="Times New Roman"/>
                <w:color w:val="0000FF"/>
                <w:sz w:val="21"/>
                <w:szCs w:val="21"/>
                <w:highlight w:val="none"/>
              </w:rPr>
              <w:t>退水区沙沟箐、姜驿河</w:t>
            </w:r>
            <w:r>
              <w:rPr>
                <w:rFonts w:hint="eastAsia" w:cs="Times New Roman"/>
                <w:color w:val="0000FF"/>
                <w:sz w:val="21"/>
                <w:szCs w:val="21"/>
                <w:highlight w:val="none"/>
                <w:lang w:eastAsia="zh-CN"/>
              </w:rPr>
              <w:t>、4个受水区水库</w:t>
            </w:r>
          </w:p>
        </w:tc>
        <w:tc>
          <w:tcPr>
            <w:tcW w:w="4512" w:type="dxa"/>
            <w:vMerge w:val="restar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水温、pH、溶解氧、高锰酸盐指数、化学需氧量（COD）、五日生化需氧量（BOD</w:t>
            </w:r>
            <w:r>
              <w:rPr>
                <w:rFonts w:hint="default" w:ascii="Times New Roman" w:hAnsi="Times New Roman" w:cs="Times New Roman"/>
                <w:color w:val="auto"/>
                <w:sz w:val="21"/>
                <w:szCs w:val="21"/>
                <w:highlight w:val="none"/>
                <w:vertAlign w:val="subscript"/>
              </w:rPr>
              <w:t>5</w:t>
            </w:r>
            <w:r>
              <w:rPr>
                <w:rFonts w:hint="default" w:ascii="Times New Roman" w:hAnsi="Times New Roman" w:cs="Times New Roman"/>
                <w:color w:val="auto"/>
                <w:sz w:val="21"/>
                <w:szCs w:val="21"/>
                <w:highlight w:val="none"/>
              </w:rPr>
              <w:t>）、氨氮、总磷、总氮、铜、锌、氟化物、硒、砷、汞、镉、铬（六价）、铅、氰化物、挥发酚、石油类、阴离子表面活性剂、硫化物、粪大肠菌群</w:t>
            </w:r>
            <w:r>
              <w:rPr>
                <w:rFonts w:hint="eastAsia" w:cs="Times New Roman"/>
                <w:color w:val="auto"/>
                <w:sz w:val="21"/>
                <w:szCs w:val="21"/>
                <w:highlight w:val="none"/>
                <w:lang w:eastAsia="zh-CN"/>
              </w:rPr>
              <w:t>、</w:t>
            </w:r>
            <w:r>
              <w:rPr>
                <w:rFonts w:hint="eastAsia" w:cs="Times New Roman"/>
                <w:color w:val="0000FF"/>
                <w:sz w:val="21"/>
                <w:szCs w:val="21"/>
                <w:highlight w:val="none"/>
                <w:lang w:val="en-US" w:eastAsia="zh-CN"/>
              </w:rPr>
              <w:t>叶绿素a</w:t>
            </w:r>
          </w:p>
        </w:tc>
        <w:tc>
          <w:tcPr>
            <w:tcW w:w="1843" w:type="dxa"/>
            <w:vMerge w:val="restar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运营期每年丰、枯水期各一次，每次连续监测3天</w:t>
            </w:r>
          </w:p>
        </w:tc>
        <w:tc>
          <w:tcPr>
            <w:tcW w:w="1120" w:type="dxa"/>
            <w:vMerge w:val="restart"/>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《环境监测技术规范》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8" w:hRule="atLeast"/>
          <w:jc w:val="center"/>
        </w:trPr>
        <w:tc>
          <w:tcPr>
            <w:tcW w:w="868" w:type="dxa"/>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p>
        </w:tc>
        <w:tc>
          <w:tcPr>
            <w:tcW w:w="4512" w:type="dxa"/>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p>
        </w:tc>
        <w:tc>
          <w:tcPr>
            <w:tcW w:w="1843" w:type="dxa"/>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p>
        </w:tc>
        <w:tc>
          <w:tcPr>
            <w:tcW w:w="1120" w:type="dxa"/>
            <w:vMerge w:val="continue"/>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p>
        </w:tc>
      </w:tr>
    </w:tbl>
    <w:p>
      <w:pPr>
        <w:tabs>
          <w:tab w:val="left" w:pos="283"/>
          <w:tab w:val="left" w:pos="420"/>
        </w:tabs>
        <w:bidi w:val="0"/>
        <w:ind w:left="0" w:leftChars="0" w:firstLine="0" w:firstLineChars="0"/>
        <w:outlineLvl w:val="9"/>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2</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噪声环境监测</w:t>
      </w:r>
    </w:p>
    <w:p>
      <w:pPr>
        <w:ind w:firstLine="482"/>
        <w:rPr>
          <w:rFonts w:hint="eastAsia"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运营期</w:t>
      </w:r>
      <w:r>
        <w:rPr>
          <w:rFonts w:hint="eastAsia" w:cs="Times New Roman"/>
          <w:b/>
          <w:bCs/>
          <w:color w:val="auto"/>
          <w:highlight w:val="none"/>
          <w:lang w:eastAsia="zh-CN"/>
        </w:rPr>
        <w:t>：</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①监测点位：泵站厂界噪声。</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②</w:t>
      </w:r>
      <w:r>
        <w:rPr>
          <w:rFonts w:hint="default" w:ascii="Times New Roman" w:hAnsi="Times New Roman" w:cs="Times New Roman"/>
          <w:color w:val="auto"/>
          <w:highlight w:val="none"/>
        </w:rPr>
        <w:t>监测项目：L</w:t>
      </w:r>
      <w:r>
        <w:rPr>
          <w:rFonts w:hint="default" w:ascii="Times New Roman" w:hAnsi="Times New Roman" w:cs="Times New Roman"/>
          <w:color w:val="auto"/>
          <w:highlight w:val="none"/>
          <w:vertAlign w:val="baseline"/>
        </w:rPr>
        <w:t>eq</w:t>
      </w:r>
      <w:r>
        <w:rPr>
          <w:rFonts w:hint="default" w:ascii="Times New Roman" w:hAnsi="Times New Roman" w:cs="Times New Roman"/>
          <w:color w:val="auto"/>
          <w:highlight w:val="none"/>
          <w:vertAlign w:val="baseline"/>
          <w:lang w:eastAsia="zh-CN"/>
        </w:rPr>
        <w:t>（</w:t>
      </w:r>
      <w:r>
        <w:rPr>
          <w:rFonts w:hint="default" w:ascii="Times New Roman" w:hAnsi="Times New Roman" w:cs="Times New Roman"/>
          <w:color w:val="auto"/>
          <w:highlight w:val="none"/>
          <w:vertAlign w:val="baseline"/>
          <w:lang w:val="en-US" w:eastAsia="zh-CN"/>
        </w:rPr>
        <w:t>A</w:t>
      </w:r>
      <w:r>
        <w:rPr>
          <w:rFonts w:hint="default" w:ascii="Times New Roman" w:hAnsi="Times New Roman" w:cs="Times New Roman"/>
          <w:color w:val="auto"/>
          <w:highlight w:val="none"/>
          <w:vertAlign w:val="baseline"/>
          <w:lang w:eastAsia="zh-CN"/>
        </w:rPr>
        <w:t>）</w:t>
      </w:r>
    </w:p>
    <w:p>
      <w:pPr>
        <w:ind w:firstLine="480"/>
        <w:rPr>
          <w:rFonts w:hint="default" w:ascii="Times New Roman" w:hAnsi="Times New Roman" w:cs="Times New Roman"/>
          <w:b/>
          <w:color w:val="auto"/>
          <w:highlight w:val="none"/>
        </w:rPr>
      </w:pPr>
      <w:r>
        <w:rPr>
          <w:rFonts w:hint="default" w:ascii="Times New Roman" w:hAnsi="Times New Roman" w:cs="Times New Roman"/>
          <w:color w:val="auto"/>
          <w:highlight w:val="none"/>
          <w:lang w:val="en-US" w:eastAsia="zh-CN"/>
        </w:rPr>
        <w:t>③</w:t>
      </w:r>
      <w:r>
        <w:rPr>
          <w:rFonts w:hint="default" w:ascii="Times New Roman" w:hAnsi="Times New Roman" w:cs="Times New Roman"/>
          <w:color w:val="auto"/>
          <w:highlight w:val="none"/>
        </w:rPr>
        <w:t>监测频次：每年一次，每次2天，每天昼夜各一次。</w:t>
      </w:r>
    </w:p>
    <w:p>
      <w:pPr>
        <w:spacing w:line="240" w:lineRule="auto"/>
        <w:ind w:firstLine="482"/>
        <w:jc w:val="center"/>
        <w:rPr>
          <w:rFonts w:hint="default" w:ascii="Times New Roman" w:hAnsi="Times New Roman" w:cs="Times New Roman"/>
          <w:b/>
          <w:color w:val="auto"/>
          <w:highlight w:val="none"/>
        </w:rPr>
      </w:pPr>
      <w:r>
        <w:rPr>
          <w:rFonts w:hint="default" w:ascii="Times New Roman" w:hAnsi="Times New Roman" w:eastAsia="宋体" w:cs="Times New Roman"/>
          <w:b/>
          <w:bCs/>
          <w:color w:val="auto"/>
          <w:kern w:val="0"/>
          <w:sz w:val="24"/>
          <w:szCs w:val="24"/>
          <w:lang w:val="en-US" w:eastAsia="zh-CN" w:bidi="ar"/>
        </w:rPr>
        <w:t>表 8.</w:t>
      </w:r>
      <w:r>
        <w:rPr>
          <w:rFonts w:hint="eastAsia" w:cs="Times New Roman"/>
          <w:b/>
          <w:bCs/>
          <w:color w:val="auto"/>
          <w:kern w:val="0"/>
          <w:sz w:val="24"/>
          <w:szCs w:val="24"/>
          <w:lang w:val="en-US" w:eastAsia="zh-CN" w:bidi="ar"/>
        </w:rPr>
        <w:t>6.3-4</w:t>
      </w:r>
      <w:r>
        <w:rPr>
          <w:rFonts w:hint="default" w:ascii="Times New Roman" w:hAnsi="Times New Roman" w:cs="Times New Roman"/>
          <w:b/>
          <w:color w:val="auto"/>
          <w:highlight w:val="none"/>
        </w:rPr>
        <w:t xml:space="preserve">   运营期噪声监测计划表</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6"/>
        <w:gridCol w:w="1890"/>
        <w:gridCol w:w="1559"/>
        <w:gridCol w:w="2319"/>
        <w:gridCol w:w="1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6" w:type="dxa"/>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监测项目</w:t>
            </w:r>
          </w:p>
        </w:tc>
        <w:tc>
          <w:tcPr>
            <w:tcW w:w="1890" w:type="dxa"/>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监测点位</w:t>
            </w:r>
          </w:p>
        </w:tc>
        <w:tc>
          <w:tcPr>
            <w:tcW w:w="1559" w:type="dxa"/>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监测参数</w:t>
            </w:r>
          </w:p>
        </w:tc>
        <w:tc>
          <w:tcPr>
            <w:tcW w:w="2319" w:type="dxa"/>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监测频率</w:t>
            </w:r>
          </w:p>
        </w:tc>
        <w:tc>
          <w:tcPr>
            <w:tcW w:w="1605" w:type="dxa"/>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146" w:type="dxa"/>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声环境</w:t>
            </w:r>
          </w:p>
        </w:tc>
        <w:tc>
          <w:tcPr>
            <w:tcW w:w="1890" w:type="dxa"/>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泵站厂界噪声</w:t>
            </w:r>
          </w:p>
        </w:tc>
        <w:tc>
          <w:tcPr>
            <w:tcW w:w="1559" w:type="dxa"/>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L</w:t>
            </w:r>
            <w:r>
              <w:rPr>
                <w:rFonts w:hint="default" w:ascii="Times New Roman" w:hAnsi="Times New Roman" w:cs="Times New Roman"/>
                <w:color w:val="auto"/>
                <w:sz w:val="21"/>
                <w:szCs w:val="21"/>
                <w:highlight w:val="none"/>
                <w:vertAlign w:val="baseline"/>
              </w:rPr>
              <w:t>eq</w:t>
            </w: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vertAlign w:val="baseline"/>
                <w:lang w:val="en-US" w:eastAsia="zh-CN"/>
              </w:rPr>
              <w:t>A</w:t>
            </w:r>
            <w:r>
              <w:rPr>
                <w:rFonts w:hint="default" w:ascii="Times New Roman" w:hAnsi="Times New Roman" w:cs="Times New Roman"/>
                <w:color w:val="auto"/>
                <w:sz w:val="21"/>
                <w:szCs w:val="21"/>
                <w:highlight w:val="none"/>
                <w:vertAlign w:val="baseline"/>
                <w:lang w:eastAsia="zh-CN"/>
              </w:rPr>
              <w:t>）</w:t>
            </w:r>
          </w:p>
        </w:tc>
        <w:tc>
          <w:tcPr>
            <w:tcW w:w="2319" w:type="dxa"/>
            <w:noWrap w:val="0"/>
            <w:vAlign w:val="center"/>
          </w:tcPr>
          <w:p>
            <w:pPr>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每年一次，每次2天，每天昼夜各一次</w:t>
            </w:r>
          </w:p>
        </w:tc>
        <w:tc>
          <w:tcPr>
            <w:tcW w:w="1605" w:type="dxa"/>
            <w:noWrap w:val="0"/>
            <w:vAlign w:val="center"/>
          </w:tcPr>
          <w:p>
            <w:pPr>
              <w:spacing w:line="240" w:lineRule="auto"/>
              <w:ind w:firstLine="0" w:firstLineChars="0"/>
              <w:jc w:val="center"/>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按国家标准方法进行</w:t>
            </w:r>
          </w:p>
        </w:tc>
      </w:tr>
    </w:tbl>
    <w:p>
      <w:pPr>
        <w:numPr>
          <w:ilvl w:val="0"/>
          <w:numId w:val="0"/>
        </w:numPr>
        <w:tabs>
          <w:tab w:val="left" w:pos="0"/>
          <w:tab w:val="left" w:pos="420"/>
        </w:tabs>
        <w:bidi w:val="0"/>
        <w:ind w:leftChars="200"/>
        <w:outlineLvl w:val="9"/>
        <w:rPr>
          <w:rFonts w:hint="default" w:eastAsia="宋体"/>
          <w:b/>
          <w:bCs/>
          <w:color w:val="0000FF"/>
          <w:lang w:val="en-US" w:eastAsia="zh-CN"/>
        </w:rPr>
      </w:pPr>
      <w:bookmarkStart w:id="877" w:name="_Toc10028"/>
      <w:bookmarkStart w:id="878" w:name="_Toc29179"/>
      <w:bookmarkStart w:id="879" w:name="_Toc20672"/>
      <w:r>
        <w:rPr>
          <w:rFonts w:hint="eastAsia"/>
          <w:b/>
          <w:bCs/>
          <w:color w:val="0000FF"/>
          <w:lang w:val="en-US" w:eastAsia="zh-CN"/>
        </w:rPr>
        <w:t>3、生态监测</w:t>
      </w:r>
    </w:p>
    <w:p>
      <w:pPr>
        <w:keepNext w:val="0"/>
        <w:keepLines w:val="0"/>
        <w:widowControl/>
        <w:suppressLineNumbers w:val="0"/>
        <w:spacing w:line="360" w:lineRule="auto"/>
        <w:jc w:val="left"/>
        <w:rPr>
          <w:color w:val="0000FF"/>
        </w:rPr>
      </w:pPr>
      <w:r>
        <w:rPr>
          <w:rFonts w:hint="eastAsia" w:ascii="Times New Roman" w:hAnsi="Times New Roman" w:eastAsia="宋体" w:cs="Times New Roman"/>
          <w:b/>
          <w:bCs/>
          <w:color w:val="0000FF"/>
          <w:kern w:val="0"/>
          <w:sz w:val="24"/>
          <w:szCs w:val="24"/>
          <w:lang w:val="en-US" w:eastAsia="zh-CN" w:bidi="ar"/>
        </w:rPr>
        <w:t>（1）</w:t>
      </w:r>
      <w:r>
        <w:rPr>
          <w:rFonts w:hint="eastAsia" w:ascii="宋体" w:hAnsi="宋体" w:eastAsia="宋体" w:cs="宋体"/>
          <w:b/>
          <w:bCs/>
          <w:color w:val="0000FF"/>
          <w:kern w:val="0"/>
          <w:sz w:val="24"/>
          <w:szCs w:val="24"/>
          <w:lang w:val="en-US" w:eastAsia="zh-CN" w:bidi="ar"/>
        </w:rPr>
        <w:t>监测范围</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color w:val="0000FF"/>
        </w:rPr>
      </w:pPr>
      <w:r>
        <w:rPr>
          <w:rFonts w:hint="eastAsia" w:ascii="宋体" w:hAnsi="宋体" w:eastAsia="宋体" w:cs="宋体"/>
          <w:color w:val="0000FF"/>
          <w:kern w:val="0"/>
          <w:sz w:val="24"/>
          <w:szCs w:val="24"/>
          <w:lang w:val="en-US" w:eastAsia="zh-CN" w:bidi="ar"/>
        </w:rPr>
        <w:t>根据区域生态环境情况，生态监测范围包含工程影响区域，重点监测区域为项目涉及的保护区范围及其外延</w:t>
      </w:r>
      <w:r>
        <w:rPr>
          <w:rFonts w:hint="default" w:ascii="Times New Roman" w:hAnsi="Times New Roman" w:eastAsia="宋体" w:cs="Times New Roman"/>
          <w:color w:val="0000FF"/>
          <w:kern w:val="0"/>
          <w:sz w:val="24"/>
          <w:szCs w:val="24"/>
          <w:lang w:val="en-US" w:eastAsia="zh-CN" w:bidi="ar"/>
        </w:rPr>
        <w:t>1000m</w:t>
      </w:r>
      <w:r>
        <w:rPr>
          <w:rFonts w:hint="eastAsia" w:ascii="宋体" w:hAnsi="宋体" w:eastAsia="宋体" w:cs="宋体"/>
          <w:color w:val="0000FF"/>
          <w:kern w:val="0"/>
          <w:sz w:val="24"/>
          <w:szCs w:val="24"/>
          <w:lang w:val="en-US" w:eastAsia="zh-CN" w:bidi="ar"/>
        </w:rPr>
        <w:t>区域。设置生物多样性监测区，分别为管首调节池附近、输水管道沿线。重点监测本项目涉及的暖温性针叶林、干热河谷灌丛、干热性稀树灌木草丛等，每个植被类型至少选取一个点。</w:t>
      </w:r>
    </w:p>
    <w:p>
      <w:pPr>
        <w:keepNext w:val="0"/>
        <w:keepLines w:val="0"/>
        <w:widowControl/>
        <w:suppressLineNumbers w:val="0"/>
        <w:spacing w:line="360" w:lineRule="auto"/>
        <w:jc w:val="left"/>
        <w:rPr>
          <w:color w:val="0000FF"/>
        </w:rPr>
      </w:pPr>
      <w:r>
        <w:rPr>
          <w:rFonts w:hint="eastAsia" w:ascii="Times New Roman" w:hAnsi="Times New Roman" w:eastAsia="宋体" w:cs="Times New Roman"/>
          <w:b/>
          <w:bCs/>
          <w:color w:val="0000FF"/>
          <w:kern w:val="0"/>
          <w:sz w:val="24"/>
          <w:szCs w:val="24"/>
          <w:lang w:val="en-US" w:eastAsia="zh-CN" w:bidi="ar"/>
        </w:rPr>
        <w:t>（2）</w:t>
      </w:r>
      <w:r>
        <w:rPr>
          <w:rFonts w:hint="eastAsia" w:ascii="宋体" w:hAnsi="宋体" w:eastAsia="宋体" w:cs="宋体"/>
          <w:b/>
          <w:bCs/>
          <w:color w:val="0000FF"/>
          <w:kern w:val="0"/>
          <w:sz w:val="24"/>
          <w:szCs w:val="24"/>
          <w:lang w:val="en-US" w:eastAsia="zh-CN" w:bidi="ar"/>
        </w:rPr>
        <w:t>监测单位</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0000FF"/>
        </w:rPr>
      </w:pPr>
      <w:r>
        <w:rPr>
          <w:rFonts w:hint="eastAsia" w:ascii="宋体" w:hAnsi="宋体" w:eastAsia="宋体" w:cs="宋体"/>
          <w:color w:val="0000FF"/>
          <w:kern w:val="0"/>
          <w:sz w:val="24"/>
          <w:szCs w:val="24"/>
          <w:lang w:val="en-US" w:eastAsia="zh-CN" w:bidi="ar"/>
        </w:rPr>
        <w:t>生物多样性的监测单位须在生态方面有深度研究，如科研院所（如中国科学院昆明动物研究所、中国科学院昆明植物研究所等）、高校（如云南大学、西南林业大学等）、林业勘察设计部门等，以具备农林水利类环境影响评价资质单位为最佳。</w:t>
      </w:r>
    </w:p>
    <w:p>
      <w:pPr>
        <w:keepNext w:val="0"/>
        <w:keepLines w:val="0"/>
        <w:widowControl/>
        <w:suppressLineNumbers w:val="0"/>
        <w:spacing w:line="360" w:lineRule="auto"/>
        <w:jc w:val="left"/>
        <w:rPr>
          <w:color w:val="0000FF"/>
        </w:rPr>
      </w:pPr>
      <w:r>
        <w:rPr>
          <w:rFonts w:hint="eastAsia" w:ascii="Times New Roman" w:hAnsi="Times New Roman" w:eastAsia="宋体" w:cs="Times New Roman"/>
          <w:b/>
          <w:bCs/>
          <w:color w:val="0000FF"/>
          <w:kern w:val="0"/>
          <w:sz w:val="24"/>
          <w:szCs w:val="24"/>
          <w:lang w:val="en-US" w:eastAsia="zh-CN" w:bidi="ar"/>
        </w:rPr>
        <w:t>（3）</w:t>
      </w:r>
      <w:r>
        <w:rPr>
          <w:rFonts w:hint="eastAsia" w:ascii="宋体" w:hAnsi="宋体" w:eastAsia="宋体" w:cs="宋体"/>
          <w:b/>
          <w:bCs/>
          <w:color w:val="0000FF"/>
          <w:kern w:val="0"/>
          <w:sz w:val="24"/>
          <w:szCs w:val="24"/>
          <w:lang w:val="en-US" w:eastAsia="zh-CN" w:bidi="ar"/>
        </w:rPr>
        <w:t>监测技术、方法</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color w:val="0000FF"/>
        </w:rPr>
      </w:pPr>
      <w:r>
        <w:rPr>
          <w:rFonts w:hint="eastAsia" w:ascii="宋体" w:hAnsi="宋体" w:eastAsia="宋体" w:cs="宋体"/>
          <w:color w:val="0000FF"/>
          <w:kern w:val="0"/>
          <w:sz w:val="24"/>
          <w:szCs w:val="24"/>
          <w:lang w:val="en-US" w:eastAsia="zh-CN" w:bidi="ar"/>
        </w:rPr>
        <w:t>①样线调查</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color w:val="0000FF"/>
        </w:rPr>
      </w:pPr>
      <w:r>
        <w:rPr>
          <w:rFonts w:hint="eastAsia" w:ascii="宋体" w:hAnsi="宋体" w:eastAsia="宋体" w:cs="宋体"/>
          <w:color w:val="0000FF"/>
          <w:kern w:val="0"/>
          <w:sz w:val="24"/>
          <w:szCs w:val="24"/>
          <w:lang w:val="en-US" w:eastAsia="zh-CN" w:bidi="ar"/>
        </w:rPr>
        <w:t>各点位设置固定调查样线</w:t>
      </w:r>
      <w:r>
        <w:rPr>
          <w:rFonts w:hint="default" w:ascii="Times New Roman" w:hAnsi="Times New Roman" w:eastAsia="宋体" w:cs="Times New Roman"/>
          <w:color w:val="0000FF"/>
          <w:kern w:val="0"/>
          <w:sz w:val="24"/>
          <w:szCs w:val="24"/>
          <w:lang w:val="en-US" w:eastAsia="zh-CN" w:bidi="ar"/>
        </w:rPr>
        <w:t>2</w:t>
      </w:r>
      <w:r>
        <w:rPr>
          <w:rFonts w:hint="eastAsia" w:ascii="宋体" w:hAnsi="宋体" w:eastAsia="宋体" w:cs="宋体"/>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3</w:t>
      </w:r>
      <w:r>
        <w:rPr>
          <w:rFonts w:hint="eastAsia" w:ascii="宋体" w:hAnsi="宋体" w:eastAsia="宋体" w:cs="宋体"/>
          <w:color w:val="0000FF"/>
          <w:kern w:val="0"/>
          <w:sz w:val="24"/>
          <w:szCs w:val="24"/>
          <w:lang w:val="en-US" w:eastAsia="zh-CN" w:bidi="ar"/>
        </w:rPr>
        <w:t>条，沿着选定的样线调查植物的垂直和水平分布、植物物种，统计兽类、鸟类、两栖类和爬行类的物种及出现频率。</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color w:val="0000FF"/>
        </w:rPr>
      </w:pPr>
      <w:r>
        <w:rPr>
          <w:rFonts w:hint="eastAsia" w:ascii="宋体" w:hAnsi="宋体" w:eastAsia="宋体" w:cs="宋体"/>
          <w:color w:val="0000FF"/>
          <w:kern w:val="0"/>
          <w:sz w:val="24"/>
          <w:szCs w:val="24"/>
          <w:lang w:val="en-US" w:eastAsia="zh-CN" w:bidi="ar"/>
        </w:rPr>
        <w:t>②样方</w:t>
      </w:r>
      <w:r>
        <w:rPr>
          <w:rFonts w:hint="default" w:ascii="Times New Roman" w:hAnsi="Times New Roman" w:eastAsia="宋体" w:cs="Times New Roman"/>
          <w:color w:val="0000FF"/>
          <w:kern w:val="0"/>
          <w:sz w:val="24"/>
          <w:szCs w:val="24"/>
          <w:lang w:val="en-US" w:eastAsia="zh-CN" w:bidi="ar"/>
        </w:rPr>
        <w:t>/</w:t>
      </w:r>
      <w:r>
        <w:rPr>
          <w:rFonts w:hint="eastAsia" w:ascii="宋体" w:hAnsi="宋体" w:eastAsia="宋体" w:cs="宋体"/>
          <w:color w:val="0000FF"/>
          <w:kern w:val="0"/>
          <w:sz w:val="24"/>
          <w:szCs w:val="24"/>
          <w:lang w:val="en-US" w:eastAsia="zh-CN" w:bidi="ar"/>
        </w:rPr>
        <w:t>线调查</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color w:val="0000FF"/>
        </w:rPr>
      </w:pPr>
      <w:r>
        <w:rPr>
          <w:rFonts w:hint="eastAsia" w:ascii="宋体" w:hAnsi="宋体" w:eastAsia="宋体" w:cs="宋体"/>
          <w:color w:val="0000FF"/>
          <w:kern w:val="0"/>
          <w:sz w:val="24"/>
          <w:szCs w:val="24"/>
          <w:lang w:val="en-US" w:eastAsia="zh-CN" w:bidi="ar"/>
        </w:rPr>
        <w:t>在样线上选择代表性地段设置</w:t>
      </w:r>
      <w:r>
        <w:rPr>
          <w:rFonts w:hint="default" w:ascii="Times New Roman" w:hAnsi="Times New Roman" w:eastAsia="宋体" w:cs="Times New Roman"/>
          <w:color w:val="0000FF"/>
          <w:kern w:val="0"/>
          <w:sz w:val="24"/>
          <w:szCs w:val="24"/>
          <w:lang w:val="en-US" w:eastAsia="zh-CN" w:bidi="ar"/>
        </w:rPr>
        <w:t>10m×10m</w:t>
      </w:r>
      <w:r>
        <w:rPr>
          <w:rFonts w:hint="eastAsia" w:ascii="宋体" w:hAnsi="宋体" w:eastAsia="宋体" w:cs="宋体"/>
          <w:color w:val="0000FF"/>
          <w:kern w:val="0"/>
          <w:sz w:val="24"/>
          <w:szCs w:val="24"/>
          <w:lang w:val="en-US" w:eastAsia="zh-CN" w:bidi="ar"/>
        </w:rPr>
        <w:t>或</w:t>
      </w:r>
      <w:r>
        <w:rPr>
          <w:rFonts w:hint="default" w:ascii="Times New Roman" w:hAnsi="Times New Roman" w:eastAsia="宋体" w:cs="Times New Roman"/>
          <w:color w:val="0000FF"/>
          <w:kern w:val="0"/>
          <w:sz w:val="24"/>
          <w:szCs w:val="24"/>
          <w:lang w:val="en-US" w:eastAsia="zh-CN" w:bidi="ar"/>
        </w:rPr>
        <w:t>20m×20m</w:t>
      </w:r>
      <w:r>
        <w:rPr>
          <w:rFonts w:hint="eastAsia" w:ascii="宋体" w:hAnsi="宋体" w:eastAsia="宋体" w:cs="宋体"/>
          <w:color w:val="0000FF"/>
          <w:kern w:val="0"/>
          <w:sz w:val="24"/>
          <w:szCs w:val="24"/>
          <w:lang w:val="en-US" w:eastAsia="zh-CN" w:bidi="ar"/>
        </w:rPr>
        <w:t>样方进行植被调查，样线上样方数目根据样线长度、生态环境异质性确定，原则上每条样线设置样方不少于</w:t>
      </w:r>
      <w:r>
        <w:rPr>
          <w:rFonts w:hint="default" w:ascii="Times New Roman" w:hAnsi="Times New Roman" w:eastAsia="宋体" w:cs="Times New Roman"/>
          <w:color w:val="0000FF"/>
          <w:kern w:val="0"/>
          <w:sz w:val="24"/>
          <w:szCs w:val="24"/>
          <w:lang w:val="en-US" w:eastAsia="zh-CN" w:bidi="ar"/>
        </w:rPr>
        <w:t>3</w:t>
      </w:r>
      <w:r>
        <w:rPr>
          <w:rFonts w:hint="eastAsia" w:ascii="宋体" w:hAnsi="宋体" w:eastAsia="宋体" w:cs="宋体"/>
          <w:color w:val="0000FF"/>
          <w:kern w:val="0"/>
          <w:sz w:val="24"/>
          <w:szCs w:val="24"/>
          <w:lang w:val="en-US" w:eastAsia="zh-CN" w:bidi="ar"/>
        </w:rPr>
        <w:t>个。</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rFonts w:hint="eastAsia" w:ascii="宋体" w:hAnsi="宋体" w:eastAsia="宋体" w:cs="宋体"/>
          <w:color w:val="0000FF"/>
          <w:kern w:val="0"/>
          <w:sz w:val="24"/>
          <w:szCs w:val="24"/>
          <w:lang w:val="en-US" w:eastAsia="zh-CN" w:bidi="ar"/>
        </w:rPr>
      </w:pPr>
      <w:r>
        <w:rPr>
          <w:rFonts w:hint="eastAsia" w:ascii="宋体" w:hAnsi="宋体" w:eastAsia="宋体" w:cs="宋体"/>
          <w:color w:val="0000FF"/>
          <w:kern w:val="0"/>
          <w:sz w:val="24"/>
          <w:szCs w:val="24"/>
          <w:lang w:val="en-US" w:eastAsia="zh-CN" w:bidi="ar"/>
        </w:rPr>
        <w:t>植物样方：调查植物种类、郁闭度、冠幅、胸径、枝下高、物候相、盖度、多度、生殖苗高度、叶层高度等。</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color w:val="0000FF"/>
        </w:rPr>
      </w:pPr>
      <w:r>
        <w:rPr>
          <w:rFonts w:hint="eastAsia" w:ascii="宋体" w:hAnsi="宋体" w:eastAsia="宋体" w:cs="宋体"/>
          <w:color w:val="0000FF"/>
          <w:kern w:val="0"/>
          <w:sz w:val="24"/>
          <w:szCs w:val="24"/>
          <w:lang w:val="en-US" w:eastAsia="zh-CN" w:bidi="ar"/>
        </w:rPr>
        <w:t>③动物调查：进行野外调查，统计监测区域能见到的所有哺乳类、鸟类、两栖类、爬行类和鱼类的物种及其数量。野外调查方法包括观察（活体、尸体、活动痕迹）、诱捕和访问调查。观察时间不少于</w:t>
      </w:r>
      <w:r>
        <w:rPr>
          <w:rFonts w:hint="default" w:ascii="Times New Roman" w:hAnsi="Times New Roman" w:eastAsia="宋体" w:cs="Times New Roman"/>
          <w:color w:val="0000FF"/>
          <w:kern w:val="0"/>
          <w:sz w:val="24"/>
          <w:szCs w:val="24"/>
          <w:lang w:val="en-US" w:eastAsia="zh-CN" w:bidi="ar"/>
        </w:rPr>
        <w:t>3</w:t>
      </w:r>
      <w:r>
        <w:rPr>
          <w:rFonts w:hint="eastAsia" w:ascii="宋体" w:hAnsi="宋体" w:eastAsia="宋体" w:cs="宋体"/>
          <w:color w:val="0000FF"/>
          <w:kern w:val="0"/>
          <w:sz w:val="24"/>
          <w:szCs w:val="24"/>
          <w:lang w:val="en-US" w:eastAsia="zh-CN" w:bidi="ar"/>
        </w:rPr>
        <w:t>天。</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color w:val="0000FF"/>
        </w:rPr>
      </w:pPr>
      <w:r>
        <w:rPr>
          <w:rFonts w:hint="eastAsia" w:ascii="宋体" w:hAnsi="宋体" w:eastAsia="宋体" w:cs="宋体"/>
          <w:color w:val="0000FF"/>
          <w:kern w:val="0"/>
          <w:sz w:val="24"/>
          <w:szCs w:val="24"/>
          <w:lang w:val="en-US" w:eastAsia="zh-CN" w:bidi="ar"/>
        </w:rPr>
        <w:t>两栖类样线：采用抓捕方式调查两栖类动物种类、数量、分布特征等。小型兽类样线：采用日铗法调查小型兽类动物种类、数量、分布特征等。鱼类采取捕捞和市场调查相结合的方式。</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color w:val="0000FF"/>
        </w:rPr>
      </w:pPr>
      <w:r>
        <w:rPr>
          <w:rFonts w:hint="eastAsia" w:ascii="宋体" w:hAnsi="宋体" w:eastAsia="宋体" w:cs="宋体"/>
          <w:b w:val="0"/>
          <w:bCs w:val="0"/>
          <w:color w:val="0000FF"/>
          <w:kern w:val="0"/>
          <w:sz w:val="24"/>
          <w:szCs w:val="24"/>
          <w:lang w:val="en-US" w:eastAsia="zh-CN" w:bidi="ar"/>
        </w:rPr>
        <w:t>④</w:t>
      </w:r>
      <w:r>
        <w:rPr>
          <w:rFonts w:hint="eastAsia" w:ascii="宋体" w:hAnsi="宋体" w:eastAsia="宋体" w:cs="宋体"/>
          <w:color w:val="0000FF"/>
          <w:kern w:val="0"/>
          <w:sz w:val="24"/>
          <w:szCs w:val="24"/>
          <w:lang w:val="en-US" w:eastAsia="zh-CN" w:bidi="ar"/>
        </w:rPr>
        <w:t>加强入侵物种的监测</w:t>
      </w:r>
    </w:p>
    <w:p>
      <w:pPr>
        <w:keepNext w:val="0"/>
        <w:keepLines w:val="0"/>
        <w:pageBreakBefore w:val="0"/>
        <w:widowControl/>
        <w:suppressLineNumbers w:val="0"/>
        <w:kinsoku/>
        <w:wordWrap/>
        <w:overflowPunct/>
        <w:topLinePunct w:val="0"/>
        <w:autoSpaceDE/>
        <w:autoSpaceDN/>
        <w:bidi w:val="0"/>
        <w:adjustRightInd/>
        <w:snapToGrid w:val="0"/>
        <w:spacing w:line="360" w:lineRule="auto"/>
        <w:ind w:firstLine="480" w:firstLineChars="200"/>
        <w:jc w:val="left"/>
        <w:textAlignment w:val="auto"/>
        <w:rPr>
          <w:color w:val="auto"/>
        </w:rPr>
      </w:pPr>
      <w:r>
        <w:rPr>
          <w:rFonts w:hint="eastAsia" w:ascii="宋体" w:hAnsi="宋体" w:eastAsia="宋体" w:cs="宋体"/>
          <w:color w:val="0000FF"/>
          <w:kern w:val="0"/>
          <w:sz w:val="24"/>
          <w:szCs w:val="24"/>
          <w:lang w:val="en-US" w:eastAsia="zh-CN" w:bidi="ar"/>
        </w:rPr>
        <w:t>项目建设或运营单位应委托保护区管理机构进行监测，每年</w:t>
      </w:r>
      <w:r>
        <w:rPr>
          <w:rFonts w:hint="default" w:ascii="Times New Roman" w:hAnsi="Times New Roman" w:eastAsia="宋体" w:cs="Times New Roman"/>
          <w:color w:val="0000FF"/>
          <w:kern w:val="0"/>
          <w:sz w:val="24"/>
          <w:szCs w:val="24"/>
          <w:lang w:val="en-US" w:eastAsia="zh-CN" w:bidi="ar"/>
        </w:rPr>
        <w:t>7~8</w:t>
      </w:r>
      <w:r>
        <w:rPr>
          <w:rFonts w:hint="eastAsia" w:ascii="宋体" w:hAnsi="宋体" w:eastAsia="宋体" w:cs="宋体"/>
          <w:color w:val="0000FF"/>
          <w:kern w:val="0"/>
          <w:sz w:val="24"/>
          <w:szCs w:val="24"/>
          <w:lang w:val="en-US" w:eastAsia="zh-CN" w:bidi="ar"/>
        </w:rPr>
        <w:t>月份监测</w:t>
      </w:r>
      <w:r>
        <w:rPr>
          <w:rFonts w:hint="default" w:ascii="Times New Roman" w:hAnsi="Times New Roman" w:eastAsia="宋体" w:cs="Times New Roman"/>
          <w:color w:val="0000FF"/>
          <w:kern w:val="0"/>
          <w:sz w:val="24"/>
          <w:szCs w:val="24"/>
          <w:lang w:val="en-US" w:eastAsia="zh-CN" w:bidi="ar"/>
        </w:rPr>
        <w:t>1</w:t>
      </w:r>
      <w:r>
        <w:rPr>
          <w:rFonts w:hint="eastAsia" w:ascii="宋体" w:hAnsi="宋体" w:eastAsia="宋体" w:cs="宋体"/>
          <w:color w:val="0000FF"/>
          <w:kern w:val="0"/>
          <w:sz w:val="24"/>
          <w:szCs w:val="24"/>
          <w:lang w:val="en-US" w:eastAsia="zh-CN" w:bidi="ar"/>
        </w:rPr>
        <w:t>次，共监测</w:t>
      </w:r>
      <w:r>
        <w:rPr>
          <w:rFonts w:hint="default" w:ascii="Times New Roman" w:hAnsi="Times New Roman" w:eastAsia="宋体" w:cs="Times New Roman"/>
          <w:color w:val="0000FF"/>
          <w:kern w:val="0"/>
          <w:sz w:val="24"/>
          <w:szCs w:val="24"/>
          <w:lang w:val="en-US" w:eastAsia="zh-CN" w:bidi="ar"/>
        </w:rPr>
        <w:t>5</w:t>
      </w:r>
      <w:r>
        <w:rPr>
          <w:rFonts w:hint="eastAsia" w:ascii="宋体" w:hAnsi="宋体" w:eastAsia="宋体" w:cs="宋体"/>
          <w:color w:val="0000FF"/>
          <w:kern w:val="0"/>
          <w:sz w:val="24"/>
          <w:szCs w:val="24"/>
          <w:lang w:val="en-US" w:eastAsia="zh-CN" w:bidi="ar"/>
        </w:rPr>
        <w:t>年，若发现外来物种应立即清除并向上级主管部门报告，防止继续扩散。项目区绿化过程中应禁止使用银合欢、银荆树、黑荆树、桉树、波斯菊等容易扩散、传播的外来绿化物种。</w:t>
      </w:r>
    </w:p>
    <w:p>
      <w:pPr>
        <w:pStyle w:val="3"/>
        <w:numPr>
          <w:ilvl w:val="1"/>
          <w:numId w:val="2"/>
        </w:numPr>
        <w:tabs>
          <w:tab w:val="left" w:pos="420"/>
        </w:tabs>
        <w:bidi w:val="0"/>
        <w:rPr>
          <w:color w:val="auto"/>
        </w:rPr>
      </w:pPr>
      <w:bookmarkStart w:id="880" w:name="_Toc21060"/>
      <w:r>
        <w:rPr>
          <w:color w:val="auto"/>
        </w:rPr>
        <w:t>竣工环保验收</w:t>
      </w:r>
      <w:bookmarkEnd w:id="877"/>
      <w:bookmarkEnd w:id="878"/>
      <w:bookmarkEnd w:id="879"/>
      <w:bookmarkEnd w:id="880"/>
    </w:p>
    <w:p>
      <w:pPr>
        <w:bidi w:val="0"/>
        <w:ind w:firstLine="480" w:firstLineChars="200"/>
        <w:rPr>
          <w:color w:val="auto"/>
          <w:highlight w:val="none"/>
        </w:rPr>
      </w:pPr>
      <w:r>
        <w:rPr>
          <w:color w:val="auto"/>
          <w:highlight w:val="none"/>
        </w:rPr>
        <w:t>根据《建设项目竣工环境保护验收管理办法》，工程建设过程中的污染防治措施必须与主体工程同时设计、同时施工、同时投入运行。</w:t>
      </w:r>
    </w:p>
    <w:p>
      <w:pPr>
        <w:bidi w:val="0"/>
        <w:ind w:firstLine="480" w:firstLineChars="200"/>
        <w:rPr>
          <w:color w:val="auto"/>
          <w:highlight w:val="none"/>
        </w:rPr>
      </w:pPr>
      <w:r>
        <w:rPr>
          <w:color w:val="auto"/>
          <w:highlight w:val="none"/>
        </w:rPr>
        <w:t>工程正式投入运行前，必须进行竣工环保验收，各项环境保护措施经验收合格后，工程方可投入运行。本工程</w:t>
      </w:r>
      <w:r>
        <w:rPr>
          <w:rFonts w:hint="eastAsia"/>
          <w:color w:val="auto"/>
          <w:highlight w:val="none"/>
          <w:lang w:eastAsia="zh-CN"/>
        </w:rPr>
        <w:t>“</w:t>
      </w:r>
      <w:r>
        <w:rPr>
          <w:color w:val="auto"/>
          <w:highlight w:val="none"/>
        </w:rPr>
        <w:t>三同时</w:t>
      </w:r>
      <w:r>
        <w:rPr>
          <w:rFonts w:hint="eastAsia"/>
          <w:color w:val="auto"/>
          <w:highlight w:val="none"/>
          <w:lang w:eastAsia="zh-CN"/>
        </w:rPr>
        <w:t>”</w:t>
      </w:r>
      <w:r>
        <w:rPr>
          <w:color w:val="auto"/>
          <w:highlight w:val="none"/>
        </w:rPr>
        <w:t>竣工环境保护验收项目一览表见下表。</w:t>
      </w:r>
    </w:p>
    <w:p>
      <w:pPr>
        <w:pStyle w:val="40"/>
        <w:bidi w:val="0"/>
        <w:spacing w:line="240" w:lineRule="auto"/>
        <w:rPr>
          <w:color w:val="auto"/>
          <w:highlight w:val="none"/>
        </w:rPr>
      </w:pPr>
      <w:r>
        <w:rPr>
          <w:rFonts w:hint="default" w:ascii="Times New Roman" w:hAnsi="Times New Roman" w:eastAsia="宋体" w:cs="Times New Roman"/>
          <w:b/>
          <w:bCs/>
          <w:color w:val="auto"/>
          <w:kern w:val="0"/>
          <w:sz w:val="24"/>
          <w:szCs w:val="24"/>
          <w:lang w:val="en-US" w:eastAsia="zh-CN" w:bidi="ar"/>
        </w:rPr>
        <w:t>表 8.</w:t>
      </w:r>
      <w:r>
        <w:rPr>
          <w:rFonts w:hint="eastAsia" w:cs="Times New Roman"/>
          <w:b/>
          <w:bCs/>
          <w:color w:val="auto"/>
          <w:kern w:val="0"/>
          <w:sz w:val="24"/>
          <w:szCs w:val="24"/>
          <w:lang w:val="en-US" w:eastAsia="zh-CN" w:bidi="ar"/>
        </w:rPr>
        <w:t>7-1</w:t>
      </w:r>
      <w:r>
        <w:rPr>
          <w:color w:val="auto"/>
          <w:highlight w:val="none"/>
        </w:rPr>
        <w:t xml:space="preserve">  </w:t>
      </w:r>
      <w:r>
        <w:rPr>
          <w:rFonts w:hint="eastAsia"/>
          <w:color w:val="auto"/>
          <w:highlight w:val="none"/>
          <w:lang w:eastAsia="zh-CN"/>
        </w:rPr>
        <w:t>“</w:t>
      </w:r>
      <w:r>
        <w:rPr>
          <w:color w:val="auto"/>
          <w:highlight w:val="none"/>
        </w:rPr>
        <w:t>三同时</w:t>
      </w:r>
      <w:r>
        <w:rPr>
          <w:rFonts w:hint="eastAsia"/>
          <w:color w:val="auto"/>
          <w:highlight w:val="none"/>
          <w:lang w:eastAsia="zh-CN"/>
        </w:rPr>
        <w:t>”</w:t>
      </w:r>
      <w:r>
        <w:rPr>
          <w:color w:val="auto"/>
          <w:highlight w:val="none"/>
        </w:rPr>
        <w:t>竣工环境保护验收项目一览表</w:t>
      </w:r>
    </w:p>
    <w:tbl>
      <w:tblPr>
        <w:tblStyle w:val="57"/>
        <w:tblW w:w="501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416"/>
        <w:gridCol w:w="685"/>
        <w:gridCol w:w="1251"/>
        <w:gridCol w:w="2228"/>
        <w:gridCol w:w="2130"/>
        <w:gridCol w:w="16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250" w:type="pct"/>
            <w:shd w:val="clear" w:color="auto" w:fill="auto"/>
            <w:textDirection w:val="tbRlV"/>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时段</w:t>
            </w:r>
          </w:p>
        </w:tc>
        <w:tc>
          <w:tcPr>
            <w:tcW w:w="411"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w:t>
            </w:r>
          </w:p>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要素</w:t>
            </w:r>
          </w:p>
        </w:tc>
        <w:tc>
          <w:tcPr>
            <w:tcW w:w="750"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治理对象</w:t>
            </w:r>
          </w:p>
        </w:tc>
        <w:tc>
          <w:tcPr>
            <w:tcW w:w="1336"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措施内容</w:t>
            </w:r>
          </w:p>
        </w:tc>
        <w:tc>
          <w:tcPr>
            <w:tcW w:w="1277"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处理措施需达到的效果</w:t>
            </w:r>
          </w:p>
        </w:tc>
        <w:tc>
          <w:tcPr>
            <w:tcW w:w="973"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验收内容及重点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250" w:type="pct"/>
            <w:vMerge w:val="restar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施工</w:t>
            </w:r>
          </w:p>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期</w:t>
            </w:r>
          </w:p>
        </w:tc>
        <w:tc>
          <w:tcPr>
            <w:tcW w:w="411" w:type="pct"/>
            <w:vMerge w:val="restar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地表水 环境</w:t>
            </w:r>
          </w:p>
        </w:tc>
        <w:tc>
          <w:tcPr>
            <w:tcW w:w="750"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混凝土拌合冲洗废水</w:t>
            </w:r>
          </w:p>
        </w:tc>
        <w:tc>
          <w:tcPr>
            <w:tcW w:w="1336"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沉淀</w:t>
            </w:r>
          </w:p>
        </w:tc>
        <w:tc>
          <w:tcPr>
            <w:tcW w:w="1277"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处理后回用于混凝土拌合。</w:t>
            </w:r>
          </w:p>
        </w:tc>
        <w:tc>
          <w:tcPr>
            <w:tcW w:w="973"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混泥土拌合沉淀池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250" w:type="pct"/>
            <w:vMerge w:val="continue"/>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p>
        </w:tc>
        <w:tc>
          <w:tcPr>
            <w:tcW w:w="411" w:type="pct"/>
            <w:vMerge w:val="continue"/>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p>
        </w:tc>
        <w:tc>
          <w:tcPr>
            <w:tcW w:w="750"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机械车辆冲洗废水</w:t>
            </w:r>
          </w:p>
        </w:tc>
        <w:tc>
          <w:tcPr>
            <w:tcW w:w="1336"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沉淀池+冲洗设备处理</w:t>
            </w:r>
          </w:p>
        </w:tc>
        <w:tc>
          <w:tcPr>
            <w:tcW w:w="1277"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处理达标后回用于施工场地洒水降尘。</w:t>
            </w:r>
          </w:p>
        </w:tc>
        <w:tc>
          <w:tcPr>
            <w:tcW w:w="973"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施工营地设置车</w:t>
            </w:r>
          </w:p>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辆冲洗废水隔油</w:t>
            </w:r>
          </w:p>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250" w:type="pct"/>
            <w:vMerge w:val="continue"/>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p>
        </w:tc>
        <w:tc>
          <w:tcPr>
            <w:tcW w:w="411" w:type="pct"/>
            <w:vMerge w:val="continue"/>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p>
        </w:tc>
        <w:tc>
          <w:tcPr>
            <w:tcW w:w="750" w:type="pct"/>
            <w:shd w:val="clear" w:color="auto" w:fill="auto"/>
            <w:vAlign w:val="center"/>
          </w:tcPr>
          <w:p>
            <w:pPr>
              <w:pStyle w:val="42"/>
              <w:bidi w:val="0"/>
              <w:spacing w:line="240" w:lineRule="auto"/>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施工生活污水</w:t>
            </w:r>
          </w:p>
        </w:tc>
        <w:tc>
          <w:tcPr>
            <w:tcW w:w="1336" w:type="pct"/>
            <w:shd w:val="clear" w:color="auto" w:fill="auto"/>
            <w:vAlign w:val="center"/>
          </w:tcPr>
          <w:p>
            <w:pPr>
              <w:pStyle w:val="42"/>
              <w:bidi w:val="0"/>
              <w:spacing w:line="240" w:lineRule="auto"/>
              <w:jc w:val="both"/>
              <w:rPr>
                <w:rFonts w:hint="default" w:ascii="Times New Roman" w:hAnsi="Times New Roman" w:cs="Times New Roman"/>
                <w:color w:val="0000FF"/>
                <w:sz w:val="21"/>
                <w:szCs w:val="21"/>
                <w:highlight w:val="none"/>
              </w:rPr>
            </w:pPr>
            <w:r>
              <w:rPr>
                <w:rFonts w:hint="eastAsia" w:cs="Times New Roman"/>
                <w:color w:val="0000FF"/>
                <w:sz w:val="21"/>
                <w:szCs w:val="21"/>
                <w:highlight w:val="none"/>
                <w:lang w:val="en-US" w:eastAsia="zh-CN"/>
              </w:rPr>
              <w:t>2座移动式无害化厕所；2个容积为1m</w:t>
            </w:r>
            <w:r>
              <w:rPr>
                <w:rFonts w:hint="eastAsia" w:cs="Times New Roman"/>
                <w:color w:val="0000FF"/>
                <w:sz w:val="21"/>
                <w:szCs w:val="21"/>
                <w:highlight w:val="none"/>
                <w:vertAlign w:val="superscript"/>
                <w:lang w:val="en-US" w:eastAsia="zh-CN"/>
              </w:rPr>
              <w:t>3</w:t>
            </w:r>
            <w:r>
              <w:rPr>
                <w:rFonts w:hint="eastAsia" w:cs="Times New Roman"/>
                <w:color w:val="0000FF"/>
                <w:sz w:val="21"/>
                <w:szCs w:val="21"/>
                <w:highlight w:val="none"/>
                <w:lang w:val="en-US" w:eastAsia="zh-CN"/>
              </w:rPr>
              <w:t>移动式的沉淀池</w:t>
            </w:r>
          </w:p>
        </w:tc>
        <w:tc>
          <w:tcPr>
            <w:tcW w:w="1277" w:type="pct"/>
            <w:shd w:val="clear" w:color="auto" w:fill="auto"/>
            <w:vAlign w:val="center"/>
          </w:tcPr>
          <w:p>
            <w:pPr>
              <w:pStyle w:val="42"/>
              <w:bidi w:val="0"/>
              <w:spacing w:line="240" w:lineRule="auto"/>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无害化厕所处理后清掏用于附近农田施肥；移动式的沉淀池处理后用于场地洒水降尘。</w:t>
            </w:r>
          </w:p>
        </w:tc>
        <w:tc>
          <w:tcPr>
            <w:tcW w:w="973" w:type="pct"/>
            <w:shd w:val="clear" w:color="auto" w:fill="auto"/>
            <w:vAlign w:val="center"/>
          </w:tcPr>
          <w:p>
            <w:pPr>
              <w:pStyle w:val="42"/>
              <w:bidi w:val="0"/>
              <w:spacing w:line="240" w:lineRule="auto"/>
              <w:jc w:val="center"/>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临时沉淀池、无害化厕所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250" w:type="pct"/>
            <w:vMerge w:val="continue"/>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p>
        </w:tc>
        <w:tc>
          <w:tcPr>
            <w:tcW w:w="411"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 境</w:t>
            </w:r>
          </w:p>
        </w:tc>
        <w:tc>
          <w:tcPr>
            <w:tcW w:w="750"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施工和交通扬尘</w:t>
            </w:r>
          </w:p>
        </w:tc>
        <w:tc>
          <w:tcPr>
            <w:tcW w:w="1336" w:type="pct"/>
            <w:shd w:val="clear" w:color="auto" w:fill="auto"/>
            <w:vAlign w:val="center"/>
          </w:tcPr>
          <w:p>
            <w:pPr>
              <w:pStyle w:val="42"/>
              <w:bidi w:val="0"/>
              <w:spacing w:line="240" w:lineRule="auto"/>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网状</w:t>
            </w:r>
            <w:r>
              <w:rPr>
                <w:rFonts w:hint="default" w:ascii="Times New Roman" w:hAnsi="Times New Roman" w:cs="Times New Roman"/>
                <w:color w:val="auto"/>
                <w:highlight w:val="none"/>
              </w:rPr>
              <w:t>材料覆盖遮挡，施工区和施工道路洒水降尘</w:t>
            </w:r>
          </w:p>
          <w:p>
            <w:pPr>
              <w:pStyle w:val="42"/>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较近居民点围挡施工</w:t>
            </w:r>
          </w:p>
        </w:tc>
        <w:tc>
          <w:tcPr>
            <w:tcW w:w="1277"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大气污染物排放不对周边空气质量造成严</w:t>
            </w:r>
          </w:p>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重影响</w:t>
            </w:r>
          </w:p>
        </w:tc>
        <w:tc>
          <w:tcPr>
            <w:tcW w:w="973" w:type="pct"/>
            <w:shd w:val="clear" w:color="auto" w:fill="auto"/>
            <w:vAlign w:val="center"/>
          </w:tcPr>
          <w:p>
            <w:pPr>
              <w:pStyle w:val="42"/>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防尘措施按要求落实，洒水防尘措</w:t>
            </w:r>
          </w:p>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施按要求落实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250" w:type="pct"/>
            <w:vMerge w:val="continue"/>
            <w:shd w:val="clear" w:color="auto" w:fill="auto"/>
            <w:vAlign w:val="center"/>
          </w:tcPr>
          <w:p>
            <w:pPr>
              <w:pStyle w:val="42"/>
              <w:bidi w:val="0"/>
              <w:spacing w:line="240" w:lineRule="auto"/>
              <w:rPr>
                <w:rFonts w:hint="default" w:ascii="Times New Roman" w:hAnsi="Times New Roman" w:cs="Times New Roman"/>
                <w:color w:val="auto"/>
                <w:highlight w:val="none"/>
              </w:rPr>
            </w:pPr>
          </w:p>
        </w:tc>
        <w:tc>
          <w:tcPr>
            <w:tcW w:w="411" w:type="pct"/>
            <w:shd w:val="clear" w:color="auto" w:fill="auto"/>
            <w:vAlign w:val="center"/>
          </w:tcPr>
          <w:p>
            <w:pPr>
              <w:pStyle w:val="42"/>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w:t>
            </w:r>
          </w:p>
        </w:tc>
        <w:tc>
          <w:tcPr>
            <w:tcW w:w="750" w:type="pct"/>
            <w:shd w:val="clear" w:color="auto" w:fill="auto"/>
            <w:vAlign w:val="center"/>
          </w:tcPr>
          <w:p>
            <w:pPr>
              <w:pStyle w:val="42"/>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施工和交通噪声</w:t>
            </w:r>
          </w:p>
        </w:tc>
        <w:tc>
          <w:tcPr>
            <w:tcW w:w="1336"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定期保养施工设备；在进场道路路口设噪声禁鸣标志，减速慢行；施工区外声环境保护目标处设置临时围挡，必要时设置移动声屏障、隔声罩和隔声间，进行封闭施工</w:t>
            </w:r>
          </w:p>
        </w:tc>
        <w:tc>
          <w:tcPr>
            <w:tcW w:w="1277" w:type="pct"/>
            <w:shd w:val="clear" w:color="auto" w:fill="auto"/>
            <w:vAlign w:val="center"/>
          </w:tcPr>
          <w:p>
            <w:pPr>
              <w:pStyle w:val="42"/>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施工和交通噪声不影 响附近居民。</w:t>
            </w:r>
          </w:p>
        </w:tc>
        <w:tc>
          <w:tcPr>
            <w:tcW w:w="973" w:type="pct"/>
            <w:shd w:val="clear" w:color="auto" w:fill="auto"/>
            <w:vAlign w:val="center"/>
          </w:tcPr>
          <w:p>
            <w:pPr>
              <w:pStyle w:val="42"/>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噪声控制及管理 措施按要求落实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23" w:hRule="atLeast"/>
          <w:jc w:val="center"/>
        </w:trPr>
        <w:tc>
          <w:tcPr>
            <w:tcW w:w="250" w:type="pct"/>
            <w:vMerge w:val="continue"/>
            <w:shd w:val="clear" w:color="auto" w:fill="auto"/>
            <w:vAlign w:val="center"/>
          </w:tcPr>
          <w:p>
            <w:pPr>
              <w:pStyle w:val="42"/>
              <w:bidi w:val="0"/>
              <w:spacing w:line="240" w:lineRule="auto"/>
              <w:rPr>
                <w:rFonts w:hint="default" w:ascii="Times New Roman" w:hAnsi="Times New Roman" w:cs="Times New Roman"/>
                <w:color w:val="auto"/>
                <w:highlight w:val="none"/>
              </w:rPr>
            </w:pPr>
          </w:p>
        </w:tc>
        <w:tc>
          <w:tcPr>
            <w:tcW w:w="411" w:type="pct"/>
            <w:vMerge w:val="restart"/>
            <w:shd w:val="clear" w:color="auto" w:fill="auto"/>
            <w:vAlign w:val="center"/>
          </w:tcPr>
          <w:p>
            <w:pPr>
              <w:pStyle w:val="42"/>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 弃物</w:t>
            </w:r>
          </w:p>
        </w:tc>
        <w:tc>
          <w:tcPr>
            <w:tcW w:w="750"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生活垃圾</w:t>
            </w:r>
          </w:p>
        </w:tc>
        <w:tc>
          <w:tcPr>
            <w:tcW w:w="1336"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生活区</w:t>
            </w:r>
            <w:r>
              <w:rPr>
                <w:rFonts w:hint="default" w:ascii="Times New Roman" w:hAnsi="Times New Roman" w:cs="Times New Roman"/>
                <w:color w:val="auto"/>
                <w:highlight w:val="none"/>
              </w:rPr>
              <w:t>配备垃圾桶生活垃圾统一运至当地生活垃圾填埋场集中处理。</w:t>
            </w:r>
          </w:p>
        </w:tc>
        <w:tc>
          <w:tcPr>
            <w:tcW w:w="1277"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及时清运，保持该区清洁卫生。</w:t>
            </w:r>
          </w:p>
        </w:tc>
        <w:tc>
          <w:tcPr>
            <w:tcW w:w="973"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固体废弃物处理</w:t>
            </w:r>
          </w:p>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措施按环评要求落实。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250" w:type="pct"/>
            <w:vMerge w:val="continue"/>
            <w:shd w:val="clear" w:color="auto" w:fill="auto"/>
            <w:vAlign w:val="center"/>
          </w:tcPr>
          <w:p>
            <w:pPr>
              <w:pStyle w:val="42"/>
              <w:bidi w:val="0"/>
              <w:spacing w:line="240" w:lineRule="auto"/>
              <w:rPr>
                <w:rFonts w:hint="default" w:ascii="Times New Roman" w:hAnsi="Times New Roman" w:cs="Times New Roman"/>
                <w:color w:val="auto"/>
                <w:highlight w:val="none"/>
              </w:rPr>
            </w:pPr>
          </w:p>
        </w:tc>
        <w:tc>
          <w:tcPr>
            <w:tcW w:w="411" w:type="pct"/>
            <w:vMerge w:val="continue"/>
            <w:shd w:val="clear" w:color="auto" w:fill="auto"/>
            <w:vAlign w:val="center"/>
          </w:tcPr>
          <w:p>
            <w:pPr>
              <w:pStyle w:val="42"/>
              <w:bidi w:val="0"/>
              <w:spacing w:line="240" w:lineRule="auto"/>
              <w:rPr>
                <w:rFonts w:hint="default" w:ascii="Times New Roman" w:hAnsi="Times New Roman" w:cs="Times New Roman"/>
                <w:color w:val="auto"/>
                <w:highlight w:val="none"/>
              </w:rPr>
            </w:pPr>
          </w:p>
        </w:tc>
        <w:tc>
          <w:tcPr>
            <w:tcW w:w="750"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弃土弃渣</w:t>
            </w:r>
          </w:p>
        </w:tc>
        <w:tc>
          <w:tcPr>
            <w:tcW w:w="1336"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拦挡措施、及时回填、及时复垦、弃渣场植被恢复。</w:t>
            </w:r>
          </w:p>
        </w:tc>
        <w:tc>
          <w:tcPr>
            <w:tcW w:w="1277"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水土流失得到有效理。</w:t>
            </w:r>
          </w:p>
        </w:tc>
        <w:tc>
          <w:tcPr>
            <w:tcW w:w="973"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按水保方案处理，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250" w:type="pct"/>
            <w:vMerge w:val="restart"/>
            <w:shd w:val="clear" w:color="auto" w:fill="auto"/>
            <w:vAlign w:val="center"/>
          </w:tcPr>
          <w:p>
            <w:pPr>
              <w:pStyle w:val="42"/>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运营期</w:t>
            </w:r>
          </w:p>
        </w:tc>
        <w:tc>
          <w:tcPr>
            <w:tcW w:w="411" w:type="pct"/>
            <w:shd w:val="clear" w:color="auto" w:fill="auto"/>
            <w:vAlign w:val="center"/>
          </w:tcPr>
          <w:p>
            <w:pPr>
              <w:pStyle w:val="42"/>
              <w:bidi w:val="0"/>
              <w:spacing w:line="240" w:lineRule="auto"/>
              <w:rPr>
                <w:rFonts w:hint="default" w:ascii="Times New Roman" w:hAnsi="Times New Roman" w:eastAsia="宋体" w:cs="Times New Roman"/>
                <w:color w:val="0000FF"/>
                <w:highlight w:val="none"/>
                <w:lang w:val="en-US" w:eastAsia="zh-CN"/>
              </w:rPr>
            </w:pPr>
            <w:r>
              <w:rPr>
                <w:rFonts w:hint="default" w:ascii="Times New Roman" w:hAnsi="Times New Roman" w:cs="Times New Roman"/>
                <w:color w:val="0000FF"/>
                <w:highlight w:val="none"/>
                <w:lang w:val="en-US" w:eastAsia="zh-CN"/>
              </w:rPr>
              <w:t>地表水环境</w:t>
            </w:r>
          </w:p>
        </w:tc>
        <w:tc>
          <w:tcPr>
            <w:tcW w:w="750" w:type="pct"/>
            <w:shd w:val="clear" w:color="auto" w:fill="auto"/>
            <w:vAlign w:val="center"/>
          </w:tcPr>
          <w:p>
            <w:pPr>
              <w:pStyle w:val="42"/>
              <w:bidi w:val="0"/>
              <w:spacing w:line="240" w:lineRule="auto"/>
              <w:rPr>
                <w:rFonts w:hint="default" w:ascii="Times New Roman" w:hAnsi="Times New Roman" w:eastAsia="宋体" w:cs="Times New Roman"/>
                <w:color w:val="0000FF"/>
                <w:highlight w:val="none"/>
                <w:lang w:val="en-US" w:eastAsia="zh-CN"/>
              </w:rPr>
            </w:pPr>
            <w:r>
              <w:rPr>
                <w:rFonts w:hint="default" w:ascii="Times New Roman" w:hAnsi="Times New Roman" w:cs="Times New Roman"/>
                <w:color w:val="0000FF"/>
                <w:highlight w:val="none"/>
                <w:lang w:val="en-US" w:eastAsia="zh-CN"/>
              </w:rPr>
              <w:t>管理人员生活污水</w:t>
            </w:r>
          </w:p>
        </w:tc>
        <w:tc>
          <w:tcPr>
            <w:tcW w:w="1336" w:type="pct"/>
            <w:shd w:val="clear" w:color="auto" w:fill="auto"/>
            <w:vAlign w:val="center"/>
          </w:tcPr>
          <w:p>
            <w:pPr>
              <w:pStyle w:val="42"/>
              <w:bidi w:val="0"/>
              <w:spacing w:line="240" w:lineRule="auto"/>
              <w:rPr>
                <w:rFonts w:hint="default" w:ascii="Times New Roman" w:hAnsi="Times New Roman" w:cs="Times New Roman"/>
                <w:color w:val="0000FF"/>
                <w:highlight w:val="none"/>
              </w:rPr>
            </w:pPr>
            <w:r>
              <w:rPr>
                <w:rFonts w:hint="eastAsia" w:cs="Times New Roman"/>
                <w:color w:val="0000FF"/>
                <w:highlight w:val="none"/>
                <w:shd w:val="clear"/>
                <w:lang w:val="en-US" w:eastAsia="zh-CN"/>
              </w:rPr>
              <w:t>1</w:t>
            </w:r>
            <w:r>
              <w:rPr>
                <w:rFonts w:hint="default" w:ascii="Times New Roman" w:hAnsi="Times New Roman" w:cs="Times New Roman"/>
                <w:color w:val="0000FF"/>
                <w:highlight w:val="none"/>
                <w:shd w:val="clear"/>
                <w:lang w:val="en-US" w:eastAsia="zh-CN"/>
              </w:rPr>
              <w:t>m</w:t>
            </w:r>
            <w:r>
              <w:rPr>
                <w:rFonts w:hint="default" w:ascii="Times New Roman" w:hAnsi="Times New Roman" w:cs="Times New Roman"/>
                <w:color w:val="0000FF"/>
                <w:highlight w:val="none"/>
                <w:shd w:val="clear"/>
                <w:vertAlign w:val="superscript"/>
                <w:lang w:val="en-US" w:eastAsia="zh-CN"/>
              </w:rPr>
              <w:t>3</w:t>
            </w:r>
            <w:r>
              <w:rPr>
                <w:rFonts w:hint="default" w:ascii="Times New Roman" w:hAnsi="Times New Roman" w:cs="Times New Roman"/>
                <w:color w:val="0000FF"/>
                <w:highlight w:val="none"/>
                <w:shd w:val="clear"/>
                <w:lang w:val="en-US" w:eastAsia="zh-CN"/>
              </w:rPr>
              <w:t>隔油池、</w:t>
            </w:r>
            <w:r>
              <w:rPr>
                <w:rFonts w:hint="eastAsia" w:cs="Times New Roman"/>
                <w:color w:val="0000FF"/>
                <w:highlight w:val="none"/>
                <w:shd w:val="clear"/>
                <w:lang w:val="en-US" w:eastAsia="zh-CN"/>
              </w:rPr>
              <w:t>1.5</w:t>
            </w:r>
            <w:r>
              <w:rPr>
                <w:rFonts w:hint="default" w:ascii="Times New Roman" w:hAnsi="Times New Roman" w:cs="Times New Roman"/>
                <w:color w:val="0000FF"/>
                <w:highlight w:val="none"/>
              </w:rPr>
              <w:t>m</w:t>
            </w:r>
            <w:r>
              <w:rPr>
                <w:rFonts w:hint="default" w:ascii="Times New Roman" w:hAnsi="Times New Roman" w:cs="Times New Roman"/>
                <w:color w:val="0000FF"/>
                <w:highlight w:val="none"/>
                <w:vertAlign w:val="superscript"/>
              </w:rPr>
              <w:t>3</w:t>
            </w:r>
            <w:r>
              <w:rPr>
                <w:rFonts w:hint="default" w:ascii="Times New Roman" w:hAnsi="Times New Roman" w:cs="Times New Roman"/>
                <w:color w:val="0000FF"/>
                <w:highlight w:val="none"/>
                <w:lang w:val="en-US" w:eastAsia="zh-CN"/>
              </w:rPr>
              <w:t>化粪池</w:t>
            </w:r>
          </w:p>
        </w:tc>
        <w:tc>
          <w:tcPr>
            <w:tcW w:w="1277" w:type="pct"/>
            <w:shd w:val="clear" w:color="auto" w:fill="auto"/>
            <w:vAlign w:val="center"/>
          </w:tcPr>
          <w:p>
            <w:pPr>
              <w:pStyle w:val="42"/>
              <w:bidi w:val="0"/>
              <w:spacing w:line="240" w:lineRule="auto"/>
              <w:rPr>
                <w:rFonts w:hint="default" w:ascii="Times New Roman" w:hAnsi="Times New Roman" w:eastAsia="宋体" w:cs="Times New Roman"/>
                <w:color w:val="0000FF"/>
                <w:highlight w:val="none"/>
                <w:lang w:val="en-US" w:eastAsia="zh-CN"/>
              </w:rPr>
            </w:pPr>
            <w:r>
              <w:rPr>
                <w:rFonts w:hint="default" w:ascii="Times New Roman" w:hAnsi="Times New Roman" w:cs="Times New Roman"/>
                <w:color w:val="0000FF"/>
                <w:highlight w:val="none"/>
                <w:lang w:val="en-US" w:eastAsia="zh-CN"/>
              </w:rPr>
              <w:t>委托附近村民定期清掏</w:t>
            </w:r>
          </w:p>
        </w:tc>
        <w:tc>
          <w:tcPr>
            <w:tcW w:w="973" w:type="pct"/>
            <w:shd w:val="clear" w:color="auto" w:fill="auto"/>
            <w:vAlign w:val="center"/>
          </w:tcPr>
          <w:p>
            <w:pPr>
              <w:pStyle w:val="42"/>
              <w:bidi w:val="0"/>
              <w:spacing w:line="240" w:lineRule="auto"/>
              <w:rPr>
                <w:rFonts w:hint="default" w:ascii="Times New Roman" w:hAnsi="Times New Roman" w:eastAsia="宋体" w:cs="Times New Roman"/>
                <w:color w:val="0000FF"/>
                <w:highlight w:val="none"/>
                <w:lang w:val="en-US" w:eastAsia="zh-CN"/>
              </w:rPr>
            </w:pPr>
            <w:r>
              <w:rPr>
                <w:rFonts w:hint="default" w:ascii="Times New Roman" w:hAnsi="Times New Roman" w:cs="Times New Roman"/>
                <w:color w:val="0000FF"/>
                <w:highlight w:val="none"/>
                <w:lang w:val="en-US"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250" w:type="pct"/>
            <w:vMerge w:val="continue"/>
            <w:shd w:val="clear" w:color="auto" w:fill="auto"/>
            <w:vAlign w:val="center"/>
          </w:tcPr>
          <w:p>
            <w:pPr>
              <w:pStyle w:val="42"/>
              <w:bidi w:val="0"/>
              <w:spacing w:line="240" w:lineRule="auto"/>
              <w:rPr>
                <w:rFonts w:hint="default" w:ascii="Times New Roman" w:hAnsi="Times New Roman" w:cs="Times New Roman"/>
                <w:color w:val="auto"/>
                <w:highlight w:val="none"/>
              </w:rPr>
            </w:pPr>
          </w:p>
        </w:tc>
        <w:tc>
          <w:tcPr>
            <w:tcW w:w="411"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声环</w:t>
            </w:r>
          </w:p>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境</w:t>
            </w:r>
          </w:p>
        </w:tc>
        <w:tc>
          <w:tcPr>
            <w:tcW w:w="750"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泵站噪声</w:t>
            </w:r>
          </w:p>
        </w:tc>
        <w:tc>
          <w:tcPr>
            <w:tcW w:w="1336"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设置在泵房内，减震降噪</w:t>
            </w:r>
          </w:p>
        </w:tc>
        <w:tc>
          <w:tcPr>
            <w:tcW w:w="1277"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泵站噪声不影响附近居民</w:t>
            </w:r>
          </w:p>
        </w:tc>
        <w:tc>
          <w:tcPr>
            <w:tcW w:w="973"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噪声控制及管理措施按要求落实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250" w:type="pct"/>
            <w:vMerge w:val="continue"/>
            <w:shd w:val="clear" w:color="auto" w:fill="auto"/>
            <w:vAlign w:val="center"/>
          </w:tcPr>
          <w:p>
            <w:pPr>
              <w:pStyle w:val="42"/>
              <w:bidi w:val="0"/>
              <w:spacing w:line="240" w:lineRule="auto"/>
              <w:rPr>
                <w:rFonts w:hint="default" w:ascii="Times New Roman" w:hAnsi="Times New Roman" w:cs="Times New Roman"/>
                <w:color w:val="auto"/>
                <w:highlight w:val="none"/>
              </w:rPr>
            </w:pPr>
          </w:p>
        </w:tc>
        <w:tc>
          <w:tcPr>
            <w:tcW w:w="411" w:type="pct"/>
            <w:vMerge w:val="restar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 环境</w:t>
            </w:r>
          </w:p>
        </w:tc>
        <w:tc>
          <w:tcPr>
            <w:tcW w:w="750" w:type="pct"/>
            <w:vMerge w:val="restar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污染物渗漏</w:t>
            </w:r>
          </w:p>
        </w:tc>
        <w:tc>
          <w:tcPr>
            <w:tcW w:w="1336"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弃渣场底部压实，拦渣坝设涵管疏排水</w:t>
            </w:r>
          </w:p>
        </w:tc>
        <w:tc>
          <w:tcPr>
            <w:tcW w:w="1277"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973"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施工期影像资料 及记录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250" w:type="pct"/>
            <w:vMerge w:val="continue"/>
            <w:shd w:val="clear" w:color="auto" w:fill="auto"/>
            <w:vAlign w:val="center"/>
          </w:tcPr>
          <w:p>
            <w:pPr>
              <w:pStyle w:val="42"/>
              <w:bidi w:val="0"/>
              <w:spacing w:line="240" w:lineRule="auto"/>
              <w:rPr>
                <w:rFonts w:hint="default" w:ascii="Times New Roman" w:hAnsi="Times New Roman" w:cs="Times New Roman"/>
                <w:color w:val="auto"/>
                <w:highlight w:val="none"/>
              </w:rPr>
            </w:pPr>
          </w:p>
        </w:tc>
        <w:tc>
          <w:tcPr>
            <w:tcW w:w="411" w:type="pct"/>
            <w:vMerge w:val="continue"/>
            <w:shd w:val="clear" w:color="auto" w:fill="auto"/>
            <w:vAlign w:val="center"/>
          </w:tcPr>
          <w:p>
            <w:pPr>
              <w:pStyle w:val="42"/>
              <w:bidi w:val="0"/>
              <w:spacing w:line="240" w:lineRule="auto"/>
              <w:rPr>
                <w:rFonts w:hint="default" w:ascii="Times New Roman" w:hAnsi="Times New Roman" w:cs="Times New Roman"/>
                <w:color w:val="auto"/>
                <w:highlight w:val="none"/>
              </w:rPr>
            </w:pPr>
          </w:p>
        </w:tc>
        <w:tc>
          <w:tcPr>
            <w:tcW w:w="750" w:type="pct"/>
            <w:vMerge w:val="continue"/>
            <w:shd w:val="clear" w:color="auto" w:fill="auto"/>
            <w:vAlign w:val="center"/>
          </w:tcPr>
          <w:p>
            <w:pPr>
              <w:pStyle w:val="42"/>
              <w:bidi w:val="0"/>
              <w:spacing w:line="240" w:lineRule="auto"/>
              <w:rPr>
                <w:rFonts w:hint="default" w:ascii="Times New Roman" w:hAnsi="Times New Roman" w:cs="Times New Roman"/>
                <w:color w:val="auto"/>
                <w:highlight w:val="none"/>
              </w:rPr>
            </w:pPr>
          </w:p>
        </w:tc>
        <w:tc>
          <w:tcPr>
            <w:tcW w:w="1336"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泵站水泵房一般防渗区要求，采用100mm的P6抗渗混凝土防渗</w:t>
            </w:r>
          </w:p>
        </w:tc>
        <w:tc>
          <w:tcPr>
            <w:tcW w:w="1277"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等效≥1.5m 厚黏土，渗透系数达到10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w:t>
            </w:r>
          </w:p>
        </w:tc>
        <w:tc>
          <w:tcPr>
            <w:tcW w:w="973"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施工期防渗影像资料及记录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250" w:type="pct"/>
            <w:vMerge w:val="continue"/>
            <w:shd w:val="clear" w:color="auto" w:fill="auto"/>
            <w:vAlign w:val="center"/>
          </w:tcPr>
          <w:p>
            <w:pPr>
              <w:pStyle w:val="42"/>
              <w:bidi w:val="0"/>
              <w:spacing w:line="240" w:lineRule="auto"/>
              <w:rPr>
                <w:rFonts w:hint="default" w:ascii="Times New Roman" w:hAnsi="Times New Roman" w:cs="Times New Roman"/>
                <w:color w:val="auto"/>
                <w:highlight w:val="none"/>
              </w:rPr>
            </w:pPr>
          </w:p>
        </w:tc>
        <w:tc>
          <w:tcPr>
            <w:tcW w:w="411" w:type="pct"/>
            <w:shd w:val="clear" w:color="auto" w:fill="auto"/>
            <w:vAlign w:val="center"/>
          </w:tcPr>
          <w:p>
            <w:pPr>
              <w:pStyle w:val="42"/>
              <w:keepNext w:val="0"/>
              <w:keepLines w:val="0"/>
              <w:pageBreakBefore w:val="0"/>
              <w:widowControl/>
              <w:kinsoku/>
              <w:wordWrap w:val="0"/>
              <w:overflowPunct/>
              <w:topLinePunct w:val="0"/>
              <w:autoSpaceDE/>
              <w:autoSpaceDN/>
              <w:bidi w:val="0"/>
              <w:adjustRightInd/>
              <w:snapToGrid w:val="0"/>
              <w:spacing w:line="240" w:lineRule="auto"/>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 弃物</w:t>
            </w:r>
          </w:p>
        </w:tc>
        <w:tc>
          <w:tcPr>
            <w:tcW w:w="750" w:type="pct"/>
            <w:shd w:val="clear" w:color="auto" w:fill="auto"/>
            <w:vAlign w:val="center"/>
          </w:tcPr>
          <w:p>
            <w:pPr>
              <w:pStyle w:val="42"/>
              <w:keepNext w:val="0"/>
              <w:keepLines w:val="0"/>
              <w:pageBreakBefore w:val="0"/>
              <w:widowControl/>
              <w:kinsoku/>
              <w:wordWrap w:val="0"/>
              <w:overflowPunct/>
              <w:topLinePunct w:val="0"/>
              <w:autoSpaceDE/>
              <w:autoSpaceDN/>
              <w:bidi w:val="0"/>
              <w:adjustRightInd/>
              <w:snapToGrid w:val="0"/>
              <w:spacing w:line="240" w:lineRule="auto"/>
              <w:jc w:val="both"/>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废机油</w:t>
            </w:r>
          </w:p>
        </w:tc>
        <w:tc>
          <w:tcPr>
            <w:tcW w:w="1336" w:type="pct"/>
            <w:shd w:val="clear" w:color="auto" w:fill="auto"/>
            <w:vAlign w:val="center"/>
          </w:tcPr>
          <w:p>
            <w:pPr>
              <w:pStyle w:val="42"/>
              <w:keepNext w:val="0"/>
              <w:keepLines w:val="0"/>
              <w:pageBreakBefore w:val="0"/>
              <w:widowControl/>
              <w:kinsoku/>
              <w:wordWrap w:val="0"/>
              <w:overflowPunct/>
              <w:topLinePunct w:val="0"/>
              <w:autoSpaceDE/>
              <w:autoSpaceDN/>
              <w:bidi w:val="0"/>
              <w:adjustRightInd/>
              <w:snapToGrid w:val="0"/>
              <w:spacing w:line="240" w:lineRule="auto"/>
              <w:textAlignment w:val="baseline"/>
              <w:rPr>
                <w:rFonts w:hint="default" w:ascii="Times New Roman" w:hAnsi="Times New Roman" w:cs="Times New Roman"/>
                <w:color w:val="auto"/>
                <w:highlight w:val="none"/>
              </w:rPr>
            </w:pPr>
            <w:r>
              <w:rPr>
                <w:rFonts w:hint="eastAsia" w:cs="Times New Roman"/>
                <w:color w:val="0000FF"/>
                <w:highlight w:val="none"/>
                <w:lang w:val="en-US" w:eastAsia="zh-CN"/>
              </w:rPr>
              <w:t>在两个泵站内各设置</w:t>
            </w:r>
            <w:r>
              <w:rPr>
                <w:rFonts w:hint="default" w:ascii="Times New Roman" w:hAnsi="Times New Roman" w:cs="Times New Roman"/>
                <w:color w:val="0000FF"/>
                <w:highlight w:val="none"/>
              </w:rPr>
              <w:t>危废暂存间</w:t>
            </w:r>
            <w:r>
              <w:rPr>
                <w:rFonts w:hint="eastAsia" w:cs="Times New Roman"/>
                <w:color w:val="0000FF"/>
                <w:highlight w:val="none"/>
                <w:lang w:val="en-US" w:eastAsia="zh-CN"/>
              </w:rPr>
              <w:t>1</w:t>
            </w:r>
            <w:r>
              <w:rPr>
                <w:rFonts w:hint="default" w:ascii="Times New Roman" w:hAnsi="Times New Roman" w:cs="Times New Roman"/>
                <w:color w:val="0000FF"/>
                <w:highlight w:val="none"/>
              </w:rPr>
              <w:t>间，占地面积5m</w:t>
            </w:r>
            <w:r>
              <w:rPr>
                <w:rFonts w:hint="default" w:ascii="Times New Roman" w:hAnsi="Times New Roman" w:cs="Times New Roman"/>
                <w:color w:val="0000FF"/>
                <w:highlight w:val="none"/>
                <w:vertAlign w:val="superscript"/>
              </w:rPr>
              <w:t>2</w:t>
            </w:r>
            <w:r>
              <w:rPr>
                <w:rFonts w:hint="default" w:ascii="Times New Roman" w:hAnsi="Times New Roman" w:cs="Times New Roman"/>
                <w:color w:val="auto"/>
                <w:highlight w:val="none"/>
              </w:rPr>
              <w:t>。</w:t>
            </w:r>
          </w:p>
        </w:tc>
        <w:tc>
          <w:tcPr>
            <w:tcW w:w="1277" w:type="pct"/>
            <w:shd w:val="clear" w:color="auto" w:fill="auto"/>
            <w:vAlign w:val="center"/>
          </w:tcPr>
          <w:p>
            <w:pPr>
              <w:pStyle w:val="42"/>
              <w:keepNext w:val="0"/>
              <w:keepLines w:val="0"/>
              <w:pageBreakBefore w:val="0"/>
              <w:widowControl/>
              <w:kinsoku/>
              <w:wordWrap w:val="0"/>
              <w:overflowPunct/>
              <w:topLinePunct w:val="0"/>
              <w:autoSpaceDE/>
              <w:autoSpaceDN/>
              <w:bidi w:val="0"/>
              <w:adjustRightInd/>
              <w:snapToGrid w:val="0"/>
              <w:spacing w:line="240" w:lineRule="auto"/>
              <w:jc w:val="both"/>
              <w:textAlignment w:val="baseline"/>
              <w:rPr>
                <w:rFonts w:hint="default" w:ascii="Times New Roman" w:hAnsi="Times New Roman" w:eastAsia="宋" w:cs="Times New Roman"/>
                <w:color w:val="auto"/>
                <w:highlight w:val="none"/>
                <w:lang w:eastAsia="zh-CN"/>
              </w:rPr>
            </w:pPr>
            <w:r>
              <w:rPr>
                <w:rFonts w:hint="default" w:ascii="Times New Roman" w:hAnsi="Times New Roman" w:cs="Times New Roman"/>
                <w:color w:val="auto"/>
                <w:highlight w:val="none"/>
              </w:rPr>
              <w:t>渗透系数要求为≤10</w:t>
            </w:r>
            <w:r>
              <w:rPr>
                <w:rFonts w:hint="default" w:ascii="Times New Roman" w:hAnsi="Times New Roman" w:cs="Times New Roman"/>
                <w:color w:val="auto"/>
                <w:highlight w:val="none"/>
                <w:vertAlign w:val="superscript"/>
              </w:rPr>
              <w:t>-10</w:t>
            </w:r>
            <w:r>
              <w:rPr>
                <w:rFonts w:hint="default" w:ascii="Times New Roman" w:hAnsi="Times New Roman" w:cs="Times New Roman"/>
                <w:color w:val="auto"/>
                <w:highlight w:val="none"/>
              </w:rPr>
              <w:t>cm/s，表面刷防腐漆，采用带盖收集桶收集废机油，同时设置围堰</w:t>
            </w:r>
            <w:r>
              <w:rPr>
                <w:rFonts w:hint="default" w:ascii="Times New Roman" w:hAnsi="Times New Roman" w:cs="Times New Roman"/>
                <w:color w:val="auto"/>
                <w:highlight w:val="none"/>
                <w:lang w:eastAsia="zh-CN"/>
              </w:rPr>
              <w:t>。</w:t>
            </w:r>
          </w:p>
        </w:tc>
        <w:tc>
          <w:tcPr>
            <w:tcW w:w="973" w:type="pct"/>
            <w:shd w:val="clear" w:color="auto" w:fill="auto"/>
            <w:vAlign w:val="center"/>
          </w:tcPr>
          <w:p>
            <w:pPr>
              <w:pStyle w:val="42"/>
              <w:keepNext w:val="0"/>
              <w:keepLines w:val="0"/>
              <w:pageBreakBefore w:val="0"/>
              <w:widowControl/>
              <w:kinsoku/>
              <w:wordWrap w:val="0"/>
              <w:overflowPunct/>
              <w:topLinePunct w:val="0"/>
              <w:autoSpaceDE/>
              <w:autoSpaceDN/>
              <w:bidi w:val="0"/>
              <w:adjustRightInd/>
              <w:snapToGrid w:val="0"/>
              <w:spacing w:line="240" w:lineRule="auto"/>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 w:hRule="atLeast"/>
          <w:jc w:val="center"/>
        </w:trPr>
        <w:tc>
          <w:tcPr>
            <w:tcW w:w="250" w:type="pct"/>
            <w:vMerge w:val="continue"/>
            <w:shd w:val="clear" w:color="auto" w:fill="auto"/>
            <w:vAlign w:val="center"/>
          </w:tcPr>
          <w:p>
            <w:pPr>
              <w:pStyle w:val="42"/>
              <w:bidi w:val="0"/>
              <w:spacing w:line="240" w:lineRule="auto"/>
              <w:rPr>
                <w:rFonts w:hint="default" w:ascii="Times New Roman" w:hAnsi="Times New Roman" w:cs="Times New Roman"/>
                <w:color w:val="auto"/>
                <w:highlight w:val="none"/>
              </w:rPr>
            </w:pPr>
          </w:p>
        </w:tc>
        <w:tc>
          <w:tcPr>
            <w:tcW w:w="411" w:type="pct"/>
            <w:vMerge w:val="restar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陆生生 态</w:t>
            </w:r>
          </w:p>
        </w:tc>
        <w:tc>
          <w:tcPr>
            <w:tcW w:w="750"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宣传教育</w:t>
            </w:r>
          </w:p>
        </w:tc>
        <w:tc>
          <w:tcPr>
            <w:tcW w:w="1336" w:type="pct"/>
            <w:shd w:val="clear" w:color="auto" w:fill="auto"/>
            <w:vAlign w:val="center"/>
          </w:tcPr>
          <w:p>
            <w:pPr>
              <w:pStyle w:val="42"/>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宣传教育、宣传栏、警示牌。</w:t>
            </w:r>
          </w:p>
        </w:tc>
        <w:tc>
          <w:tcPr>
            <w:tcW w:w="1277"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减少植被破坏，保护陆生动植物</w:t>
            </w:r>
          </w:p>
        </w:tc>
        <w:tc>
          <w:tcPr>
            <w:tcW w:w="973" w:type="pct"/>
            <w:shd w:val="clear" w:color="auto" w:fill="auto"/>
            <w:vAlign w:val="center"/>
          </w:tcPr>
          <w:p>
            <w:pPr>
              <w:pStyle w:val="42"/>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宣传教育材料，宣 传栏、警示牌设置 记录及影像资料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1402" w:hRule="atLeast"/>
          <w:jc w:val="center"/>
        </w:trPr>
        <w:tc>
          <w:tcPr>
            <w:tcW w:w="250" w:type="pct"/>
            <w:vMerge w:val="continue"/>
            <w:shd w:val="clear" w:color="auto" w:fill="auto"/>
            <w:vAlign w:val="center"/>
          </w:tcPr>
          <w:p>
            <w:pPr>
              <w:pStyle w:val="42"/>
              <w:bidi w:val="0"/>
              <w:spacing w:line="240" w:lineRule="auto"/>
              <w:rPr>
                <w:rFonts w:hint="default" w:ascii="Times New Roman" w:hAnsi="Times New Roman" w:cs="Times New Roman"/>
                <w:color w:val="auto"/>
                <w:highlight w:val="none"/>
              </w:rPr>
            </w:pPr>
          </w:p>
        </w:tc>
        <w:tc>
          <w:tcPr>
            <w:tcW w:w="411" w:type="pct"/>
            <w:vMerge w:val="continue"/>
            <w:shd w:val="clear" w:color="auto" w:fill="auto"/>
            <w:vAlign w:val="center"/>
          </w:tcPr>
          <w:p>
            <w:pPr>
              <w:pStyle w:val="42"/>
              <w:bidi w:val="0"/>
              <w:spacing w:line="240" w:lineRule="auto"/>
              <w:rPr>
                <w:rFonts w:hint="default" w:ascii="Times New Roman" w:hAnsi="Times New Roman" w:cs="Times New Roman"/>
                <w:color w:val="auto"/>
                <w:highlight w:val="none"/>
              </w:rPr>
            </w:pPr>
          </w:p>
        </w:tc>
        <w:tc>
          <w:tcPr>
            <w:tcW w:w="750" w:type="pct"/>
            <w:shd w:val="clear" w:color="auto" w:fill="auto"/>
            <w:vAlign w:val="center"/>
          </w:tcPr>
          <w:p>
            <w:pPr>
              <w:pStyle w:val="42"/>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水土流失</w:t>
            </w:r>
          </w:p>
        </w:tc>
        <w:tc>
          <w:tcPr>
            <w:tcW w:w="1336" w:type="pct"/>
            <w:shd w:val="clear" w:color="auto" w:fill="auto"/>
            <w:vAlign w:val="center"/>
          </w:tcPr>
          <w:p>
            <w:pPr>
              <w:pStyle w:val="42"/>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渠线及建构筑物区、渣场  区、施工道路区、施工生产生活区复建区的水土保持措施。</w:t>
            </w:r>
          </w:p>
        </w:tc>
        <w:tc>
          <w:tcPr>
            <w:tcW w:w="1277" w:type="pct"/>
            <w:shd w:val="clear" w:color="auto" w:fill="auto"/>
            <w:vAlign w:val="center"/>
          </w:tcPr>
          <w:p>
            <w:pPr>
              <w:pStyle w:val="42"/>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扰动土地整治率95%，水土流失总治理97%，土壤流失控制比0.8，拦渣率90%，林草植被恢复率99%，林草覆盖率 27%。</w:t>
            </w:r>
          </w:p>
        </w:tc>
        <w:tc>
          <w:tcPr>
            <w:tcW w:w="973" w:type="pct"/>
            <w:shd w:val="clear" w:color="auto" w:fill="auto"/>
            <w:vAlign w:val="center"/>
          </w:tcPr>
          <w:p>
            <w:pPr>
              <w:pStyle w:val="42"/>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水保专项验收</w:t>
            </w:r>
          </w:p>
        </w:tc>
      </w:tr>
    </w:tbl>
    <w:p>
      <w:pPr>
        <w:pStyle w:val="40"/>
        <w:bidi w:val="0"/>
        <w:spacing w:line="240" w:lineRule="auto"/>
        <w:rPr>
          <w:color w:val="auto"/>
          <w:highlight w:val="none"/>
        </w:rPr>
      </w:pPr>
    </w:p>
    <w:p>
      <w:pPr>
        <w:spacing w:line="91" w:lineRule="exact"/>
        <w:rPr>
          <w:color w:val="auto"/>
          <w:highlight w:val="none"/>
        </w:rPr>
      </w:pPr>
    </w:p>
    <w:p>
      <w:pPr>
        <w:spacing w:before="315" w:line="224" w:lineRule="auto"/>
        <w:ind w:left="129"/>
        <w:rPr>
          <w:rFonts w:ascii="Times New Roman" w:hAnsi="Times New Roman" w:eastAsia="Times New Roman" w:cs="Times New Roman"/>
          <w:b/>
          <w:bCs/>
          <w:color w:val="auto"/>
          <w:spacing w:val="7"/>
          <w:sz w:val="31"/>
          <w:szCs w:val="31"/>
          <w:highlight w:val="none"/>
        </w:rPr>
        <w:sectPr>
          <w:pgSz w:w="11906" w:h="16838"/>
          <w:pgMar w:top="1440" w:right="1800" w:bottom="1440" w:left="1800" w:header="851" w:footer="992" w:gutter="0"/>
          <w:pgNumType w:fmt="decimal"/>
          <w:cols w:space="720" w:num="1"/>
          <w:docGrid w:type="lines" w:linePitch="312" w:charSpace="0"/>
        </w:sectPr>
      </w:pPr>
    </w:p>
    <w:p>
      <w:pPr>
        <w:pStyle w:val="2"/>
        <w:numPr>
          <w:ilvl w:val="0"/>
          <w:numId w:val="2"/>
        </w:numPr>
        <w:tabs>
          <w:tab w:val="left" w:pos="420"/>
        </w:tabs>
        <w:bidi w:val="0"/>
        <w:rPr>
          <w:rFonts w:hint="default"/>
          <w:color w:val="auto"/>
          <w:lang w:val="en-US" w:eastAsia="zh-CN"/>
        </w:rPr>
      </w:pPr>
      <w:bookmarkStart w:id="881" w:name="_Toc3134"/>
      <w:bookmarkStart w:id="882" w:name="_Toc31358"/>
      <w:bookmarkStart w:id="883" w:name="_Toc22300"/>
      <w:bookmarkStart w:id="884" w:name="_Toc11346"/>
      <w:r>
        <w:rPr>
          <w:rFonts w:hint="eastAsia"/>
          <w:color w:val="auto"/>
          <w:lang w:val="en-US" w:eastAsia="zh-CN"/>
        </w:rPr>
        <w:t>相关政策及规划符合性分析</w:t>
      </w:r>
      <w:bookmarkEnd w:id="881"/>
      <w:bookmarkEnd w:id="882"/>
      <w:bookmarkEnd w:id="883"/>
      <w:bookmarkEnd w:id="884"/>
    </w:p>
    <w:p>
      <w:pPr>
        <w:pStyle w:val="3"/>
        <w:numPr>
          <w:ilvl w:val="1"/>
          <w:numId w:val="2"/>
        </w:numPr>
        <w:tabs>
          <w:tab w:val="left" w:pos="420"/>
        </w:tabs>
        <w:bidi w:val="0"/>
        <w:rPr>
          <w:rFonts w:hint="default"/>
          <w:color w:val="auto"/>
        </w:rPr>
      </w:pPr>
      <w:bookmarkStart w:id="885" w:name="_Toc29681"/>
      <w:bookmarkStart w:id="886" w:name="_Toc26534"/>
      <w:bookmarkStart w:id="887" w:name="_Toc15578"/>
      <w:bookmarkStart w:id="888" w:name="_Toc3494"/>
      <w:bookmarkStart w:id="889" w:name="_Toc18232"/>
      <w:r>
        <w:rPr>
          <w:rFonts w:hint="default"/>
          <w:color w:val="auto"/>
        </w:rPr>
        <w:t>与产业政策符合性分析</w:t>
      </w:r>
      <w:bookmarkEnd w:id="885"/>
      <w:bookmarkEnd w:id="886"/>
      <w:bookmarkEnd w:id="887"/>
      <w:bookmarkEnd w:id="888"/>
      <w:bookmarkEnd w:id="889"/>
    </w:p>
    <w:p>
      <w:pPr>
        <w:ind w:firstLine="480" w:firstLineChars="200"/>
        <w:rPr>
          <w:rFonts w:hint="default"/>
          <w:color w:val="auto"/>
          <w:highlight w:val="none"/>
        </w:rPr>
      </w:pPr>
      <w:r>
        <w:rPr>
          <w:rFonts w:hint="eastAsia"/>
          <w:color w:val="auto"/>
          <w:highlight w:val="none"/>
        </w:rPr>
        <w:t>项目为</w:t>
      </w:r>
      <w:r>
        <w:rPr>
          <w:rFonts w:hint="eastAsia"/>
          <w:color w:val="auto"/>
          <w:highlight w:val="none"/>
          <w:lang w:eastAsia="zh-CN"/>
        </w:rPr>
        <w:t>灌区输水</w:t>
      </w:r>
      <w:r>
        <w:rPr>
          <w:rFonts w:hint="eastAsia"/>
          <w:color w:val="auto"/>
          <w:highlight w:val="none"/>
        </w:rPr>
        <w:t>工程，对照国家发展和改革委员会《产业结构调整指导目录（20</w:t>
      </w:r>
      <w:r>
        <w:rPr>
          <w:rFonts w:hint="eastAsia"/>
          <w:color w:val="auto"/>
          <w:highlight w:val="none"/>
          <w:lang w:val="en-US" w:eastAsia="zh-CN"/>
        </w:rPr>
        <w:t>24</w:t>
      </w:r>
      <w:r>
        <w:rPr>
          <w:rFonts w:hint="eastAsia"/>
          <w:color w:val="auto"/>
          <w:highlight w:val="none"/>
        </w:rPr>
        <w:t>年本）》，项目属于</w:t>
      </w:r>
      <w:r>
        <w:rPr>
          <w:rFonts w:hint="default"/>
          <w:color w:val="auto"/>
          <w:highlight w:val="none"/>
        </w:rPr>
        <w:t>鼓励类</w:t>
      </w:r>
      <w:r>
        <w:rPr>
          <w:rFonts w:hint="eastAsia" w:ascii="宋体" w:hAnsi="宋体" w:eastAsia="宋体" w:cs="宋体"/>
          <w:color w:val="auto"/>
          <w:highlight w:val="none"/>
          <w:lang w:eastAsia="zh-CN"/>
        </w:rPr>
        <w:t>“</w:t>
      </w:r>
      <w:r>
        <w:rPr>
          <w:rFonts w:hint="eastAsia" w:ascii="宋体" w:hAnsi="宋体" w:cs="宋体"/>
          <w:color w:val="auto"/>
          <w:highlight w:val="none"/>
          <w:lang w:val="en-US" w:eastAsia="zh-CN"/>
        </w:rPr>
        <w:t>二、水利</w:t>
      </w:r>
      <w:r>
        <w:rPr>
          <w:rFonts w:hint="eastAsia" w:ascii="宋体" w:hAnsi="宋体" w:cs="宋体"/>
          <w:color w:val="auto"/>
          <w:highlight w:val="none"/>
          <w:lang w:eastAsia="zh-CN"/>
        </w:rPr>
        <w:t>”</w:t>
      </w:r>
      <w:r>
        <w:rPr>
          <w:rFonts w:hint="eastAsia" w:ascii="宋体" w:hAnsi="宋体" w:cs="宋体"/>
          <w:color w:val="auto"/>
          <w:highlight w:val="none"/>
          <w:lang w:val="en-US" w:eastAsia="zh-CN"/>
        </w:rPr>
        <w:t>中</w:t>
      </w:r>
      <w:r>
        <w:rPr>
          <w:rFonts w:hint="eastAsia" w:ascii="宋体" w:hAnsi="宋体" w:cs="宋体"/>
          <w:color w:val="auto"/>
          <w:highlight w:val="none"/>
          <w:lang w:eastAsia="zh-CN"/>
        </w:rPr>
        <w:t>“</w:t>
      </w:r>
      <w:r>
        <w:rPr>
          <w:rFonts w:hint="eastAsia" w:ascii="宋体" w:hAnsi="宋体" w:eastAsia="宋体" w:cs="宋体"/>
          <w:color w:val="auto"/>
          <w:highlight w:val="none"/>
        </w:rPr>
        <w:t>灌区及配套设施建设、改造</w:t>
      </w:r>
      <w:r>
        <w:rPr>
          <w:rFonts w:hint="eastAsia" w:ascii="宋体" w:hAnsi="宋体" w:eastAsia="宋体" w:cs="宋体"/>
          <w:color w:val="auto"/>
          <w:highlight w:val="none"/>
          <w:lang w:eastAsia="zh-CN"/>
        </w:rPr>
        <w:t>”</w:t>
      </w:r>
      <w:r>
        <w:rPr>
          <w:rFonts w:hint="eastAsia"/>
          <w:color w:val="auto"/>
          <w:highlight w:val="none"/>
        </w:rPr>
        <w:t>的规定。因此，本项目建设符合《产业结构调整指导目录（20</w:t>
      </w:r>
      <w:r>
        <w:rPr>
          <w:rFonts w:hint="eastAsia"/>
          <w:color w:val="auto"/>
          <w:highlight w:val="none"/>
          <w:lang w:val="en-US" w:eastAsia="zh-CN"/>
        </w:rPr>
        <w:t>24</w:t>
      </w:r>
      <w:r>
        <w:rPr>
          <w:rFonts w:hint="eastAsia"/>
          <w:color w:val="auto"/>
          <w:highlight w:val="none"/>
        </w:rPr>
        <w:t>年本）》的要求。</w:t>
      </w:r>
    </w:p>
    <w:p>
      <w:pPr>
        <w:pStyle w:val="3"/>
        <w:numPr>
          <w:ilvl w:val="1"/>
          <w:numId w:val="2"/>
        </w:numPr>
        <w:tabs>
          <w:tab w:val="left" w:pos="420"/>
        </w:tabs>
        <w:bidi w:val="0"/>
        <w:rPr>
          <w:rFonts w:hint="default"/>
          <w:color w:val="auto"/>
        </w:rPr>
      </w:pPr>
      <w:bookmarkStart w:id="890" w:name="_Toc12266"/>
      <w:bookmarkStart w:id="891" w:name="_Toc17109"/>
      <w:bookmarkStart w:id="892" w:name="_Toc4536"/>
      <w:bookmarkStart w:id="893" w:name="_Toc4892"/>
      <w:bookmarkStart w:id="894" w:name="_Toc29743"/>
      <w:bookmarkStart w:id="895" w:name="_Toc30884"/>
      <w:r>
        <w:rPr>
          <w:rFonts w:hint="default"/>
          <w:color w:val="auto"/>
        </w:rPr>
        <w:t>与相关</w:t>
      </w:r>
      <w:r>
        <w:rPr>
          <w:rFonts w:hint="eastAsia"/>
          <w:color w:val="auto"/>
          <w:lang w:val="en-US" w:eastAsia="zh-CN"/>
        </w:rPr>
        <w:t>法律、法规</w:t>
      </w:r>
      <w:r>
        <w:rPr>
          <w:rFonts w:hint="default"/>
          <w:color w:val="auto"/>
        </w:rPr>
        <w:t>的</w:t>
      </w:r>
      <w:r>
        <w:rPr>
          <w:rFonts w:hint="eastAsia"/>
          <w:color w:val="auto"/>
          <w:lang w:val="en-US" w:eastAsia="zh-CN"/>
        </w:rPr>
        <w:t>符合性</w:t>
      </w:r>
      <w:r>
        <w:rPr>
          <w:rFonts w:hint="default"/>
          <w:color w:val="auto"/>
        </w:rPr>
        <w:t>分析</w:t>
      </w:r>
      <w:bookmarkEnd w:id="890"/>
      <w:bookmarkEnd w:id="891"/>
      <w:bookmarkEnd w:id="892"/>
      <w:bookmarkEnd w:id="893"/>
      <w:bookmarkEnd w:id="894"/>
    </w:p>
    <w:p>
      <w:pPr>
        <w:pStyle w:val="4"/>
        <w:numPr>
          <w:ilvl w:val="2"/>
          <w:numId w:val="2"/>
        </w:numPr>
        <w:tabs>
          <w:tab w:val="left" w:pos="420"/>
        </w:tabs>
        <w:bidi w:val="0"/>
        <w:rPr>
          <w:rFonts w:hint="eastAsia"/>
          <w:color w:val="auto"/>
          <w:highlight w:val="none"/>
        </w:rPr>
      </w:pPr>
      <w:bookmarkStart w:id="896" w:name="_Toc2018"/>
      <w:bookmarkStart w:id="897" w:name="_Toc28461"/>
      <w:bookmarkStart w:id="898" w:name="_Toc6312"/>
      <w:bookmarkStart w:id="899" w:name="_Toc11563"/>
      <w:r>
        <w:rPr>
          <w:rFonts w:hint="eastAsia"/>
          <w:color w:val="auto"/>
          <w:highlight w:val="none"/>
        </w:rPr>
        <w:t>与《中华人民共和国水污染防治法》符合性分析</w:t>
      </w:r>
      <w:bookmarkEnd w:id="896"/>
      <w:bookmarkEnd w:id="897"/>
      <w:bookmarkEnd w:id="898"/>
      <w:bookmarkEnd w:id="899"/>
    </w:p>
    <w:p>
      <w:pPr>
        <w:ind w:firstLine="480" w:firstLineChars="200"/>
        <w:rPr>
          <w:rFonts w:hint="eastAsia"/>
          <w:color w:val="auto"/>
          <w:highlight w:val="none"/>
        </w:rPr>
      </w:pPr>
      <w:r>
        <w:rPr>
          <w:rFonts w:hint="eastAsia"/>
          <w:color w:val="auto"/>
          <w:highlight w:val="none"/>
        </w:rPr>
        <w:t>《中华人民共和国水污染防治法》提出：</w:t>
      </w:r>
      <w:r>
        <w:rPr>
          <w:rFonts w:hint="eastAsia"/>
          <w:color w:val="auto"/>
          <w:highlight w:val="none"/>
          <w:lang w:eastAsia="zh-CN"/>
        </w:rPr>
        <w:t>“</w:t>
      </w:r>
      <w:r>
        <w:rPr>
          <w:rFonts w:hint="eastAsia"/>
          <w:color w:val="auto"/>
          <w:highlight w:val="none"/>
        </w:rPr>
        <w:t>污染防治应当坚持预防为主、防治结合、综合治理的原则，优先保护饮用水水源，严格控制工业污染、城镇生活污染，防治农业面源污染，积极推进生态治理工程建设，预防、控制和减少水环境污染和生态破坏。</w:t>
      </w:r>
      <w:r>
        <w:rPr>
          <w:rFonts w:hint="eastAsia"/>
          <w:color w:val="auto"/>
          <w:highlight w:val="none"/>
          <w:lang w:eastAsia="zh-CN"/>
        </w:rPr>
        <w:t>”</w:t>
      </w:r>
      <w:r>
        <w:rPr>
          <w:rFonts w:hint="eastAsia"/>
          <w:color w:val="auto"/>
          <w:highlight w:val="none"/>
        </w:rPr>
        <w:t>本工程属于非污染生态影响型建设项目，项目建成对保障区域农业</w:t>
      </w:r>
      <w:r>
        <w:rPr>
          <w:rFonts w:hint="eastAsia"/>
          <w:color w:val="auto"/>
          <w:highlight w:val="none"/>
          <w:lang w:eastAsia="zh-CN"/>
        </w:rPr>
        <w:t>灌溉</w:t>
      </w:r>
      <w:r>
        <w:rPr>
          <w:rFonts w:hint="eastAsia"/>
          <w:color w:val="auto"/>
          <w:highlight w:val="none"/>
        </w:rPr>
        <w:t>供水安全，提高供水保障有着积极作用。</w:t>
      </w:r>
    </w:p>
    <w:p>
      <w:pPr>
        <w:ind w:firstLine="480" w:firstLineChars="200"/>
        <w:rPr>
          <w:rFonts w:hint="eastAsia"/>
          <w:color w:val="auto"/>
          <w:highlight w:val="none"/>
        </w:rPr>
      </w:pPr>
      <w:r>
        <w:rPr>
          <w:rFonts w:hint="eastAsia"/>
          <w:color w:val="auto"/>
          <w:highlight w:val="none"/>
        </w:rPr>
        <w:t>本工程建设带来的污染影响主要是施工期施工活动影响及运行期退水污染影响。本次环评针对施工期产生的生产生活废水进行收集处理后回用于生产，从源头上预防工程施工对水环境的影响，同时要求施工过程中尽量减少对生态环境的破坏。</w:t>
      </w:r>
    </w:p>
    <w:p>
      <w:pPr>
        <w:ind w:firstLine="480" w:firstLineChars="200"/>
        <w:rPr>
          <w:rFonts w:hint="eastAsia" w:eastAsia="宋体"/>
          <w:color w:val="auto"/>
          <w:highlight w:val="none"/>
          <w:lang w:eastAsia="zh-CN"/>
        </w:rPr>
      </w:pPr>
      <w:r>
        <w:rPr>
          <w:rFonts w:hint="eastAsia"/>
          <w:color w:val="auto"/>
          <w:highlight w:val="none"/>
        </w:rPr>
        <w:t>综上所述，在做好和落实施工期环保措施的前提下，本工程建设与《中华人民共和国水污染防治法》是相符的</w:t>
      </w:r>
      <w:r>
        <w:rPr>
          <w:rFonts w:hint="eastAsia"/>
          <w:color w:val="auto"/>
          <w:highlight w:val="none"/>
          <w:lang w:eastAsia="zh-CN"/>
        </w:rPr>
        <w:t>。</w:t>
      </w:r>
    </w:p>
    <w:p>
      <w:pPr>
        <w:pStyle w:val="4"/>
        <w:numPr>
          <w:ilvl w:val="2"/>
          <w:numId w:val="2"/>
        </w:numPr>
        <w:tabs>
          <w:tab w:val="left" w:pos="420"/>
        </w:tabs>
        <w:bidi w:val="0"/>
        <w:rPr>
          <w:rFonts w:hint="eastAsia"/>
          <w:color w:val="auto"/>
          <w:highlight w:val="none"/>
        </w:rPr>
      </w:pPr>
      <w:bookmarkStart w:id="900" w:name="_Toc6273"/>
      <w:bookmarkStart w:id="901" w:name="_Toc19519"/>
      <w:bookmarkStart w:id="902" w:name="_Toc13388"/>
      <w:bookmarkStart w:id="903" w:name="_Toc29700"/>
      <w:r>
        <w:rPr>
          <w:rFonts w:hint="eastAsia"/>
          <w:color w:val="auto"/>
          <w:highlight w:val="none"/>
        </w:rPr>
        <w:t>与《中华人民共和国长江保护法》符合性分析</w:t>
      </w:r>
      <w:bookmarkEnd w:id="900"/>
      <w:bookmarkEnd w:id="901"/>
      <w:bookmarkEnd w:id="902"/>
      <w:bookmarkEnd w:id="903"/>
    </w:p>
    <w:p>
      <w:pPr>
        <w:ind w:firstLine="480" w:firstLineChars="200"/>
        <w:rPr>
          <w:rFonts w:hint="eastAsia" w:eastAsia="宋体"/>
          <w:color w:val="auto"/>
          <w:highlight w:val="none"/>
          <w:lang w:eastAsia="zh-CN"/>
        </w:rPr>
      </w:pPr>
      <w:r>
        <w:rPr>
          <w:rFonts w:hint="eastAsia"/>
          <w:color w:val="auto"/>
          <w:highlight w:val="none"/>
        </w:rPr>
        <w:t>《中华人民共和国长江保护法》中第三条</w:t>
      </w:r>
      <w:r>
        <w:rPr>
          <w:rFonts w:hint="eastAsia"/>
          <w:color w:val="auto"/>
          <w:highlight w:val="none"/>
          <w:lang w:eastAsia="zh-CN"/>
        </w:rPr>
        <w:t>“</w:t>
      </w:r>
      <w:r>
        <w:rPr>
          <w:rFonts w:hint="eastAsia"/>
          <w:color w:val="auto"/>
          <w:highlight w:val="none"/>
        </w:rPr>
        <w:t>长江流域经济社会发展，应当坚持生态优先、绿色发展，共抓大保护、不搞大开发；……</w:t>
      </w:r>
      <w:r>
        <w:rPr>
          <w:rFonts w:hint="eastAsia"/>
          <w:color w:val="auto"/>
          <w:highlight w:val="none"/>
          <w:lang w:eastAsia="zh-CN"/>
        </w:rPr>
        <w:t>”</w:t>
      </w:r>
      <w:r>
        <w:rPr>
          <w:rFonts w:hint="eastAsia"/>
          <w:color w:val="auto"/>
          <w:highlight w:val="none"/>
        </w:rPr>
        <w:t>；第二十一条</w:t>
      </w:r>
      <w:r>
        <w:rPr>
          <w:rFonts w:hint="eastAsia"/>
          <w:color w:val="auto"/>
          <w:highlight w:val="none"/>
          <w:lang w:eastAsia="zh-CN"/>
        </w:rPr>
        <w:t>“</w:t>
      </w:r>
      <w:r>
        <w:rPr>
          <w:rFonts w:hint="eastAsia"/>
          <w:color w:val="auto"/>
          <w:highlight w:val="none"/>
        </w:rPr>
        <w:t>国务院水行政主管部门统筹长江流域水资源合理配置、统一调度和高效利用，组织实施取用水总量控制和消耗强度控制管理制度。国务院生态环境主管部门根据水环境质量改善目标和水污染防治要求，确定长江流域各省级行政区域重点污染物排放总量控制指标。长江流域水质超标的水功能区，应当实施更严格的污染物排放总量削减要求。企业事业单位应当按照要求，采取污染物排放总量控制措施</w:t>
      </w:r>
      <w:r>
        <w:rPr>
          <w:rFonts w:hint="eastAsia"/>
          <w:color w:val="auto"/>
          <w:highlight w:val="none"/>
          <w:lang w:eastAsia="zh-CN"/>
        </w:rPr>
        <w:t>”</w:t>
      </w:r>
      <w:r>
        <w:rPr>
          <w:rFonts w:hint="eastAsia"/>
          <w:color w:val="auto"/>
          <w:highlight w:val="none"/>
        </w:rPr>
        <w:t>；第二十九条</w:t>
      </w:r>
      <w:r>
        <w:rPr>
          <w:rFonts w:hint="eastAsia"/>
          <w:color w:val="auto"/>
          <w:highlight w:val="none"/>
          <w:lang w:eastAsia="zh-CN"/>
        </w:rPr>
        <w:t>“</w:t>
      </w:r>
      <w:r>
        <w:rPr>
          <w:rFonts w:hint="eastAsia"/>
          <w:color w:val="auto"/>
          <w:highlight w:val="none"/>
        </w:rPr>
        <w:t>长江流域水资源保护与利用，应当根据流域综合规划，优先满足城乡居民生活用水，保障基本生态用水，并统筹农业、工业用水以及航运等需要。</w:t>
      </w:r>
      <w:r>
        <w:rPr>
          <w:rFonts w:hint="eastAsia"/>
          <w:color w:val="auto"/>
          <w:highlight w:val="none"/>
          <w:lang w:eastAsia="zh-CN"/>
        </w:rPr>
        <w:t>”</w:t>
      </w:r>
    </w:p>
    <w:p>
      <w:pPr>
        <w:ind w:firstLine="480" w:firstLineChars="200"/>
        <w:rPr>
          <w:rFonts w:hint="eastAsia"/>
          <w:color w:val="auto"/>
          <w:highlight w:val="none"/>
        </w:rPr>
      </w:pPr>
      <w:r>
        <w:rPr>
          <w:rFonts w:hint="eastAsia"/>
          <w:color w:val="auto"/>
          <w:highlight w:val="none"/>
        </w:rPr>
        <w:t>本工程建设任务为是农业灌溉，为巩固区域脱贫攻坚提供水资源条件。工程供水范围均属长江流域内。本工程为</w:t>
      </w:r>
      <w:r>
        <w:rPr>
          <w:rFonts w:hint="eastAsia"/>
          <w:color w:val="auto"/>
          <w:highlight w:val="none"/>
          <w:lang w:eastAsia="zh-CN"/>
        </w:rPr>
        <w:t>灌区</w:t>
      </w:r>
      <w:r>
        <w:rPr>
          <w:rFonts w:hint="eastAsia"/>
          <w:color w:val="auto"/>
          <w:highlight w:val="none"/>
        </w:rPr>
        <w:t>输水工程，是区域内水资源配置工程，工程施工及运行期间不会对区域环境产生大的不利影响，不属于大开发项目。</w:t>
      </w:r>
    </w:p>
    <w:p>
      <w:pPr>
        <w:ind w:firstLine="480" w:firstLineChars="200"/>
        <w:rPr>
          <w:rFonts w:hint="eastAsia"/>
          <w:color w:val="auto"/>
          <w:highlight w:val="none"/>
        </w:rPr>
      </w:pPr>
      <w:r>
        <w:rPr>
          <w:rFonts w:hint="eastAsia"/>
          <w:color w:val="auto"/>
          <w:highlight w:val="none"/>
        </w:rPr>
        <w:t>综上所述，本工程的建设与《中华人民共和国长江保护法》是相符的。</w:t>
      </w:r>
    </w:p>
    <w:p>
      <w:pPr>
        <w:pStyle w:val="4"/>
        <w:numPr>
          <w:ilvl w:val="2"/>
          <w:numId w:val="2"/>
        </w:numPr>
        <w:tabs>
          <w:tab w:val="left" w:pos="420"/>
        </w:tabs>
        <w:bidi w:val="0"/>
        <w:rPr>
          <w:rFonts w:hint="eastAsia"/>
          <w:color w:val="auto"/>
          <w:highlight w:val="none"/>
          <w:lang w:eastAsia="zh-CN"/>
        </w:rPr>
      </w:pPr>
      <w:bookmarkStart w:id="904" w:name="_Toc4276"/>
      <w:bookmarkStart w:id="905" w:name="_Toc14181"/>
      <w:bookmarkStart w:id="906" w:name="_Toc10369"/>
      <w:bookmarkStart w:id="907" w:name="_Toc19904"/>
      <w:r>
        <w:rPr>
          <w:rFonts w:hint="eastAsia"/>
          <w:color w:val="auto"/>
          <w:highlight w:val="none"/>
        </w:rPr>
        <w:t>与《中国生物多样性保护战略与行动计划（2012-2030年）》符合性</w:t>
      </w:r>
      <w:r>
        <w:rPr>
          <w:rFonts w:hint="eastAsia"/>
          <w:color w:val="auto"/>
          <w:highlight w:val="none"/>
          <w:lang w:eastAsia="zh-CN"/>
        </w:rPr>
        <w:t>分析</w:t>
      </w:r>
      <w:bookmarkEnd w:id="904"/>
      <w:bookmarkEnd w:id="905"/>
      <w:bookmarkEnd w:id="906"/>
      <w:bookmarkEnd w:id="907"/>
    </w:p>
    <w:p>
      <w:pPr>
        <w:ind w:firstLine="480" w:firstLineChars="200"/>
        <w:rPr>
          <w:rFonts w:hint="eastAsia"/>
          <w:color w:val="auto"/>
          <w:highlight w:val="none"/>
          <w:lang w:eastAsia="zh-CN"/>
        </w:rPr>
      </w:pPr>
      <w:r>
        <w:rPr>
          <w:rFonts w:hint="eastAsia"/>
          <w:color w:val="auto"/>
          <w:highlight w:val="none"/>
          <w:lang w:eastAsia="zh-CN"/>
        </w:rPr>
        <w:t>《中国生物多样性保护战略与行动计划（2012-2030年）》中，明确我国生物多样性保护的战略目标为：到2020年，努力使生物多样性的丧失与流失得到基本控制；到2030年，使生物多样性得到切实保护。制定了完善生物多样性保护相关政策、法规和制度，推动生物多样性保护纳入相关规划，加强生物多样性保护能力建设，强化生物多样性就地保护、合理开展迁地保护，促进生物资源可持续开发利用，推进生物遗传资源及相关传统知识惠益共享等8大生物多样性保护战略任务；在目标和任务的基础上提出了我国生物多样性保护的优先领域及优先行动计划，其中优先领域共10个，包括完善生物多样性保护与可持续利用的政策与法律体系、加强生物多样性就地保护、提高应对气候变化能力等方面的内容。在加强生物多样性就地保护部分，行动计划对全国确定了划定了35个生物多样性保护优先区域，包括32个内陆陆地及水域生物多样性保护优先区域及3个海洋与海岸生物多样性保护优先区域。其中云南省涉及到4个国家层面优先保护区域：1、横断山南段生物多样性优先保护区域，涉及云南迪庆州、怒江州、大理州、保山市的部分县（区、市）；2、西双版纳生物多样性优先保护区域，涉及西双版纳州、普洱市、红河州、文山州的部分县（区、市）；3、桂西黔南石灰岩生物多样性优先保护区域，涉及文山州部分县（区、市）；4、桂西南山地生物多样性优先保护区域，涉及文山州部分县（区、市）。</w:t>
      </w:r>
    </w:p>
    <w:p>
      <w:pPr>
        <w:bidi w:val="0"/>
        <w:ind w:firstLine="480" w:firstLineChars="200"/>
        <w:rPr>
          <w:rFonts w:hint="eastAsia"/>
          <w:color w:val="auto"/>
          <w:lang w:eastAsia="zh-CN"/>
        </w:rPr>
      </w:pPr>
      <w:r>
        <w:rPr>
          <w:rFonts w:hint="eastAsia"/>
          <w:color w:val="auto"/>
          <w:lang w:eastAsia="zh-CN"/>
        </w:rPr>
        <w:t>经核实，本项目工程区不涉及国家层面优先保护区域，与国家层面的生物多样性保护战略无冲突之处，工程多为线性开发建设，占地范围和影响程度有限，本环评也对项目产生的生态环境影响制定了针对性的保护措施，因此工程符合同中国生物多样性保护战略与行动计划。</w:t>
      </w:r>
    </w:p>
    <w:p>
      <w:pPr>
        <w:pStyle w:val="4"/>
        <w:numPr>
          <w:ilvl w:val="2"/>
          <w:numId w:val="2"/>
        </w:numPr>
        <w:tabs>
          <w:tab w:val="left" w:pos="420"/>
        </w:tabs>
        <w:bidi w:val="0"/>
        <w:rPr>
          <w:rFonts w:hint="eastAsia"/>
          <w:color w:val="auto"/>
          <w:highlight w:val="none"/>
          <w:lang w:eastAsia="zh-CN"/>
        </w:rPr>
      </w:pPr>
      <w:bookmarkStart w:id="908" w:name="_Toc27547"/>
      <w:bookmarkStart w:id="909" w:name="_Toc13142"/>
      <w:bookmarkStart w:id="910" w:name="_Toc25955"/>
      <w:bookmarkStart w:id="911" w:name="_Toc20315"/>
      <w:r>
        <w:rPr>
          <w:rFonts w:hint="eastAsia"/>
          <w:color w:val="auto"/>
          <w:highlight w:val="none"/>
          <w:lang w:eastAsia="zh-CN"/>
        </w:rPr>
        <w:t>与《云南省生物多样性保护条例》符合性</w:t>
      </w:r>
      <w:bookmarkEnd w:id="908"/>
      <w:bookmarkEnd w:id="909"/>
      <w:bookmarkEnd w:id="910"/>
      <w:bookmarkEnd w:id="911"/>
    </w:p>
    <w:p>
      <w:pPr>
        <w:ind w:firstLine="480" w:firstLineChars="200"/>
        <w:rPr>
          <w:rFonts w:hint="eastAsia"/>
          <w:color w:val="auto"/>
          <w:highlight w:val="none"/>
          <w:lang w:eastAsia="zh-CN"/>
        </w:rPr>
      </w:pPr>
      <w:r>
        <w:rPr>
          <w:rFonts w:hint="eastAsia"/>
          <w:color w:val="auto"/>
          <w:highlight w:val="none"/>
          <w:lang w:eastAsia="zh-CN"/>
        </w:rPr>
        <w:t>在《云南省生物多样性保护条例》（2018年）中，有关规定如下：</w:t>
      </w:r>
    </w:p>
    <w:p>
      <w:pPr>
        <w:ind w:firstLine="480" w:firstLineChars="200"/>
        <w:rPr>
          <w:rFonts w:hint="eastAsia"/>
          <w:color w:val="auto"/>
          <w:highlight w:val="none"/>
          <w:lang w:eastAsia="zh-CN"/>
        </w:rPr>
      </w:pPr>
      <w:r>
        <w:rPr>
          <w:rFonts w:hint="eastAsia"/>
          <w:color w:val="auto"/>
          <w:highlight w:val="none"/>
          <w:lang w:eastAsia="zh-CN"/>
        </w:rPr>
        <w:t>第二十八条</w:t>
      </w:r>
      <w:r>
        <w:rPr>
          <w:rFonts w:hint="eastAsia"/>
          <w:color w:val="auto"/>
          <w:highlight w:val="none"/>
          <w:lang w:val="en-US" w:eastAsia="zh-CN"/>
        </w:rPr>
        <w:t xml:space="preserve"> </w:t>
      </w:r>
      <w:r>
        <w:rPr>
          <w:rFonts w:hint="eastAsia"/>
          <w:color w:val="auto"/>
          <w:highlight w:val="none"/>
          <w:lang w:eastAsia="zh-CN"/>
        </w:rPr>
        <w:t>省人民政府应当按照权限和程序划定生物多样性保护优先区域、生态保护红线，并向社会公布。生物多样性保护优先区域、生态保护红线的调整应当以加强保护为目的，并按规定报批。</w:t>
      </w:r>
    </w:p>
    <w:p>
      <w:pPr>
        <w:ind w:firstLine="480" w:firstLineChars="200"/>
        <w:rPr>
          <w:rFonts w:hint="eastAsia"/>
          <w:color w:val="auto"/>
          <w:highlight w:val="none"/>
          <w:lang w:eastAsia="zh-CN"/>
        </w:rPr>
      </w:pPr>
      <w:r>
        <w:rPr>
          <w:rFonts w:hint="eastAsia"/>
          <w:color w:val="auto"/>
          <w:highlight w:val="none"/>
          <w:lang w:eastAsia="zh-CN"/>
        </w:rPr>
        <w:t>第二十九条 新建、改建、扩建建设项目以及开发自然资源，应当依法开展环境影响评价。对可能造成重要生态系统破坏、损害重要物种及其栖息地和生境的，应当制定专项保护、恢复和补偿方案，纳入环境影响评价。在生物多样性保护优先区域的建设项目以及自然资源开发，应当评价对生物多样性的影响，并作为环境影响评价的重要组成部分。</w:t>
      </w:r>
    </w:p>
    <w:p>
      <w:pPr>
        <w:ind w:firstLine="480" w:firstLineChars="200"/>
        <w:rPr>
          <w:rFonts w:hint="eastAsia"/>
          <w:color w:val="auto"/>
          <w:lang w:val="en-US" w:eastAsia="zh-CN"/>
        </w:rPr>
      </w:pPr>
      <w:r>
        <w:rPr>
          <w:rFonts w:hint="eastAsia"/>
          <w:color w:val="auto"/>
          <w:highlight w:val="none"/>
          <w:lang w:eastAsia="zh-CN"/>
        </w:rPr>
        <w:t>经核实，本项目为线性开发建设，占地范围和影响程度有限，对风景名胜区等采取无害化穿越方式，本环评也对项目产生的生态环境影响制定了针对性的保护措施，因此工程符合《云南省生物多样性保护条例》（2018年）。</w:t>
      </w:r>
    </w:p>
    <w:p>
      <w:pPr>
        <w:pStyle w:val="3"/>
        <w:numPr>
          <w:ilvl w:val="1"/>
          <w:numId w:val="2"/>
        </w:numPr>
        <w:tabs>
          <w:tab w:val="left" w:pos="420"/>
        </w:tabs>
        <w:bidi w:val="0"/>
        <w:rPr>
          <w:rFonts w:hint="default"/>
          <w:color w:val="auto"/>
          <w:lang w:val="en-US" w:eastAsia="zh-CN"/>
        </w:rPr>
      </w:pPr>
      <w:bookmarkStart w:id="912" w:name="_Toc20115"/>
      <w:bookmarkStart w:id="913" w:name="_Toc24223"/>
      <w:bookmarkStart w:id="914" w:name="_Toc16620"/>
      <w:bookmarkStart w:id="915" w:name="_Toc20548"/>
      <w:r>
        <w:rPr>
          <w:rFonts w:hint="default"/>
          <w:color w:val="auto"/>
        </w:rPr>
        <w:t>与相关政策的</w:t>
      </w:r>
      <w:bookmarkEnd w:id="895"/>
      <w:r>
        <w:rPr>
          <w:rFonts w:hint="eastAsia"/>
          <w:color w:val="auto"/>
          <w:lang w:val="en-US" w:eastAsia="zh-CN"/>
        </w:rPr>
        <w:t>符合性分析</w:t>
      </w:r>
      <w:bookmarkEnd w:id="912"/>
      <w:bookmarkEnd w:id="913"/>
      <w:bookmarkEnd w:id="914"/>
      <w:bookmarkEnd w:id="915"/>
    </w:p>
    <w:p>
      <w:pPr>
        <w:pStyle w:val="4"/>
        <w:numPr>
          <w:ilvl w:val="2"/>
          <w:numId w:val="2"/>
        </w:numPr>
        <w:shd w:val="clear"/>
        <w:tabs>
          <w:tab w:val="left" w:pos="420"/>
        </w:tabs>
        <w:bidi w:val="0"/>
        <w:rPr>
          <w:rFonts w:hint="eastAsia"/>
          <w:color w:val="0000FF"/>
          <w:highlight w:val="none"/>
          <w:lang w:eastAsia="zh-CN"/>
        </w:rPr>
      </w:pPr>
      <w:bookmarkStart w:id="916" w:name="_Toc9893"/>
      <w:bookmarkStart w:id="917" w:name="_Toc539"/>
      <w:bookmarkStart w:id="918" w:name="_Toc23568"/>
      <w:bookmarkStart w:id="919" w:name="_Toc14237"/>
      <w:r>
        <w:rPr>
          <w:rFonts w:hint="eastAsia"/>
          <w:color w:val="0000FF"/>
          <w:highlight w:val="none"/>
          <w:lang w:eastAsia="zh-CN"/>
        </w:rPr>
        <w:t>与《省林草局等 8 部门 关于线性工程以生态环境无害化方式穿（跨）越省级及以下自然保护地的通知(云林联发〔2021〕18 号)》符合性</w:t>
      </w:r>
      <w:bookmarkEnd w:id="916"/>
      <w:bookmarkEnd w:id="917"/>
      <w:bookmarkEnd w:id="918"/>
      <w:bookmarkEnd w:id="919"/>
    </w:p>
    <w:p>
      <w:pPr>
        <w:ind w:firstLine="480" w:firstLineChars="200"/>
        <w:rPr>
          <w:rFonts w:hint="eastAsia"/>
          <w:color w:val="auto"/>
          <w:highlight w:val="none"/>
          <w:lang w:eastAsia="zh-CN"/>
        </w:rPr>
      </w:pPr>
      <w:r>
        <w:rPr>
          <w:rFonts w:hint="eastAsia"/>
          <w:color w:val="auto"/>
          <w:highlight w:val="none"/>
          <w:lang w:eastAsia="zh-CN"/>
        </w:rPr>
        <w:t>元谋县姜驿中型灌区续建配套与节水改造项目选线经论证无法完全避让风景名胜区，金沙江乌东德水电站水资源综合利用—元谋县姜驿乡提水工程已被列入《云南省长江大保护水环境综合治理和生态修复实施规划（2020—2023年）》中金沙江流域水环境综合治理与生态修复石漠化治理与生态修复中的重点项目，之后被云南省人民政府列入《云南省“十四五”兴水润滇工程规划》中楚雄州主要建设内容项目，属于省级重点基础设施项目，本项目属于金沙江乌东德水电站水资源综合利用—元谋县姜驿乡提水工程配套工程；本项目现已编制《选址影响评价报告》、《选址唯一性和不可避让性论证报告》，并于202</w:t>
      </w:r>
      <w:r>
        <w:rPr>
          <w:rFonts w:hint="eastAsia"/>
          <w:color w:val="auto"/>
          <w:highlight w:val="none"/>
          <w:lang w:val="en-US" w:eastAsia="zh-CN"/>
        </w:rPr>
        <w:t>4</w:t>
      </w:r>
      <w:r>
        <w:rPr>
          <w:rFonts w:hint="eastAsia"/>
          <w:color w:val="auto"/>
          <w:highlight w:val="none"/>
          <w:lang w:eastAsia="zh-CN"/>
        </w:rPr>
        <w:t>年</w:t>
      </w:r>
      <w:r>
        <w:rPr>
          <w:rFonts w:hint="eastAsia"/>
          <w:color w:val="auto"/>
          <w:highlight w:val="none"/>
          <w:lang w:val="en-US" w:eastAsia="zh-CN"/>
        </w:rPr>
        <w:t>2</w:t>
      </w:r>
      <w:r>
        <w:rPr>
          <w:rFonts w:hint="eastAsia"/>
          <w:color w:val="auto"/>
          <w:highlight w:val="none"/>
          <w:lang w:eastAsia="zh-CN"/>
        </w:rPr>
        <w:t>月</w:t>
      </w:r>
      <w:r>
        <w:rPr>
          <w:rFonts w:hint="eastAsia"/>
          <w:color w:val="auto"/>
          <w:highlight w:val="none"/>
          <w:lang w:val="en-US" w:eastAsia="zh-CN"/>
        </w:rPr>
        <w:t>26</w:t>
      </w:r>
      <w:r>
        <w:rPr>
          <w:rFonts w:hint="eastAsia"/>
          <w:color w:val="auto"/>
          <w:highlight w:val="none"/>
          <w:lang w:eastAsia="zh-CN"/>
        </w:rPr>
        <w:t>日取得由楚雄州林业和草原局下发的《关于元谋县姜驿中型灌区续建配套与节水改造项目涉及元谋风景名胜区方案选址的意见》，同意本项目选址。涉及保护地生物多样性影响评价已作为一个章节在本报告中进行了分析。</w:t>
      </w:r>
    </w:p>
    <w:p>
      <w:pPr>
        <w:ind w:firstLine="480" w:firstLineChars="200"/>
        <w:rPr>
          <w:rFonts w:hint="eastAsia"/>
          <w:color w:val="auto"/>
          <w:highlight w:val="none"/>
          <w:lang w:eastAsia="zh-CN"/>
        </w:rPr>
      </w:pPr>
      <w:r>
        <w:rPr>
          <w:rFonts w:hint="eastAsia"/>
          <w:color w:val="auto"/>
          <w:highlight w:val="none"/>
          <w:lang w:eastAsia="zh-CN"/>
        </w:rPr>
        <w:t>本项目目前已按照《省林草局等8部门关于线性工程以生态环境无害化方式穿（跨）越省级及以下自然保护地的通知(云林联发〔2021〕18号)》中“重点基础设施线性工程以生态无害化方式穿越省级以下自然保护地”的要求办理相关手续及意见中。</w:t>
      </w:r>
    </w:p>
    <w:p>
      <w:pPr>
        <w:pStyle w:val="40"/>
        <w:bidi w:val="0"/>
        <w:rPr>
          <w:rFonts w:hint="eastAsia"/>
          <w:color w:val="auto"/>
          <w:highlight w:val="none"/>
          <w:lang w:eastAsia="zh-CN"/>
        </w:rPr>
      </w:pPr>
      <w:r>
        <w:rPr>
          <w:rFonts w:hint="eastAsia"/>
          <w:color w:val="auto"/>
          <w:highlight w:val="none"/>
          <w:lang w:eastAsia="zh-CN"/>
        </w:rPr>
        <w:t>表</w:t>
      </w:r>
      <w:r>
        <w:rPr>
          <w:rFonts w:hint="eastAsia"/>
          <w:color w:val="auto"/>
          <w:highlight w:val="none"/>
          <w:lang w:val="en-US" w:eastAsia="zh-CN"/>
        </w:rPr>
        <w:t>9</w:t>
      </w:r>
      <w:r>
        <w:rPr>
          <w:rFonts w:hint="eastAsia"/>
          <w:color w:val="auto"/>
          <w:highlight w:val="none"/>
          <w:lang w:eastAsia="zh-CN"/>
        </w:rPr>
        <w:t>.</w:t>
      </w:r>
      <w:r>
        <w:rPr>
          <w:rFonts w:hint="eastAsia"/>
          <w:color w:val="auto"/>
          <w:highlight w:val="none"/>
          <w:lang w:val="en-US" w:eastAsia="zh-CN"/>
        </w:rPr>
        <w:t>3.1</w:t>
      </w:r>
      <w:r>
        <w:rPr>
          <w:rFonts w:hint="eastAsia"/>
          <w:color w:val="auto"/>
          <w:highlight w:val="none"/>
          <w:lang w:eastAsia="zh-CN"/>
        </w:rPr>
        <w:t xml:space="preserve">-1 </w:t>
      </w:r>
      <w:r>
        <w:rPr>
          <w:rFonts w:hint="eastAsia"/>
          <w:color w:val="auto"/>
          <w:highlight w:val="none"/>
          <w:lang w:val="en-US" w:eastAsia="zh-CN"/>
        </w:rPr>
        <w:t xml:space="preserve"> </w:t>
      </w:r>
      <w:r>
        <w:rPr>
          <w:rFonts w:hint="eastAsia"/>
          <w:color w:val="auto"/>
          <w:highlight w:val="none"/>
          <w:lang w:eastAsia="zh-CN"/>
        </w:rPr>
        <w:t>云林联发〔2021〕18号规定及本项目执行情况表</w:t>
      </w:r>
    </w:p>
    <w:tbl>
      <w:tblPr>
        <w:tblStyle w:val="57"/>
        <w:tblW w:w="5000" w:type="pct"/>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155"/>
        <w:gridCol w:w="415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5" w:hRule="atLeast"/>
        </w:trPr>
        <w:tc>
          <w:tcPr>
            <w:tcW w:w="4263" w:type="dxa"/>
            <w:vAlign w:val="top"/>
          </w:tcPr>
          <w:p>
            <w:pPr>
              <w:pStyle w:val="42"/>
              <w:bidi w:val="0"/>
              <w:rPr>
                <w:color w:val="auto"/>
                <w:highlight w:val="none"/>
              </w:rPr>
            </w:pPr>
            <w:r>
              <w:rPr>
                <w:color w:val="auto"/>
                <w:highlight w:val="none"/>
              </w:rPr>
              <w:t>（云林联发〔2021〕18 号)相关内容</w:t>
            </w:r>
          </w:p>
        </w:tc>
        <w:tc>
          <w:tcPr>
            <w:tcW w:w="4265" w:type="dxa"/>
            <w:vAlign w:val="top"/>
          </w:tcPr>
          <w:p>
            <w:pPr>
              <w:pStyle w:val="42"/>
              <w:bidi w:val="0"/>
              <w:rPr>
                <w:color w:val="auto"/>
                <w:highlight w:val="none"/>
              </w:rPr>
            </w:pPr>
            <w:r>
              <w:rPr>
                <w:color w:val="auto"/>
                <w:highlight w:val="none"/>
              </w:rPr>
              <w:t>本项目相关或执行情况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9" w:hRule="atLeast"/>
        </w:trPr>
        <w:tc>
          <w:tcPr>
            <w:tcW w:w="4263" w:type="dxa"/>
            <w:vAlign w:val="top"/>
          </w:tcPr>
          <w:p>
            <w:pPr>
              <w:pStyle w:val="42"/>
              <w:bidi w:val="0"/>
              <w:jc w:val="both"/>
              <w:rPr>
                <w:color w:val="auto"/>
                <w:highlight w:val="none"/>
              </w:rPr>
            </w:pPr>
            <w:r>
              <w:rPr>
                <w:color w:val="auto"/>
                <w:highlight w:val="none"/>
              </w:rPr>
              <w:t>一、省级及以下自然保护地是指云南省行政区域内、管理权限为省级及以下的自然保护区、风景名胜区、森林公园、草原自然公园和水产种质资源保护区</w:t>
            </w:r>
          </w:p>
        </w:tc>
        <w:tc>
          <w:tcPr>
            <w:tcW w:w="4265" w:type="dxa"/>
            <w:vAlign w:val="top"/>
          </w:tcPr>
          <w:p>
            <w:pPr>
              <w:pStyle w:val="42"/>
              <w:bidi w:val="0"/>
              <w:jc w:val="both"/>
              <w:rPr>
                <w:rFonts w:hint="eastAsia" w:eastAsia="宋体"/>
                <w:color w:val="auto"/>
                <w:highlight w:val="none"/>
                <w:lang w:val="en-US" w:eastAsia="zh-CN"/>
              </w:rPr>
            </w:pPr>
            <w:r>
              <w:rPr>
                <w:color w:val="auto"/>
                <w:highlight w:val="none"/>
              </w:rPr>
              <w:t>本项目涉及元谋县元谋风景名胜区，</w:t>
            </w:r>
            <w:r>
              <w:rPr>
                <w:rFonts w:hint="eastAsia" w:ascii="宋体" w:hAnsi="宋体" w:eastAsia="宋体" w:cs="宋体"/>
                <w:color w:val="auto"/>
                <w:highlight w:val="none"/>
              </w:rPr>
              <w:t>属于</w:t>
            </w:r>
            <w:r>
              <w:rPr>
                <w:rFonts w:hint="eastAsia" w:ascii="宋体" w:hAnsi="宋体" w:cs="宋体"/>
                <w:color w:val="auto"/>
                <w:highlight w:val="none"/>
                <w:lang w:eastAsia="zh-CN"/>
              </w:rPr>
              <w:t>“</w:t>
            </w:r>
            <w:r>
              <w:rPr>
                <w:rFonts w:hint="eastAsia" w:ascii="宋体" w:hAnsi="宋体" w:eastAsia="宋体" w:cs="宋体"/>
                <w:color w:val="auto"/>
                <w:highlight w:val="none"/>
              </w:rPr>
              <w:t>自 然保护地</w:t>
            </w:r>
            <w:r>
              <w:rPr>
                <w:rFonts w:hint="eastAsia" w:ascii="宋体" w:hAnsi="宋体" w:cs="宋体"/>
                <w:color w:val="auto"/>
                <w:highlight w:val="none"/>
                <w:lang w:eastAsia="zh-CN"/>
              </w:rPr>
              <w:t>”</w:t>
            </w:r>
            <w:r>
              <w:rPr>
                <w:rFonts w:hint="eastAsia" w:ascii="宋体" w:hAnsi="宋体" w:eastAsia="宋体" w:cs="宋体"/>
                <w:color w:val="auto"/>
                <w:highlight w:val="none"/>
              </w:rPr>
              <w:t>范畴</w:t>
            </w:r>
            <w:r>
              <w:rPr>
                <w:rFonts w:hint="eastAsia" w:ascii="宋体" w:hAnsi="宋体" w:eastAsia="宋体" w:cs="宋体"/>
                <w:color w:val="auto"/>
                <w:highlight w:val="none"/>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6" w:hRule="atLeast"/>
        </w:trPr>
        <w:tc>
          <w:tcPr>
            <w:tcW w:w="4263" w:type="dxa"/>
            <w:vAlign w:val="top"/>
          </w:tcPr>
          <w:p>
            <w:pPr>
              <w:pStyle w:val="42"/>
              <w:bidi w:val="0"/>
              <w:jc w:val="both"/>
              <w:rPr>
                <w:color w:val="auto"/>
                <w:highlight w:val="none"/>
              </w:rPr>
            </w:pPr>
            <w:r>
              <w:rPr>
                <w:color w:val="auto"/>
                <w:highlight w:val="none"/>
              </w:rPr>
              <w:t>二、本通知所指的线性工程是指纳入国家或省级重大项目清单的重点基础设施线性工程建设项目，含公路、铁路、水利、大型水电工程、油气管线、输电线路等。</w:t>
            </w:r>
          </w:p>
        </w:tc>
        <w:tc>
          <w:tcPr>
            <w:tcW w:w="4265" w:type="dxa"/>
            <w:vAlign w:val="top"/>
          </w:tcPr>
          <w:p>
            <w:pPr>
              <w:pStyle w:val="42"/>
              <w:bidi w:val="0"/>
              <w:jc w:val="both"/>
              <w:rPr>
                <w:rFonts w:hint="eastAsia" w:ascii="宋体" w:hAnsi="宋体" w:eastAsia="宋体" w:cs="宋体"/>
                <w:color w:val="auto"/>
                <w:highlight w:val="none"/>
              </w:rPr>
            </w:pPr>
            <w:r>
              <w:rPr>
                <w:color w:val="auto"/>
                <w:highlight w:val="none"/>
              </w:rPr>
              <w:t>项目被云南省人民政府列入《云南省</w:t>
            </w:r>
            <w:r>
              <w:rPr>
                <w:rFonts w:hint="eastAsia" w:ascii="宋体" w:hAnsi="宋体" w:cs="宋体"/>
                <w:color w:val="auto"/>
                <w:highlight w:val="none"/>
                <w:lang w:eastAsia="zh-CN"/>
              </w:rPr>
              <w:t>“</w:t>
            </w:r>
            <w:r>
              <w:rPr>
                <w:rFonts w:hint="eastAsia" w:ascii="宋体" w:hAnsi="宋体" w:eastAsia="宋体" w:cs="宋体"/>
                <w:color w:val="auto"/>
                <w:highlight w:val="none"/>
              </w:rPr>
              <w:t>十四</w:t>
            </w:r>
          </w:p>
          <w:p>
            <w:pPr>
              <w:pStyle w:val="42"/>
              <w:bidi w:val="0"/>
              <w:jc w:val="both"/>
              <w:rPr>
                <w:rFonts w:hint="eastAsia" w:eastAsia="宋"/>
                <w:color w:val="auto"/>
                <w:highlight w:val="none"/>
                <w:lang w:eastAsia="zh-CN"/>
              </w:rPr>
            </w:pPr>
            <w:r>
              <w:rPr>
                <w:rFonts w:hint="eastAsia" w:ascii="宋体" w:hAnsi="宋体" w:eastAsia="宋体" w:cs="宋体"/>
                <w:color w:val="auto"/>
                <w:highlight w:val="none"/>
              </w:rPr>
              <w:t>五</w:t>
            </w:r>
            <w:r>
              <w:rPr>
                <w:rFonts w:hint="eastAsia" w:ascii="宋体" w:hAnsi="宋体" w:cs="宋体"/>
                <w:color w:val="auto"/>
                <w:highlight w:val="none"/>
                <w:lang w:eastAsia="zh-CN"/>
              </w:rPr>
              <w:t>”</w:t>
            </w:r>
            <w:r>
              <w:rPr>
                <w:rFonts w:hint="eastAsia" w:ascii="宋体" w:hAnsi="宋体" w:eastAsia="宋体" w:cs="宋体"/>
                <w:color w:val="auto"/>
                <w:highlight w:val="none"/>
              </w:rPr>
              <w:t>兴水润滇工程</w:t>
            </w:r>
            <w:r>
              <w:rPr>
                <w:color w:val="auto"/>
                <w:highlight w:val="none"/>
              </w:rPr>
              <w:t>规划》中楚雄州主要建设内 容项目，属于省级重点基础设施项目</w:t>
            </w:r>
            <w:r>
              <w:rPr>
                <w:rFonts w:hint="eastAsia"/>
                <w:color w:val="auto"/>
                <w:highlight w:val="none"/>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2" w:hRule="atLeast"/>
        </w:trPr>
        <w:tc>
          <w:tcPr>
            <w:tcW w:w="4263" w:type="dxa"/>
            <w:vAlign w:val="top"/>
          </w:tcPr>
          <w:p>
            <w:pPr>
              <w:pStyle w:val="42"/>
              <w:bidi w:val="0"/>
              <w:spacing w:line="240" w:lineRule="auto"/>
              <w:jc w:val="both"/>
              <w:rPr>
                <w:color w:val="auto"/>
                <w:highlight w:val="none"/>
              </w:rPr>
            </w:pPr>
            <w:r>
              <w:rPr>
                <w:color w:val="auto"/>
                <w:highlight w:val="none"/>
              </w:rPr>
              <w:t>三、坚持节约集约用地的原则，科学布局，项目选址应当优先避让生态红线、各类自然保护地等生态环境敏感区。因受自然条件限制，确需穿（跨）越省级及以下自然保护地的线性工程，在通过项目选址唯一性、不可避让性和生态环境无害化穿（跨）越方式的确认以及开展生物多样性影响评价报告后，经省级林草部门出具审查意见，可以以生态环境无害化方式穿（跨）越省级及以下自然保护地。</w:t>
            </w:r>
          </w:p>
        </w:tc>
        <w:tc>
          <w:tcPr>
            <w:tcW w:w="4265" w:type="dxa"/>
            <w:vAlign w:val="top"/>
          </w:tcPr>
          <w:p>
            <w:pPr>
              <w:pStyle w:val="42"/>
              <w:keepNext w:val="0"/>
              <w:keepLines w:val="0"/>
              <w:pageBreakBefore w:val="0"/>
              <w:widowControl/>
              <w:kinsoku/>
              <w:wordWrap/>
              <w:overflowPunct/>
              <w:topLinePunct w:val="0"/>
              <w:autoSpaceDE/>
              <w:autoSpaceDN/>
              <w:bidi w:val="0"/>
              <w:adjustRightInd/>
              <w:snapToGrid w:val="0"/>
              <w:spacing w:line="240" w:lineRule="auto"/>
              <w:ind w:firstLine="420" w:firstLineChars="200"/>
              <w:jc w:val="both"/>
              <w:textAlignment w:val="baseline"/>
              <w:rPr>
                <w:rFonts w:hint="eastAsia" w:eastAsia="宋体"/>
                <w:color w:val="0000FF"/>
                <w:highlight w:val="none"/>
                <w:lang w:eastAsia="zh-CN"/>
              </w:rPr>
            </w:pPr>
            <w:r>
              <w:rPr>
                <w:rFonts w:hint="eastAsia"/>
                <w:color w:val="0000FF"/>
                <w:highlight w:val="none"/>
                <w:lang w:val="en-US" w:eastAsia="zh-CN"/>
              </w:rPr>
              <w:t>本项目涉及元谋风景名胜区金沙江景区，属于自然保护地范畴，经论证无法避让。根据《云南省风景名胜区条例》（2021年9月29日实施）：“</w:t>
            </w:r>
            <w:r>
              <w:rPr>
                <w:rFonts w:hint="eastAsia"/>
                <w:color w:val="0000FF"/>
                <w:highlight w:val="none"/>
              </w:rPr>
              <w:t>在国家级风景名胜区内修建缆车、索道等重大建设工程，项目的选址方案应当报省风景名胜区主管部门核准，其他建设项目的选址方案，应当报州（市）风景名胜区主管部门核准；省级风景名胜区内的建设项目选址方案，应当报州（市）风景名胜区主管部门核准</w:t>
            </w:r>
            <w:r>
              <w:rPr>
                <w:rFonts w:hint="eastAsia"/>
                <w:color w:val="0000FF"/>
                <w:highlight w:val="none"/>
                <w:lang w:eastAsia="zh-CN"/>
              </w:rPr>
              <w:t>”。</w:t>
            </w:r>
          </w:p>
          <w:p>
            <w:pPr>
              <w:pStyle w:val="42"/>
              <w:keepNext w:val="0"/>
              <w:keepLines w:val="0"/>
              <w:pageBreakBefore w:val="0"/>
              <w:widowControl/>
              <w:kinsoku/>
              <w:wordWrap/>
              <w:overflowPunct/>
              <w:topLinePunct w:val="0"/>
              <w:autoSpaceDE/>
              <w:autoSpaceDN/>
              <w:bidi w:val="0"/>
              <w:adjustRightInd/>
              <w:snapToGrid w:val="0"/>
              <w:spacing w:line="240" w:lineRule="auto"/>
              <w:ind w:firstLine="420" w:firstLineChars="200"/>
              <w:jc w:val="both"/>
              <w:textAlignment w:val="baseline"/>
              <w:rPr>
                <w:rFonts w:hint="eastAsia" w:eastAsia="宋"/>
                <w:color w:val="auto"/>
                <w:highlight w:val="none"/>
                <w:lang w:eastAsia="zh-CN"/>
              </w:rPr>
            </w:pPr>
            <w:r>
              <w:rPr>
                <w:rFonts w:hint="eastAsia"/>
                <w:color w:val="0000FF"/>
                <w:highlight w:val="none"/>
                <w:lang w:val="en-US" w:eastAsia="zh-CN"/>
              </w:rPr>
              <w:t>本项目为省级风景名胜区内见色号的其他项目。根据《云南省风景名胜区条例》，建设单位</w:t>
            </w:r>
            <w:r>
              <w:rPr>
                <w:color w:val="0000FF"/>
                <w:highlight w:val="none"/>
              </w:rPr>
              <w:t>已</w:t>
            </w:r>
            <w:r>
              <w:rPr>
                <w:rFonts w:hint="eastAsia"/>
                <w:color w:val="0000FF"/>
                <w:highlight w:val="none"/>
                <w:lang w:val="en-US" w:eastAsia="zh-CN"/>
              </w:rPr>
              <w:t>委托</w:t>
            </w:r>
            <w:r>
              <w:rPr>
                <w:color w:val="0000FF"/>
                <w:highlight w:val="none"/>
              </w:rPr>
              <w:t>编制《涉及元谋风景名胜区方案选址影响评价报告》、《涉及元谋风景名胜区方案选址唯一性和不可避让性论证报告》</w:t>
            </w:r>
            <w:r>
              <w:rPr>
                <w:rFonts w:hint="eastAsia"/>
                <w:color w:val="0000FF"/>
                <w:highlight w:val="none"/>
                <w:lang w:eastAsia="zh-CN"/>
              </w:rPr>
              <w:t>。</w:t>
            </w:r>
            <w:r>
              <w:rPr>
                <w:color w:val="0000FF"/>
                <w:highlight w:val="none"/>
              </w:rPr>
              <w:t>目前已取得楚雄州林草局意见。生物多样性影响评价已作为一个章节在本报告中进行了分析</w:t>
            </w:r>
            <w:r>
              <w:rPr>
                <w:rFonts w:hint="eastAsia"/>
                <w:color w:val="0000FF"/>
                <w:highlight w:val="none"/>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33" w:hRule="atLeast"/>
        </w:trPr>
        <w:tc>
          <w:tcPr>
            <w:tcW w:w="4263" w:type="dxa"/>
            <w:vAlign w:val="top"/>
          </w:tcPr>
          <w:p>
            <w:pPr>
              <w:pStyle w:val="42"/>
              <w:bidi w:val="0"/>
              <w:jc w:val="both"/>
              <w:rPr>
                <w:color w:val="auto"/>
                <w:highlight w:val="none"/>
              </w:rPr>
            </w:pPr>
            <w:r>
              <w:rPr>
                <w:color w:val="auto"/>
                <w:highlight w:val="none"/>
              </w:rPr>
              <w:t>四、项目建设主管部门应当在项目选址阶段  组织对线路方案进行比选，出具项目穿（跨） 越自然保护地不可避让性和唯一性的确认意  见；建设单位应当编制《建设项目对自然保</w:t>
            </w:r>
          </w:p>
          <w:p>
            <w:pPr>
              <w:pStyle w:val="42"/>
              <w:bidi w:val="0"/>
              <w:jc w:val="both"/>
              <w:rPr>
                <w:color w:val="auto"/>
                <w:highlight w:val="none"/>
              </w:rPr>
            </w:pPr>
            <w:r>
              <w:rPr>
                <w:color w:val="auto"/>
                <w:highlight w:val="none"/>
              </w:rPr>
              <w:t>护地生物多样性影响评价报告》。相关部门应当依据职能职责配合做好相关工作。</w:t>
            </w:r>
          </w:p>
        </w:tc>
        <w:tc>
          <w:tcPr>
            <w:tcW w:w="4265" w:type="dxa"/>
            <w:vAlign w:val="top"/>
          </w:tcPr>
          <w:p>
            <w:pPr>
              <w:pStyle w:val="42"/>
              <w:bidi w:val="0"/>
              <w:jc w:val="both"/>
              <w:rPr>
                <w:rFonts w:hint="eastAsia" w:eastAsia="宋"/>
                <w:color w:val="auto"/>
                <w:highlight w:val="none"/>
                <w:lang w:eastAsia="zh-CN"/>
              </w:rPr>
            </w:pPr>
            <w:r>
              <w:rPr>
                <w:color w:val="auto"/>
                <w:highlight w:val="none"/>
              </w:rPr>
              <w:t>项目已进行线路方案比选，已编制《涉及元谋风景名胜区方案选址影响评价报告》、《涉及元谋风景名胜区方案选址唯一性和不可避让性论证报告》，目前已取得楚雄州林草局意见。生物多样性影响评价已作为一个章节在本报告中进行了分析</w:t>
            </w:r>
            <w:r>
              <w:rPr>
                <w:rFonts w:hint="eastAsia"/>
                <w:color w:val="auto"/>
                <w:highlight w:val="none"/>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65" w:hRule="atLeast"/>
        </w:trPr>
        <w:tc>
          <w:tcPr>
            <w:tcW w:w="4263" w:type="dxa"/>
            <w:vAlign w:val="top"/>
          </w:tcPr>
          <w:p>
            <w:pPr>
              <w:pStyle w:val="42"/>
              <w:bidi w:val="0"/>
              <w:jc w:val="both"/>
              <w:rPr>
                <w:color w:val="auto"/>
                <w:highlight w:val="none"/>
              </w:rPr>
            </w:pPr>
            <w:r>
              <w:rPr>
                <w:color w:val="auto"/>
                <w:highlight w:val="none"/>
              </w:rPr>
              <w:t>五、重点基础设施线性工程项目申请以生态环境无害化方式穿（跨）越自然保护地的，应当提交以下申报材料，按程序逐级报省级林草主管部门审核（可与使用林地手续一并报送）。（一）列为国家、省级重点基础设施项目的相关规划或文件；（二）选址唯一性和不可避让性论证报告；（三）项目建设主管部门出具的选址唯一性和不可避让性的确认意见；（四）生物多样性影响评价报告。</w:t>
            </w:r>
          </w:p>
        </w:tc>
        <w:tc>
          <w:tcPr>
            <w:tcW w:w="4265" w:type="dxa"/>
            <w:vAlign w:val="top"/>
          </w:tcPr>
          <w:p>
            <w:pPr>
              <w:pStyle w:val="42"/>
              <w:bidi w:val="0"/>
              <w:jc w:val="both"/>
              <w:rPr>
                <w:color w:val="auto"/>
                <w:highlight w:val="none"/>
              </w:rPr>
            </w:pPr>
            <w:r>
              <w:rPr>
                <w:color w:val="auto"/>
                <w:highlight w:val="none"/>
              </w:rPr>
              <w:t>本项目已纳入《云南省</w:t>
            </w:r>
            <w:r>
              <w:rPr>
                <w:rFonts w:hint="eastAsia" w:ascii="宋体" w:hAnsi="宋体" w:cs="宋体"/>
                <w:color w:val="auto"/>
                <w:highlight w:val="none"/>
                <w:lang w:eastAsia="zh-CN"/>
              </w:rPr>
              <w:t>“</w:t>
            </w:r>
            <w:r>
              <w:rPr>
                <w:rFonts w:hint="eastAsia" w:ascii="宋体" w:hAnsi="宋体" w:eastAsia="宋体" w:cs="宋体"/>
                <w:color w:val="auto"/>
                <w:highlight w:val="none"/>
              </w:rPr>
              <w:t>十四五</w:t>
            </w:r>
            <w:r>
              <w:rPr>
                <w:rFonts w:hint="eastAsia" w:ascii="宋体" w:hAnsi="宋体" w:cs="宋体"/>
                <w:color w:val="auto"/>
                <w:highlight w:val="none"/>
                <w:lang w:eastAsia="zh-CN"/>
              </w:rPr>
              <w:t>”</w:t>
            </w:r>
            <w:r>
              <w:rPr>
                <w:rFonts w:hint="eastAsia" w:ascii="宋体" w:hAnsi="宋体" w:eastAsia="宋体" w:cs="宋体"/>
                <w:color w:val="auto"/>
                <w:highlight w:val="none"/>
              </w:rPr>
              <w:t>兴</w:t>
            </w:r>
            <w:r>
              <w:rPr>
                <w:color w:val="auto"/>
                <w:highlight w:val="none"/>
              </w:rPr>
              <w:t>水润滇工 程规划》，属于省级重点基础设施项目，已编制《涉及元谋风景名胜区方案选址影响评</w:t>
            </w:r>
          </w:p>
          <w:p>
            <w:pPr>
              <w:pStyle w:val="42"/>
              <w:bidi w:val="0"/>
              <w:jc w:val="both"/>
              <w:rPr>
                <w:color w:val="auto"/>
                <w:highlight w:val="none"/>
              </w:rPr>
            </w:pPr>
            <w:r>
              <w:rPr>
                <w:color w:val="auto"/>
                <w:highlight w:val="none"/>
              </w:rPr>
              <w:t>价报告》、《涉及元谋风景名胜区方案选址</w:t>
            </w:r>
          </w:p>
          <w:p>
            <w:pPr>
              <w:pStyle w:val="42"/>
              <w:bidi w:val="0"/>
              <w:jc w:val="both"/>
              <w:rPr>
                <w:color w:val="auto"/>
                <w:highlight w:val="none"/>
              </w:rPr>
            </w:pPr>
            <w:r>
              <w:rPr>
                <w:color w:val="auto"/>
                <w:highlight w:val="none"/>
              </w:rPr>
              <w:t>唯一性和不可避让性论证报告》，目前已取</w:t>
            </w:r>
          </w:p>
          <w:p>
            <w:pPr>
              <w:pStyle w:val="42"/>
              <w:bidi w:val="0"/>
              <w:jc w:val="both"/>
              <w:rPr>
                <w:color w:val="auto"/>
                <w:highlight w:val="none"/>
              </w:rPr>
            </w:pPr>
            <w:r>
              <w:rPr>
                <w:color w:val="auto"/>
                <w:highlight w:val="none"/>
              </w:rPr>
              <w:t>得楚雄州林草局意见。生物多样性影响评价</w:t>
            </w:r>
          </w:p>
          <w:p>
            <w:pPr>
              <w:pStyle w:val="42"/>
              <w:bidi w:val="0"/>
              <w:jc w:val="both"/>
              <w:rPr>
                <w:rFonts w:hint="eastAsia" w:eastAsia="宋"/>
                <w:color w:val="auto"/>
                <w:highlight w:val="none"/>
                <w:lang w:eastAsia="zh-CN"/>
              </w:rPr>
            </w:pPr>
            <w:r>
              <w:rPr>
                <w:color w:val="auto"/>
                <w:highlight w:val="none"/>
              </w:rPr>
              <w:t>已作为一个章节在本报告中进行了分析</w:t>
            </w:r>
            <w:r>
              <w:rPr>
                <w:rFonts w:hint="eastAsia"/>
                <w:color w:val="auto"/>
                <w:highlight w:val="none"/>
                <w:lang w:eastAsia="zh-CN"/>
              </w:rPr>
              <w:t>。</w:t>
            </w:r>
          </w:p>
        </w:tc>
      </w:tr>
    </w:tbl>
    <w:p>
      <w:pPr>
        <w:bidi w:val="0"/>
        <w:rPr>
          <w:rFonts w:hint="eastAsia"/>
          <w:color w:val="auto"/>
          <w:highlight w:val="none"/>
          <w:lang w:eastAsia="zh-CN"/>
        </w:rPr>
      </w:pPr>
    </w:p>
    <w:p>
      <w:pPr>
        <w:pStyle w:val="4"/>
        <w:numPr>
          <w:ilvl w:val="2"/>
          <w:numId w:val="2"/>
        </w:numPr>
        <w:tabs>
          <w:tab w:val="left" w:pos="420"/>
        </w:tabs>
        <w:bidi w:val="0"/>
        <w:rPr>
          <w:rFonts w:hint="eastAsia"/>
          <w:color w:val="auto"/>
          <w:highlight w:val="none"/>
          <w:lang w:eastAsia="zh-CN"/>
        </w:rPr>
      </w:pPr>
      <w:bookmarkStart w:id="920" w:name="_Toc22629"/>
      <w:bookmarkStart w:id="921" w:name="_Toc22814"/>
      <w:bookmarkStart w:id="922" w:name="_Toc18020"/>
      <w:bookmarkStart w:id="923" w:name="_Toc8517"/>
      <w:r>
        <w:rPr>
          <w:rFonts w:hint="eastAsia"/>
          <w:color w:val="auto"/>
          <w:highlight w:val="none"/>
          <w:lang w:eastAsia="zh-CN"/>
        </w:rPr>
        <w:t>与《关于在国土空间规划中统筹划定落实三条红线的指导意见》符合性</w:t>
      </w:r>
      <w:bookmarkEnd w:id="920"/>
      <w:bookmarkEnd w:id="921"/>
      <w:bookmarkEnd w:id="922"/>
      <w:bookmarkEnd w:id="923"/>
    </w:p>
    <w:p>
      <w:pPr>
        <w:ind w:firstLine="480" w:firstLineChars="200"/>
        <w:rPr>
          <w:rFonts w:hint="default"/>
          <w:color w:val="0000FF"/>
          <w:highlight w:val="none"/>
          <w:lang w:val="en-US" w:eastAsia="zh-CN"/>
        </w:rPr>
      </w:pPr>
      <w:r>
        <w:rPr>
          <w:rFonts w:hint="eastAsia"/>
          <w:color w:val="auto"/>
          <w:highlight w:val="none"/>
          <w:lang w:eastAsia="zh-CN"/>
        </w:rPr>
        <w:t>根据《关于在国土空间规划中统筹划定落实三条控制线的指导意见》，三条红线指生态保护红线、永久基本农田、城镇开发边界。</w:t>
      </w:r>
      <w:r>
        <w:rPr>
          <w:rFonts w:hint="eastAsia"/>
          <w:color w:val="auto"/>
          <w:highlight w:val="none"/>
          <w:lang w:val="en-US" w:eastAsia="zh-CN"/>
        </w:rPr>
        <w:t>该文件指出：</w:t>
      </w:r>
      <w:r>
        <w:rPr>
          <w:rFonts w:hint="eastAsia"/>
          <w:color w:val="0000FF"/>
          <w:highlight w:val="none"/>
          <w:lang w:val="en-US" w:eastAsia="zh-CN"/>
        </w:rPr>
        <w:t>“生态保护红线内，自然保护地核心保护区原则上禁止人为活动，其他区域严格禁止开发性、生产性建设活动，在符合现行法律法规前提下，除国家重大战略项目外，仅允许对生态功能不造成破坏的有限人为活动，主要包括：零星的原住民在不扩大现有建设用地和耕地规模前提下，修缮生产生活设施，保留生活必需的少量种植、放牧、捕捞、养殖；因国家重大能源资源安全需要开展的战略性能源资源勘查，公益性自然资源调查和地质勘查；自然资源、生态环境监测和执法包括水文水资源监测及涉水违法事件的查处等，灾害防治和应急抢险活动；经依法批准进行的非破坏性科学研究观测、标本采集；经依法批准的考古调查发掘和文物保护活动；不破坏生态功能的适度参观旅游和相关的必要公共设施建设；必须且无法避让、符合县级以上国土空间规划的线性基础设施建设、防洪和供水设施建设与运行维护；重要生态修复工程”。</w:t>
      </w:r>
    </w:p>
    <w:p>
      <w:pPr>
        <w:ind w:firstLine="480" w:firstLineChars="200"/>
        <w:rPr>
          <w:rFonts w:hint="eastAsia"/>
          <w:color w:val="auto"/>
          <w:highlight w:val="none"/>
          <w:lang w:eastAsia="zh-CN"/>
        </w:rPr>
      </w:pPr>
      <w:r>
        <w:rPr>
          <w:rFonts w:hint="eastAsia"/>
          <w:color w:val="auto"/>
          <w:highlight w:val="none"/>
        </w:rPr>
        <w:t>202</w:t>
      </w:r>
      <w:r>
        <w:rPr>
          <w:rFonts w:hint="eastAsia"/>
          <w:color w:val="auto"/>
          <w:highlight w:val="none"/>
          <w:lang w:val="en-US" w:eastAsia="zh-CN"/>
        </w:rPr>
        <w:t>3</w:t>
      </w:r>
      <w:r>
        <w:rPr>
          <w:rFonts w:hint="eastAsia"/>
          <w:color w:val="auto"/>
          <w:highlight w:val="none"/>
        </w:rPr>
        <w:t>年</w:t>
      </w:r>
      <w:r>
        <w:rPr>
          <w:rFonts w:hint="eastAsia"/>
          <w:color w:val="auto"/>
          <w:highlight w:val="none"/>
          <w:lang w:val="en-US" w:eastAsia="zh-CN"/>
        </w:rPr>
        <w:t>12</w:t>
      </w:r>
      <w:r>
        <w:rPr>
          <w:rFonts w:hint="eastAsia"/>
          <w:color w:val="auto"/>
          <w:highlight w:val="none"/>
        </w:rPr>
        <w:t>月</w:t>
      </w:r>
      <w:r>
        <w:rPr>
          <w:rFonts w:hint="eastAsia"/>
          <w:color w:val="auto"/>
          <w:highlight w:val="none"/>
          <w:lang w:val="en-US" w:eastAsia="zh-CN"/>
        </w:rPr>
        <w:t>28</w:t>
      </w:r>
      <w:r>
        <w:rPr>
          <w:rFonts w:hint="eastAsia"/>
          <w:color w:val="auto"/>
          <w:highlight w:val="none"/>
        </w:rPr>
        <w:t>日，根据《元谋县自然资源局关于元谋县姜驿中型灌区续建配套与节水改造项目生态保护红线查询结果》结果可知</w:t>
      </w:r>
      <w:r>
        <w:rPr>
          <w:rFonts w:hint="eastAsia"/>
          <w:color w:val="auto"/>
          <w:highlight w:val="none"/>
          <w:lang w:eastAsia="zh-CN"/>
        </w:rPr>
        <w:t>“</w:t>
      </w:r>
      <w:r>
        <w:rPr>
          <w:rFonts w:hint="eastAsia"/>
          <w:color w:val="auto"/>
          <w:highlight w:val="none"/>
        </w:rPr>
        <w:t>元谋县自然资源局关于元谋县姜驿中型灌区续建配套与节水改造项目</w:t>
      </w:r>
      <w:r>
        <w:rPr>
          <w:rFonts w:hint="eastAsia"/>
          <w:color w:val="auto"/>
          <w:highlight w:val="none"/>
          <w:lang w:eastAsia="zh-CN"/>
        </w:rPr>
        <w:t>范围线与云南省“三区三线”划定生态保护红线矢量数据叠加分析，本项目敷埋式管道占用生态红线，</w:t>
      </w:r>
      <w:r>
        <w:rPr>
          <w:rFonts w:hint="eastAsia"/>
          <w:color w:val="auto"/>
          <w:highlight w:val="none"/>
          <w:lang w:val="en-US" w:eastAsia="zh-CN"/>
        </w:rPr>
        <w:t>占用面积为28522.94m</w:t>
      </w:r>
      <w:r>
        <w:rPr>
          <w:rFonts w:hint="eastAsia"/>
          <w:color w:val="auto"/>
          <w:highlight w:val="none"/>
          <w:vertAlign w:val="superscript"/>
          <w:lang w:val="en-US" w:eastAsia="zh-CN"/>
        </w:rPr>
        <w:t>2</w:t>
      </w:r>
      <w:r>
        <w:rPr>
          <w:rFonts w:hint="eastAsia"/>
          <w:color w:val="auto"/>
          <w:highlight w:val="none"/>
          <w:lang w:eastAsia="zh-CN"/>
        </w:rPr>
        <w:t>。</w:t>
      </w:r>
    </w:p>
    <w:p>
      <w:pPr>
        <w:ind w:firstLine="480" w:firstLineChars="200"/>
        <w:rPr>
          <w:rFonts w:hint="eastAsia"/>
          <w:color w:val="auto"/>
          <w:highlight w:val="none"/>
          <w:lang w:eastAsia="zh-CN"/>
        </w:rPr>
      </w:pPr>
      <w:r>
        <w:rPr>
          <w:rFonts w:hint="eastAsia"/>
          <w:color w:val="auto"/>
          <w:highlight w:val="none"/>
          <w:lang w:val="en-US" w:eastAsia="zh-CN"/>
        </w:rPr>
        <w:t>根据</w:t>
      </w:r>
      <w:r>
        <w:rPr>
          <w:rFonts w:hint="eastAsia"/>
          <w:color w:val="auto"/>
          <w:highlight w:val="none"/>
          <w:lang w:eastAsia="zh-CN"/>
        </w:rPr>
        <w:t>《自然资源部 生态环境部 国家林业和草原局关于加强生态保护红线管理的通知（试行）》（自然资发〔2022]142号）</w:t>
      </w:r>
      <w:r>
        <w:rPr>
          <w:rFonts w:hint="eastAsia"/>
          <w:color w:val="auto"/>
          <w:highlight w:val="none"/>
          <w:lang w:val="en-US" w:eastAsia="zh-CN"/>
        </w:rPr>
        <w:t>要求，</w:t>
      </w:r>
      <w:r>
        <w:rPr>
          <w:rFonts w:hint="eastAsia"/>
          <w:color w:val="auto"/>
          <w:highlight w:val="none"/>
          <w:lang w:eastAsia="zh-CN"/>
        </w:rPr>
        <w:t>本项目属于符合县级以上国土空间规划的线性基础设施和供水设施，且管道属于敷埋式，属于对生态功能不造成破坏的有限人为活动，因此本项目建设符合《自然资源部 生态环境部 国家林业和草原局关于加强生态保护红线管理的通知（试行）》（自然资发〔2022]142号）的要求。</w:t>
      </w:r>
    </w:p>
    <w:p>
      <w:pPr>
        <w:ind w:firstLine="480" w:firstLineChars="200"/>
        <w:rPr>
          <w:rFonts w:hint="eastAsia"/>
          <w:color w:val="auto"/>
          <w:highlight w:val="none"/>
          <w:lang w:eastAsia="zh-CN"/>
        </w:rPr>
      </w:pPr>
      <w:r>
        <w:rPr>
          <w:rFonts w:hint="eastAsia"/>
          <w:color w:val="auto"/>
          <w:highlight w:val="none"/>
          <w:lang w:val="en-US" w:eastAsia="zh-CN"/>
        </w:rPr>
        <w:t>根据</w:t>
      </w:r>
      <w:r>
        <w:rPr>
          <w:rFonts w:hint="eastAsia"/>
          <w:color w:val="auto"/>
          <w:highlight w:val="none"/>
          <w:lang w:eastAsia="zh-CN"/>
        </w:rPr>
        <w:t>《云南省自然资源厅</w:t>
      </w:r>
      <w:r>
        <w:rPr>
          <w:rFonts w:hint="eastAsia"/>
          <w:color w:val="auto"/>
          <w:highlight w:val="none"/>
          <w:lang w:val="en-US" w:eastAsia="zh-CN"/>
        </w:rPr>
        <w:t xml:space="preserve"> 云南省生态环境厅 云南省林业和草原局关于加强生态保护红线管理工作的通知</w:t>
      </w:r>
      <w:r>
        <w:rPr>
          <w:rFonts w:hint="eastAsia"/>
          <w:color w:val="auto"/>
          <w:highlight w:val="none"/>
          <w:lang w:eastAsia="zh-CN"/>
        </w:rPr>
        <w:t>》（云自然资〔</w:t>
      </w:r>
      <w:r>
        <w:rPr>
          <w:rFonts w:hint="eastAsia"/>
          <w:color w:val="auto"/>
          <w:highlight w:val="none"/>
          <w:lang w:val="en-US" w:eastAsia="zh-CN"/>
        </w:rPr>
        <w:t>2023]98号</w:t>
      </w:r>
      <w:r>
        <w:rPr>
          <w:rFonts w:hint="eastAsia"/>
          <w:color w:val="auto"/>
          <w:highlight w:val="none"/>
          <w:lang w:eastAsia="zh-CN"/>
        </w:rPr>
        <w:t>）</w:t>
      </w:r>
      <w:r>
        <w:rPr>
          <w:rFonts w:hint="eastAsia"/>
          <w:color w:val="auto"/>
          <w:highlight w:val="none"/>
          <w:lang w:val="en-US" w:eastAsia="zh-CN"/>
        </w:rPr>
        <w:t>要求，</w:t>
      </w:r>
      <w:r>
        <w:rPr>
          <w:rFonts w:hint="eastAsia"/>
          <w:color w:val="auto"/>
          <w:highlight w:val="none"/>
          <w:lang w:eastAsia="zh-CN"/>
        </w:rPr>
        <w:t>本项目属于有限人为活动准入目录中第</w:t>
      </w:r>
      <w:r>
        <w:rPr>
          <w:rFonts w:hint="eastAsia"/>
          <w:color w:val="auto"/>
          <w:highlight w:val="none"/>
          <w:lang w:val="en-US" w:eastAsia="zh-CN"/>
        </w:rPr>
        <w:t>6条</w:t>
      </w:r>
      <w:r>
        <w:rPr>
          <w:rFonts w:hint="eastAsia"/>
          <w:color w:val="auto"/>
          <w:highlight w:val="none"/>
          <w:lang w:eastAsia="zh-CN"/>
        </w:rPr>
        <w:t>符合县级以上国土空间规划的线性基础设施和供水设施，且管道属于敷埋式，属于对生态功能不造成破坏的有限人为活动，符合《云南省自然资源厅</w:t>
      </w:r>
      <w:r>
        <w:rPr>
          <w:rFonts w:hint="eastAsia"/>
          <w:color w:val="auto"/>
          <w:highlight w:val="none"/>
          <w:lang w:val="en-US" w:eastAsia="zh-CN"/>
        </w:rPr>
        <w:t xml:space="preserve"> 云南省生态环境厅 云南省林业和草原局关于加强生态保护红线管理工作的通知</w:t>
      </w:r>
      <w:r>
        <w:rPr>
          <w:rFonts w:hint="eastAsia"/>
          <w:color w:val="auto"/>
          <w:highlight w:val="none"/>
          <w:lang w:eastAsia="zh-CN"/>
        </w:rPr>
        <w:t>》（云自然资〔</w:t>
      </w:r>
      <w:r>
        <w:rPr>
          <w:rFonts w:hint="eastAsia"/>
          <w:color w:val="auto"/>
          <w:highlight w:val="none"/>
          <w:lang w:val="en-US" w:eastAsia="zh-CN"/>
        </w:rPr>
        <w:t>2023]98号</w:t>
      </w:r>
      <w:r>
        <w:rPr>
          <w:rFonts w:hint="eastAsia"/>
          <w:color w:val="auto"/>
          <w:highlight w:val="none"/>
          <w:lang w:eastAsia="zh-CN"/>
        </w:rPr>
        <w:t>）。</w:t>
      </w:r>
    </w:p>
    <w:p>
      <w:pPr>
        <w:ind w:firstLine="480" w:firstLineChars="200"/>
        <w:rPr>
          <w:rFonts w:hint="eastAsia"/>
          <w:color w:val="auto"/>
          <w:highlight w:val="none"/>
          <w:lang w:val="en-US" w:eastAsia="zh-CN"/>
        </w:rPr>
      </w:pPr>
      <w:r>
        <w:rPr>
          <w:rFonts w:hint="eastAsia"/>
          <w:color w:val="auto"/>
          <w:highlight w:val="none"/>
          <w:lang w:val="en-US" w:eastAsia="zh-CN"/>
        </w:rPr>
        <w:t>2024年3月8日元谋县人民政府出具《元谋县人民政府关于元谋县姜驿中型</w:t>
      </w:r>
      <w:r>
        <w:rPr>
          <w:rFonts w:ascii="宋体" w:hAnsi="宋体" w:eastAsia="宋体" w:cs="宋体"/>
          <w:color w:val="auto"/>
          <w:spacing w:val="-1"/>
          <w:sz w:val="24"/>
          <w:szCs w:val="24"/>
        </w:rPr>
        <w:t>灌区续建配套与节水改造项目</w:t>
      </w:r>
      <w:r>
        <w:rPr>
          <w:rFonts w:hint="eastAsia" w:ascii="宋体" w:hAnsi="宋体" w:cs="宋体"/>
          <w:color w:val="auto"/>
          <w:spacing w:val="-1"/>
          <w:sz w:val="24"/>
          <w:szCs w:val="24"/>
          <w:lang w:val="en-US" w:eastAsia="zh-CN"/>
        </w:rPr>
        <w:t>占用生态保护红线的建设内容属于有限人为活动的认定意见</w:t>
      </w:r>
      <w:r>
        <w:rPr>
          <w:rFonts w:hint="eastAsia"/>
          <w:color w:val="auto"/>
          <w:highlight w:val="none"/>
          <w:lang w:val="en-US" w:eastAsia="zh-CN"/>
        </w:rPr>
        <w:t>》（见附件5），经核实，项目工程施工内容不涉及新增建设用地，属于</w:t>
      </w:r>
      <w:r>
        <w:rPr>
          <w:rFonts w:hint="eastAsia"/>
          <w:color w:val="auto"/>
          <w:highlight w:val="none"/>
          <w:lang w:eastAsia="zh-CN"/>
        </w:rPr>
        <w:t>《云南省自然资源厅</w:t>
      </w:r>
      <w:r>
        <w:rPr>
          <w:rFonts w:hint="eastAsia"/>
          <w:color w:val="auto"/>
          <w:highlight w:val="none"/>
          <w:lang w:val="en-US" w:eastAsia="zh-CN"/>
        </w:rPr>
        <w:t xml:space="preserve"> 云南省生态环境厅 云南省林业和草原局关于加强生态保护红线管理工作的通知</w:t>
      </w:r>
      <w:r>
        <w:rPr>
          <w:rFonts w:hint="eastAsia"/>
          <w:color w:val="auto"/>
          <w:highlight w:val="none"/>
          <w:lang w:eastAsia="zh-CN"/>
        </w:rPr>
        <w:t>》（云自然资〔</w:t>
      </w:r>
      <w:r>
        <w:rPr>
          <w:rFonts w:hint="eastAsia"/>
          <w:color w:val="auto"/>
          <w:highlight w:val="none"/>
          <w:lang w:val="en-US" w:eastAsia="zh-CN"/>
        </w:rPr>
        <w:t>2023]98号</w:t>
      </w:r>
      <w:r>
        <w:rPr>
          <w:rFonts w:hint="eastAsia"/>
          <w:color w:val="auto"/>
          <w:highlight w:val="none"/>
          <w:lang w:eastAsia="zh-CN"/>
        </w:rPr>
        <w:t>）</w:t>
      </w:r>
      <w:r>
        <w:rPr>
          <w:rFonts w:hint="eastAsia"/>
          <w:color w:val="auto"/>
          <w:highlight w:val="none"/>
          <w:lang w:val="en-US" w:eastAsia="zh-CN"/>
        </w:rPr>
        <w:t>中有限人为活动准入目录中必须且无法避让、符合县级以上国土空间规划的线性基础设施。</w:t>
      </w:r>
    </w:p>
    <w:p>
      <w:pPr>
        <w:ind w:firstLine="480" w:firstLineChars="200"/>
        <w:rPr>
          <w:rFonts w:hint="default"/>
          <w:color w:val="auto"/>
          <w:highlight w:val="none"/>
          <w:lang w:val="en-US" w:eastAsia="zh-CN"/>
        </w:rPr>
      </w:pPr>
      <w:r>
        <w:rPr>
          <w:rFonts w:hint="eastAsia"/>
          <w:color w:val="auto"/>
          <w:highlight w:val="none"/>
          <w:lang w:val="en-US" w:eastAsia="zh-CN"/>
        </w:rPr>
        <w:t>因此，本项目建设与</w:t>
      </w:r>
      <w:r>
        <w:rPr>
          <w:rFonts w:hint="eastAsia"/>
          <w:color w:val="auto"/>
          <w:highlight w:val="none"/>
          <w:lang w:eastAsia="zh-CN"/>
        </w:rPr>
        <w:t>《关于在国土空间规划中统筹划定落实三条红线的指导意见》</w:t>
      </w:r>
      <w:r>
        <w:rPr>
          <w:rFonts w:hint="eastAsia"/>
          <w:color w:val="auto"/>
          <w:highlight w:val="none"/>
          <w:lang w:val="en-US" w:eastAsia="zh-CN"/>
        </w:rPr>
        <w:t>的要求符合。</w:t>
      </w:r>
    </w:p>
    <w:p>
      <w:pPr>
        <w:pStyle w:val="4"/>
        <w:numPr>
          <w:ilvl w:val="2"/>
          <w:numId w:val="2"/>
        </w:numPr>
        <w:tabs>
          <w:tab w:val="left" w:pos="420"/>
        </w:tabs>
        <w:bidi w:val="0"/>
        <w:rPr>
          <w:rFonts w:hint="eastAsia"/>
          <w:color w:val="auto"/>
          <w:highlight w:val="none"/>
          <w:lang w:eastAsia="zh-CN"/>
        </w:rPr>
      </w:pPr>
      <w:bookmarkStart w:id="924" w:name="_Toc2128"/>
      <w:bookmarkStart w:id="925" w:name="_Toc19727"/>
      <w:bookmarkStart w:id="926" w:name="_Toc6229"/>
      <w:bookmarkStart w:id="927" w:name="_Toc9762"/>
      <w:r>
        <w:rPr>
          <w:rFonts w:hint="eastAsia"/>
          <w:color w:val="auto"/>
          <w:highlight w:val="none"/>
          <w:lang w:eastAsia="zh-CN"/>
        </w:rPr>
        <w:t>与《云南省长江经济带发展负面清单指南实施细则（试行）》（云发改基础〔2019〕924号）符合性</w:t>
      </w:r>
      <w:bookmarkEnd w:id="924"/>
      <w:bookmarkEnd w:id="925"/>
      <w:bookmarkEnd w:id="926"/>
      <w:bookmarkEnd w:id="927"/>
    </w:p>
    <w:p>
      <w:pPr>
        <w:bidi w:val="0"/>
        <w:ind w:firstLine="480" w:firstLineChars="200"/>
        <w:rPr>
          <w:color w:val="auto"/>
          <w:highlight w:val="none"/>
        </w:rPr>
      </w:pPr>
      <w:r>
        <w:rPr>
          <w:color w:val="auto"/>
          <w:highlight w:val="none"/>
        </w:rPr>
        <w:t>根据云南省推动长江经济带发展领导小组办公室关于印发《云南省长江经济带发展负面清单指南实施细则（试行）》的通知，本项目取水点</w:t>
      </w:r>
      <w:r>
        <w:rPr>
          <w:rFonts w:hint="eastAsia"/>
          <w:color w:val="auto"/>
          <w:highlight w:val="none"/>
          <w:lang w:eastAsia="zh-CN"/>
        </w:rPr>
        <w:t>依托</w:t>
      </w:r>
      <w:r>
        <w:rPr>
          <w:rFonts w:hint="eastAsia"/>
          <w:color w:val="auto"/>
          <w:highlight w:val="none"/>
        </w:rPr>
        <w:t>金沙江乌东德水电站水资源综合利用—元谋县姜驿乡提水工程</w:t>
      </w:r>
      <w:r>
        <w:rPr>
          <w:rFonts w:hint="eastAsia"/>
          <w:color w:val="auto"/>
          <w:highlight w:val="none"/>
          <w:lang w:eastAsia="zh-CN"/>
        </w:rPr>
        <w:t>高位水池，</w:t>
      </w:r>
      <w:r>
        <w:rPr>
          <w:color w:val="auto"/>
          <w:highlight w:val="none"/>
        </w:rPr>
        <w:t>本项目与细则有关条款的相符性分析见下表。</w:t>
      </w:r>
    </w:p>
    <w:p>
      <w:pPr>
        <w:pStyle w:val="40"/>
        <w:bidi w:val="0"/>
        <w:rPr>
          <w:color w:val="auto"/>
          <w:highlight w:val="none"/>
        </w:rPr>
      </w:pPr>
      <w:r>
        <w:rPr>
          <w:color w:val="auto"/>
          <w:highlight w:val="none"/>
        </w:rPr>
        <w:t>表</w:t>
      </w:r>
      <w:r>
        <w:rPr>
          <w:rFonts w:hint="eastAsia"/>
          <w:color w:val="auto"/>
          <w:highlight w:val="none"/>
          <w:lang w:val="en-US" w:eastAsia="zh-CN"/>
        </w:rPr>
        <w:t>9.3.3</w:t>
      </w:r>
      <w:r>
        <w:rPr>
          <w:color w:val="auto"/>
          <w:highlight w:val="none"/>
        </w:rPr>
        <w:t>-</w:t>
      </w:r>
      <w:r>
        <w:rPr>
          <w:rFonts w:hint="eastAsia"/>
          <w:color w:val="auto"/>
          <w:highlight w:val="none"/>
          <w:lang w:val="en-US" w:eastAsia="zh-CN"/>
        </w:rPr>
        <w:t>1</w:t>
      </w:r>
      <w:r>
        <w:rPr>
          <w:color w:val="auto"/>
          <w:highlight w:val="none"/>
        </w:rPr>
        <w:t xml:space="preserve">  与云发改基础〔2019〕924号符合性分析表</w:t>
      </w:r>
    </w:p>
    <w:tbl>
      <w:tblPr>
        <w:tblStyle w:val="57"/>
        <w:tblW w:w="5003"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78"/>
        <w:gridCol w:w="3079"/>
        <w:gridCol w:w="3416"/>
        <w:gridCol w:w="74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9" w:hRule="atLeast"/>
          <w:jc w:val="center"/>
        </w:trPr>
        <w:tc>
          <w:tcPr>
            <w:tcW w:w="1077" w:type="dxa"/>
            <w:vAlign w:val="top"/>
          </w:tcPr>
          <w:p>
            <w:pPr>
              <w:pStyle w:val="42"/>
              <w:bidi w:val="0"/>
              <w:rPr>
                <w:color w:val="auto"/>
                <w:highlight w:val="none"/>
              </w:rPr>
            </w:pPr>
            <w:r>
              <w:rPr>
                <w:color w:val="auto"/>
                <w:highlight w:val="none"/>
              </w:rPr>
              <w:t>序号</w:t>
            </w:r>
          </w:p>
        </w:tc>
        <w:tc>
          <w:tcPr>
            <w:tcW w:w="3077" w:type="dxa"/>
            <w:vAlign w:val="top"/>
          </w:tcPr>
          <w:p>
            <w:pPr>
              <w:pStyle w:val="42"/>
              <w:bidi w:val="0"/>
              <w:rPr>
                <w:color w:val="auto"/>
                <w:highlight w:val="none"/>
              </w:rPr>
            </w:pPr>
            <w:r>
              <w:rPr>
                <w:color w:val="auto"/>
                <w:highlight w:val="none"/>
              </w:rPr>
              <w:t>云发改基础〔2019〕924 号相关 要求</w:t>
            </w:r>
          </w:p>
        </w:tc>
        <w:tc>
          <w:tcPr>
            <w:tcW w:w="3414" w:type="dxa"/>
            <w:vAlign w:val="top"/>
          </w:tcPr>
          <w:p>
            <w:pPr>
              <w:pStyle w:val="42"/>
              <w:bidi w:val="0"/>
              <w:rPr>
                <w:color w:val="auto"/>
                <w:highlight w:val="none"/>
              </w:rPr>
            </w:pPr>
            <w:r>
              <w:rPr>
                <w:color w:val="auto"/>
                <w:highlight w:val="none"/>
              </w:rPr>
              <w:t>本环评情况</w:t>
            </w:r>
          </w:p>
        </w:tc>
        <w:tc>
          <w:tcPr>
            <w:tcW w:w="744" w:type="dxa"/>
            <w:vAlign w:val="top"/>
          </w:tcPr>
          <w:p>
            <w:pPr>
              <w:pStyle w:val="42"/>
              <w:bidi w:val="0"/>
              <w:rPr>
                <w:color w:val="auto"/>
                <w:highlight w:val="none"/>
              </w:rPr>
            </w:pPr>
            <w:r>
              <w:rPr>
                <w:color w:val="auto"/>
                <w:highlight w:val="none"/>
              </w:rPr>
              <w:t>符合</w:t>
            </w:r>
          </w:p>
          <w:p>
            <w:pPr>
              <w:pStyle w:val="42"/>
              <w:bidi w:val="0"/>
              <w:rPr>
                <w:color w:val="auto"/>
                <w:highlight w:val="none"/>
              </w:rPr>
            </w:pPr>
            <w:r>
              <w:rPr>
                <w:color w:val="auto"/>
                <w:highlight w:val="none"/>
              </w:rPr>
              <w:t>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42" w:hRule="atLeast"/>
          <w:jc w:val="center"/>
        </w:trPr>
        <w:tc>
          <w:tcPr>
            <w:tcW w:w="1077" w:type="dxa"/>
            <w:vAlign w:val="center"/>
          </w:tcPr>
          <w:p>
            <w:pPr>
              <w:pStyle w:val="42"/>
              <w:bidi w:val="0"/>
              <w:jc w:val="both"/>
              <w:rPr>
                <w:color w:val="auto"/>
                <w:highlight w:val="none"/>
              </w:rPr>
            </w:pPr>
            <w:r>
              <w:rPr>
                <w:color w:val="auto"/>
                <w:highlight w:val="none"/>
              </w:rPr>
              <w:t>二、各类保护区</w:t>
            </w:r>
          </w:p>
        </w:tc>
        <w:tc>
          <w:tcPr>
            <w:tcW w:w="3077" w:type="dxa"/>
            <w:vAlign w:val="center"/>
          </w:tcPr>
          <w:p>
            <w:pPr>
              <w:pStyle w:val="42"/>
              <w:bidi w:val="0"/>
              <w:rPr>
                <w:color w:val="auto"/>
                <w:highlight w:val="none"/>
              </w:rPr>
            </w:pPr>
            <w:r>
              <w:rPr>
                <w:color w:val="auto"/>
                <w:highlight w:val="none"/>
              </w:rPr>
              <w:t>（八）禁止风景名胜区规划未经批准前或者违反经批准的风景名胜区规划进行各类建设活动。禁止在风景名胜区内设立各类开发区和在核心景区内投资建设宾馆、招待所、培训中心、疗养院以及与风景名胜资源保护无关的其他建筑物。禁止在风景名胜区内进行开山、采石、开矿、开荒、修坟立碑等破坏景观、植被和地形地貌的活动；禁止修建储存爆炸性、易燃性、放射性、毒害性、腐蚀性物品的设施。</w:t>
            </w:r>
          </w:p>
        </w:tc>
        <w:tc>
          <w:tcPr>
            <w:tcW w:w="3414" w:type="dxa"/>
            <w:vAlign w:val="center"/>
          </w:tcPr>
          <w:p>
            <w:pPr>
              <w:pStyle w:val="42"/>
              <w:bidi w:val="0"/>
              <w:jc w:val="both"/>
              <w:rPr>
                <w:color w:val="auto"/>
                <w:highlight w:val="none"/>
              </w:rPr>
            </w:pPr>
            <w:r>
              <w:rPr>
                <w:color w:val="auto"/>
                <w:highlight w:val="none"/>
              </w:rPr>
              <w:t>本项目在元谋风景名胜区内建设</w:t>
            </w:r>
            <w:r>
              <w:rPr>
                <w:rFonts w:hint="eastAsia"/>
                <w:color w:val="auto"/>
                <w:highlight w:val="none"/>
                <w:lang w:eastAsia="zh-CN"/>
              </w:rPr>
              <w:t>高位水池</w:t>
            </w:r>
            <w:r>
              <w:rPr>
                <w:color w:val="auto"/>
                <w:highlight w:val="none"/>
              </w:rPr>
              <w:t>及</w:t>
            </w:r>
            <w:r>
              <w:rPr>
                <w:rFonts w:hint="eastAsia"/>
                <w:color w:val="auto"/>
                <w:highlight w:val="none"/>
                <w:lang w:eastAsia="zh-CN"/>
              </w:rPr>
              <w:t>输水</w:t>
            </w:r>
            <w:r>
              <w:rPr>
                <w:color w:val="auto"/>
                <w:highlight w:val="none"/>
              </w:rPr>
              <w:t>管线。不建设宾馆、招待所、培训中心、疗养院以及与风景名胜资源保护无关的其他建筑物。不进行开山、采石、开矿、开荒、修坟立碑等活动，也不修建储存爆炸性、易燃性、放射性、毒害性、腐蚀性物品的设施。</w:t>
            </w:r>
          </w:p>
        </w:tc>
        <w:tc>
          <w:tcPr>
            <w:tcW w:w="744" w:type="dxa"/>
            <w:vAlign w:val="center"/>
          </w:tcPr>
          <w:p>
            <w:pPr>
              <w:pStyle w:val="42"/>
              <w:bidi w:val="0"/>
              <w:jc w:val="center"/>
              <w:rPr>
                <w:color w:val="auto"/>
                <w:highlight w:val="none"/>
              </w:rPr>
            </w:pPr>
            <w:r>
              <w:rPr>
                <w:color w:val="auto"/>
                <w:highlight w:val="none"/>
              </w:rPr>
              <w:t>符合</w:t>
            </w:r>
          </w:p>
        </w:tc>
      </w:tr>
    </w:tbl>
    <w:p>
      <w:pPr>
        <w:ind w:firstLine="480" w:firstLineChars="200"/>
        <w:rPr>
          <w:rFonts w:hint="default"/>
          <w:color w:val="auto"/>
          <w:highlight w:val="none"/>
          <w:lang w:val="en-US" w:eastAsia="zh-CN"/>
        </w:rPr>
      </w:pPr>
      <w:r>
        <w:rPr>
          <w:rFonts w:hint="eastAsia"/>
          <w:color w:val="auto"/>
          <w:highlight w:val="none"/>
          <w:lang w:val="en-US" w:eastAsia="zh-CN"/>
        </w:rPr>
        <w:t>因此，本项目建设与</w:t>
      </w:r>
      <w:r>
        <w:rPr>
          <w:rFonts w:hint="eastAsia"/>
          <w:color w:val="auto"/>
          <w:highlight w:val="none"/>
          <w:lang w:eastAsia="zh-CN"/>
        </w:rPr>
        <w:t>《云南省长江经济带发展负面清单指南实施细则（试行）》（云发改基础〔2019〕924号）</w:t>
      </w:r>
      <w:r>
        <w:rPr>
          <w:rFonts w:hint="eastAsia"/>
          <w:color w:val="auto"/>
          <w:highlight w:val="none"/>
          <w:lang w:val="en-US" w:eastAsia="zh-CN"/>
        </w:rPr>
        <w:t>的要求符合。</w:t>
      </w:r>
    </w:p>
    <w:p>
      <w:pPr>
        <w:pStyle w:val="4"/>
        <w:numPr>
          <w:ilvl w:val="2"/>
          <w:numId w:val="2"/>
        </w:numPr>
        <w:tabs>
          <w:tab w:val="left" w:pos="420"/>
        </w:tabs>
        <w:bidi w:val="0"/>
        <w:rPr>
          <w:rFonts w:hint="eastAsia"/>
          <w:color w:val="auto"/>
          <w:highlight w:val="none"/>
          <w:lang w:eastAsia="zh-CN"/>
        </w:rPr>
      </w:pPr>
      <w:bookmarkStart w:id="928" w:name="_Toc4072"/>
      <w:bookmarkStart w:id="929" w:name="_Toc12093"/>
      <w:bookmarkStart w:id="930" w:name="_Toc20922"/>
      <w:bookmarkStart w:id="931" w:name="_Toc20107"/>
      <w:r>
        <w:rPr>
          <w:rFonts w:hint="eastAsia"/>
          <w:color w:val="auto"/>
          <w:highlight w:val="none"/>
          <w:lang w:eastAsia="zh-CN"/>
        </w:rPr>
        <w:t>与《长江经济带发展负面清单指南(试行，2022 年版)》（长江办〔2022〕7 号）符合性分析</w:t>
      </w:r>
      <w:bookmarkEnd w:id="928"/>
      <w:bookmarkEnd w:id="929"/>
      <w:bookmarkEnd w:id="930"/>
      <w:bookmarkEnd w:id="931"/>
    </w:p>
    <w:p>
      <w:pPr>
        <w:bidi w:val="0"/>
        <w:ind w:firstLine="480" w:firstLineChars="200"/>
        <w:rPr>
          <w:color w:val="auto"/>
          <w:highlight w:val="none"/>
        </w:rPr>
      </w:pPr>
      <w:r>
        <w:rPr>
          <w:color w:val="auto"/>
          <w:highlight w:val="none"/>
        </w:rPr>
        <w:t>根据推动长江经济带发展领导小组办公室关于印发《长江经济带发展负面清单指南(试行，2022年版)》的通知，本项目取水点</w:t>
      </w:r>
      <w:r>
        <w:rPr>
          <w:rFonts w:hint="eastAsia"/>
          <w:color w:val="auto"/>
          <w:highlight w:val="none"/>
          <w:lang w:eastAsia="zh-CN"/>
        </w:rPr>
        <w:t>依托</w:t>
      </w:r>
      <w:r>
        <w:rPr>
          <w:rFonts w:hint="eastAsia"/>
          <w:color w:val="auto"/>
          <w:highlight w:val="none"/>
        </w:rPr>
        <w:t>金沙江乌东德水电站水资源综合利用—元谋县姜驿乡提水工程</w:t>
      </w:r>
      <w:r>
        <w:rPr>
          <w:rFonts w:hint="eastAsia"/>
          <w:color w:val="auto"/>
          <w:highlight w:val="none"/>
          <w:lang w:eastAsia="zh-CN"/>
        </w:rPr>
        <w:t>高位水池，</w:t>
      </w:r>
      <w:r>
        <w:rPr>
          <w:color w:val="auto"/>
          <w:highlight w:val="none"/>
        </w:rPr>
        <w:t>本项目与细则有关条款的相符性分析见下表。</w:t>
      </w:r>
    </w:p>
    <w:p>
      <w:pPr>
        <w:pStyle w:val="40"/>
        <w:bidi w:val="0"/>
        <w:rPr>
          <w:color w:val="auto"/>
          <w:highlight w:val="none"/>
        </w:rPr>
      </w:pPr>
      <w:r>
        <w:rPr>
          <w:color w:val="auto"/>
          <w:highlight w:val="none"/>
        </w:rPr>
        <w:t>表</w:t>
      </w:r>
      <w:r>
        <w:rPr>
          <w:rFonts w:hint="eastAsia"/>
          <w:color w:val="auto"/>
          <w:highlight w:val="none"/>
          <w:lang w:val="en-US" w:eastAsia="zh-CN"/>
        </w:rPr>
        <w:t>9.3.4</w:t>
      </w:r>
      <w:r>
        <w:rPr>
          <w:color w:val="auto"/>
          <w:highlight w:val="none"/>
        </w:rPr>
        <w:t>-</w:t>
      </w:r>
      <w:r>
        <w:rPr>
          <w:rFonts w:hint="eastAsia"/>
          <w:color w:val="auto"/>
          <w:highlight w:val="none"/>
          <w:lang w:val="en-US" w:eastAsia="zh-CN"/>
        </w:rPr>
        <w:t>1</w:t>
      </w:r>
      <w:r>
        <w:rPr>
          <w:color w:val="auto"/>
          <w:highlight w:val="none"/>
        </w:rPr>
        <w:t xml:space="preserve">  与长江办〔2022〕7号符合性分析表</w:t>
      </w:r>
    </w:p>
    <w:tbl>
      <w:tblPr>
        <w:tblStyle w:val="57"/>
        <w:tblW w:w="501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61"/>
        <w:gridCol w:w="3371"/>
        <w:gridCol w:w="3016"/>
        <w:gridCol w:w="129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2" w:hRule="atLeast"/>
          <w:jc w:val="center"/>
        </w:trPr>
        <w:tc>
          <w:tcPr>
            <w:tcW w:w="661" w:type="dxa"/>
            <w:vAlign w:val="center"/>
          </w:tcPr>
          <w:p>
            <w:pPr>
              <w:pStyle w:val="42"/>
              <w:bidi w:val="0"/>
              <w:rPr>
                <w:color w:val="auto"/>
                <w:highlight w:val="none"/>
              </w:rPr>
            </w:pPr>
            <w:r>
              <w:rPr>
                <w:color w:val="auto"/>
                <w:highlight w:val="none"/>
              </w:rPr>
              <w:t>序号</w:t>
            </w:r>
          </w:p>
        </w:tc>
        <w:tc>
          <w:tcPr>
            <w:tcW w:w="3369" w:type="dxa"/>
            <w:vAlign w:val="center"/>
          </w:tcPr>
          <w:p>
            <w:pPr>
              <w:pStyle w:val="42"/>
              <w:bidi w:val="0"/>
              <w:rPr>
                <w:color w:val="auto"/>
                <w:highlight w:val="none"/>
              </w:rPr>
            </w:pPr>
            <w:r>
              <w:rPr>
                <w:color w:val="auto"/>
                <w:highlight w:val="none"/>
              </w:rPr>
              <w:t>长江办〔2022〕7号相关要求</w:t>
            </w:r>
          </w:p>
        </w:tc>
        <w:tc>
          <w:tcPr>
            <w:tcW w:w="3014" w:type="dxa"/>
            <w:vAlign w:val="center"/>
          </w:tcPr>
          <w:p>
            <w:pPr>
              <w:pStyle w:val="42"/>
              <w:bidi w:val="0"/>
              <w:rPr>
                <w:color w:val="auto"/>
                <w:highlight w:val="none"/>
              </w:rPr>
            </w:pPr>
            <w:r>
              <w:rPr>
                <w:color w:val="auto"/>
                <w:highlight w:val="none"/>
              </w:rPr>
              <w:t>本环评情况</w:t>
            </w:r>
          </w:p>
        </w:tc>
        <w:tc>
          <w:tcPr>
            <w:tcW w:w="1293" w:type="dxa"/>
            <w:vAlign w:val="center"/>
          </w:tcPr>
          <w:p>
            <w:pPr>
              <w:pStyle w:val="42"/>
              <w:bidi w:val="0"/>
              <w:rPr>
                <w:color w:val="auto"/>
                <w:highlight w:val="none"/>
              </w:rPr>
            </w:pPr>
            <w:r>
              <w:rPr>
                <w:color w:val="auto"/>
                <w:highlight w:val="none"/>
              </w:rPr>
              <w:t>符合性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4" w:hRule="atLeast"/>
          <w:jc w:val="center"/>
        </w:trPr>
        <w:tc>
          <w:tcPr>
            <w:tcW w:w="661" w:type="dxa"/>
            <w:vAlign w:val="center"/>
          </w:tcPr>
          <w:p>
            <w:pPr>
              <w:pStyle w:val="42"/>
              <w:bidi w:val="0"/>
              <w:jc w:val="center"/>
              <w:rPr>
                <w:rFonts w:hint="eastAsia" w:eastAsia="宋"/>
                <w:color w:val="auto"/>
                <w:highlight w:val="none"/>
                <w:lang w:eastAsia="zh-CN"/>
              </w:rPr>
            </w:pPr>
            <w:r>
              <w:rPr>
                <w:rFonts w:hint="eastAsia"/>
                <w:color w:val="auto"/>
                <w:highlight w:val="none"/>
                <w:lang w:val="en-US" w:eastAsia="zh-CN"/>
              </w:rPr>
              <w:t>1</w:t>
            </w:r>
          </w:p>
        </w:tc>
        <w:tc>
          <w:tcPr>
            <w:tcW w:w="3369" w:type="dxa"/>
            <w:vAlign w:val="center"/>
          </w:tcPr>
          <w:p>
            <w:pPr>
              <w:pStyle w:val="42"/>
              <w:bidi w:val="0"/>
              <w:jc w:val="center"/>
              <w:rPr>
                <w:color w:val="auto"/>
                <w:highlight w:val="none"/>
              </w:rPr>
            </w:pPr>
            <w:r>
              <w:rPr>
                <w:color w:val="auto"/>
                <w:highlight w:val="none"/>
              </w:rPr>
              <w:t>禁止在自然保护区核心区、缓冲区的岸线 和河段范围内投资建设旅游和生产经营项目。禁止在风景名胜区核心景区的岸线和河段范围内投资建设与风景名胜资源保护无关的项目。</w:t>
            </w:r>
          </w:p>
        </w:tc>
        <w:tc>
          <w:tcPr>
            <w:tcW w:w="3014" w:type="dxa"/>
            <w:vAlign w:val="center"/>
          </w:tcPr>
          <w:p>
            <w:pPr>
              <w:pStyle w:val="42"/>
              <w:bidi w:val="0"/>
              <w:jc w:val="both"/>
              <w:rPr>
                <w:color w:val="auto"/>
                <w:highlight w:val="none"/>
              </w:rPr>
            </w:pPr>
            <w:r>
              <w:rPr>
                <w:color w:val="auto"/>
                <w:highlight w:val="none"/>
              </w:rPr>
              <w:t>本项目取水口涉及元谋风景名胜区</w:t>
            </w:r>
            <w:r>
              <w:rPr>
                <w:rFonts w:hint="eastAsia"/>
                <w:color w:val="auto"/>
                <w:highlight w:val="none"/>
                <w:lang w:eastAsia="zh-CN"/>
              </w:rPr>
              <w:t>一般</w:t>
            </w:r>
            <w:r>
              <w:rPr>
                <w:color w:val="auto"/>
                <w:highlight w:val="none"/>
              </w:rPr>
              <w:t>景区，占地仅0.1275hm²</w:t>
            </w:r>
            <w:r>
              <w:rPr>
                <w:rFonts w:hint="eastAsia" w:ascii="宋体" w:hAnsi="宋体" w:eastAsia="宋体" w:cs="宋体"/>
                <w:color w:val="auto"/>
                <w:highlight w:val="none"/>
              </w:rPr>
              <w:t>,</w:t>
            </w:r>
            <w:r>
              <w:rPr>
                <w:color w:val="auto"/>
                <w:highlight w:val="none"/>
              </w:rPr>
              <w:t xml:space="preserve"> 项目区为金沙江及峡谷沿线的局部区域，不属于金沙江及峡谷的典型景观，视域影响范围相对于整个金沙江、金沙江峡谷景观影响较小。本项目为水利民生项目，不属于旅游和生产经营项目。不会破坏风景名胜内资源。同时楚雄州林草局已同意 项目选址方案。</w:t>
            </w:r>
          </w:p>
        </w:tc>
        <w:tc>
          <w:tcPr>
            <w:tcW w:w="1293" w:type="dxa"/>
            <w:vAlign w:val="center"/>
          </w:tcPr>
          <w:p>
            <w:pPr>
              <w:pStyle w:val="42"/>
              <w:bidi w:val="0"/>
              <w:rPr>
                <w:color w:val="auto"/>
                <w:highlight w:val="none"/>
              </w:rPr>
            </w:pPr>
            <w:r>
              <w:rPr>
                <w:color w:val="auto"/>
                <w:highlight w:val="none"/>
              </w:rPr>
              <w:t>符合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3" w:hRule="atLeast"/>
          <w:jc w:val="center"/>
        </w:trPr>
        <w:tc>
          <w:tcPr>
            <w:tcW w:w="661" w:type="dxa"/>
            <w:vAlign w:val="center"/>
          </w:tcPr>
          <w:p>
            <w:pPr>
              <w:pStyle w:val="42"/>
              <w:bidi w:val="0"/>
              <w:rPr>
                <w:rFonts w:hint="eastAsia" w:eastAsia="宋"/>
                <w:color w:val="auto"/>
                <w:highlight w:val="none"/>
                <w:lang w:eastAsia="zh-CN"/>
              </w:rPr>
            </w:pPr>
            <w:r>
              <w:rPr>
                <w:rFonts w:hint="eastAsia"/>
                <w:color w:val="auto"/>
                <w:highlight w:val="none"/>
                <w:lang w:val="en-US" w:eastAsia="zh-CN"/>
              </w:rPr>
              <w:t>2</w:t>
            </w:r>
          </w:p>
        </w:tc>
        <w:tc>
          <w:tcPr>
            <w:tcW w:w="3369" w:type="dxa"/>
            <w:vAlign w:val="center"/>
          </w:tcPr>
          <w:p>
            <w:pPr>
              <w:pStyle w:val="42"/>
              <w:bidi w:val="0"/>
              <w:rPr>
                <w:color w:val="auto"/>
                <w:highlight w:val="none"/>
              </w:rPr>
            </w:pPr>
            <w:r>
              <w:rPr>
                <w:color w:val="auto"/>
                <w:highlight w:val="none"/>
              </w:rPr>
              <w:t>禁止未经许可在长江干支流及湖泊新设、改设或扩大排污口。</w:t>
            </w:r>
          </w:p>
        </w:tc>
        <w:tc>
          <w:tcPr>
            <w:tcW w:w="3014" w:type="dxa"/>
            <w:vAlign w:val="center"/>
          </w:tcPr>
          <w:p>
            <w:pPr>
              <w:pStyle w:val="42"/>
              <w:bidi w:val="0"/>
              <w:rPr>
                <w:color w:val="auto"/>
                <w:highlight w:val="none"/>
              </w:rPr>
            </w:pPr>
            <w:r>
              <w:rPr>
                <w:color w:val="auto"/>
                <w:highlight w:val="none"/>
              </w:rPr>
              <w:t>本项目不设置排污口</w:t>
            </w:r>
          </w:p>
        </w:tc>
        <w:tc>
          <w:tcPr>
            <w:tcW w:w="1293" w:type="dxa"/>
            <w:vAlign w:val="center"/>
          </w:tcPr>
          <w:p>
            <w:pPr>
              <w:pStyle w:val="42"/>
              <w:bidi w:val="0"/>
              <w:rPr>
                <w:color w:val="auto"/>
                <w:highlight w:val="none"/>
              </w:rPr>
            </w:pPr>
            <w:r>
              <w:rPr>
                <w:color w:val="auto"/>
                <w:highlight w:val="none"/>
              </w:rPr>
              <w:t>符合</w:t>
            </w:r>
          </w:p>
        </w:tc>
      </w:tr>
    </w:tbl>
    <w:p>
      <w:pPr>
        <w:spacing w:line="98" w:lineRule="exact"/>
        <w:rPr>
          <w:color w:val="auto"/>
          <w:highlight w:val="none"/>
        </w:rPr>
      </w:pPr>
    </w:p>
    <w:p>
      <w:pPr>
        <w:bidi w:val="0"/>
        <w:ind w:firstLine="480" w:firstLineChars="200"/>
        <w:rPr>
          <w:rFonts w:hint="eastAsia"/>
          <w:color w:val="auto"/>
          <w:lang w:val="en-US" w:eastAsia="zh-CN"/>
        </w:rPr>
      </w:pPr>
      <w:bookmarkStart w:id="932" w:name="_Toc5716"/>
      <w:r>
        <w:rPr>
          <w:rFonts w:hint="eastAsia"/>
          <w:color w:val="auto"/>
          <w:lang w:val="en-US" w:eastAsia="zh-CN"/>
        </w:rPr>
        <w:t>因此，本项目的建设符合《长江经济带发展负面清单指南(试行，2022 年版)》（长江办〔2022〕7 号）的要求。</w:t>
      </w:r>
    </w:p>
    <w:p>
      <w:pPr>
        <w:pStyle w:val="4"/>
        <w:numPr>
          <w:ilvl w:val="2"/>
          <w:numId w:val="2"/>
        </w:numPr>
        <w:tabs>
          <w:tab w:val="left" w:pos="420"/>
        </w:tabs>
        <w:bidi w:val="0"/>
        <w:rPr>
          <w:rFonts w:hint="default"/>
          <w:color w:val="auto"/>
          <w:lang w:val="en-US" w:eastAsia="zh-CN"/>
        </w:rPr>
      </w:pPr>
      <w:bookmarkStart w:id="933" w:name="_Toc25610"/>
      <w:bookmarkStart w:id="934" w:name="_Toc30029"/>
      <w:bookmarkStart w:id="935" w:name="_Toc3999"/>
      <w:r>
        <w:rPr>
          <w:rFonts w:hint="eastAsia"/>
          <w:color w:val="auto"/>
          <w:lang w:val="en-US" w:eastAsia="zh-CN"/>
        </w:rPr>
        <w:t>与《长江经济带生态环境保护规划》（环规财〔2017]88号）符合性分析</w:t>
      </w:r>
      <w:bookmarkEnd w:id="933"/>
      <w:bookmarkEnd w:id="934"/>
      <w:bookmarkEnd w:id="935"/>
    </w:p>
    <w:p>
      <w:pPr>
        <w:bidi w:val="0"/>
        <w:rPr>
          <w:color w:val="auto"/>
        </w:rPr>
      </w:pPr>
      <w:r>
        <w:rPr>
          <w:color w:val="auto"/>
        </w:rPr>
        <w:t>①规划概括</w:t>
      </w:r>
    </w:p>
    <w:p>
      <w:pPr>
        <w:bidi w:val="0"/>
        <w:ind w:firstLine="480" w:firstLineChars="200"/>
        <w:rPr>
          <w:color w:val="auto"/>
        </w:rPr>
      </w:pPr>
      <w:r>
        <w:rPr>
          <w:color w:val="auto"/>
        </w:rPr>
        <w:t>长江经济带覆盖上海、江苏、浙江、安徽、江西、湖北、湖南、重庆、四川、贵州、云南等11省市(以下简称11省市)，面积约205万平方公里，人口和生产总值均超过全国的40%，是我国经济重心所在、活力所在，也是中华民族永续发展的重要支撑。历经多年开发建设，传统的经济发展方式仍未根本转变，生态环境状况形势严峻。随着长江经济带发展战略全面实施和生态文明建设加快推进，要把生态环境保护摆上优先地位，用改革创新的办法抓长江生态保护，确保一江清水绵延后世。</w:t>
      </w:r>
    </w:p>
    <w:p>
      <w:pPr>
        <w:bidi w:val="0"/>
        <w:ind w:firstLine="480" w:firstLineChars="200"/>
        <w:rPr>
          <w:color w:val="auto"/>
        </w:rPr>
      </w:pPr>
      <w:r>
        <w:rPr>
          <w:color w:val="auto"/>
        </w:rPr>
        <w:t>统筹流域水资源开发利用。重庆、贵州、云南等省市水利基础设施建设要与生态环境保护相协调，落实生态环境保护措施，加快水资源配置工程建设，解决部分地区工程型缺水问题，提升城乡供水保障。努力恢复长江下游地区百湖千田万沟塘的容水纳水能力，加强污水深度处理，加大再生水开发利用力度，促进解决长江口、平原河网等局部地区缺水问题。</w:t>
      </w:r>
    </w:p>
    <w:p>
      <w:pPr>
        <w:bidi w:val="0"/>
        <w:ind w:firstLine="480" w:firstLineChars="200"/>
        <w:rPr>
          <w:color w:val="auto"/>
        </w:rPr>
      </w:pPr>
      <w:r>
        <w:rPr>
          <w:color w:val="auto"/>
        </w:rPr>
        <w:t>通过本工程的建设可改善元谋县姜驿</w:t>
      </w:r>
      <w:r>
        <w:rPr>
          <w:rFonts w:hint="eastAsia"/>
          <w:color w:val="auto"/>
          <w:lang w:val="en-US" w:eastAsia="zh-CN"/>
        </w:rPr>
        <w:t>3.49</w:t>
      </w:r>
      <w:r>
        <w:rPr>
          <w:color w:val="auto"/>
        </w:rPr>
        <w:t>万亩现有耕园地的灌溉用水问题，新增灌溉面积</w:t>
      </w:r>
      <w:r>
        <w:rPr>
          <w:rFonts w:hint="eastAsia"/>
          <w:color w:val="auto"/>
          <w:lang w:val="en-US" w:eastAsia="zh-CN"/>
        </w:rPr>
        <w:t>3.49</w:t>
      </w:r>
      <w:r>
        <w:rPr>
          <w:color w:val="auto"/>
        </w:rPr>
        <w:t>万亩，改善姜驿乡13549人的人居生活条件，提高城乡生活供水保证率至95%，提高高效节水灌区农业供水保证率至90%。能有效解决元谋县江北片区土地开发和发展高效农业的缺水问题。</w:t>
      </w:r>
    </w:p>
    <w:p>
      <w:pPr>
        <w:bidi w:val="0"/>
        <w:ind w:firstLine="480" w:firstLineChars="200"/>
        <w:rPr>
          <w:color w:val="auto"/>
        </w:rPr>
      </w:pPr>
      <w:r>
        <w:rPr>
          <w:color w:val="auto"/>
        </w:rPr>
        <w:t>符合《长江经济带生态环境保护规划》（环规财</w:t>
      </w:r>
      <w:r>
        <w:rPr>
          <w:rFonts w:hint="eastAsia"/>
          <w:color w:val="auto"/>
          <w:lang w:eastAsia="zh-CN"/>
        </w:rPr>
        <w:t>〔</w:t>
      </w:r>
      <w:r>
        <w:rPr>
          <w:color w:val="auto"/>
        </w:rPr>
        <w:t>2017]88号）的相关要求。</w:t>
      </w:r>
    </w:p>
    <w:p>
      <w:pPr>
        <w:bidi w:val="0"/>
        <w:rPr>
          <w:color w:val="auto"/>
        </w:rPr>
      </w:pPr>
      <w:r>
        <w:rPr>
          <w:color w:val="auto"/>
        </w:rPr>
        <w:t>②规划环评开展情况及主要结论</w:t>
      </w:r>
    </w:p>
    <w:p>
      <w:pPr>
        <w:bidi w:val="0"/>
        <w:ind w:firstLine="480" w:firstLineChars="200"/>
        <w:rPr>
          <w:rFonts w:hint="eastAsia"/>
          <w:color w:val="auto"/>
          <w:highlight w:val="none"/>
          <w:lang w:eastAsia="zh-CN"/>
        </w:rPr>
      </w:pPr>
      <w:r>
        <w:rPr>
          <w:color w:val="auto"/>
        </w:rPr>
        <w:t>经了解，《长江经济带生态环境保护规划》未开展流域规划环境影响评价。</w:t>
      </w:r>
      <w:bookmarkEnd w:id="932"/>
    </w:p>
    <w:p>
      <w:pPr>
        <w:pStyle w:val="4"/>
        <w:numPr>
          <w:ilvl w:val="2"/>
          <w:numId w:val="2"/>
        </w:numPr>
        <w:tabs>
          <w:tab w:val="left" w:pos="420"/>
        </w:tabs>
        <w:bidi w:val="0"/>
        <w:rPr>
          <w:rFonts w:hint="eastAsia"/>
          <w:color w:val="auto"/>
          <w:highlight w:val="none"/>
          <w:lang w:eastAsia="zh-CN"/>
        </w:rPr>
      </w:pPr>
      <w:bookmarkStart w:id="936" w:name="_Toc17830"/>
      <w:bookmarkStart w:id="937" w:name="_Toc27299"/>
      <w:bookmarkStart w:id="938" w:name="_Toc27178"/>
      <w:bookmarkStart w:id="939" w:name="_Toc21526"/>
      <w:r>
        <w:rPr>
          <w:rFonts w:hint="eastAsia"/>
          <w:color w:val="auto"/>
          <w:highlight w:val="none"/>
          <w:lang w:eastAsia="zh-CN"/>
        </w:rPr>
        <w:t>与《云南省生物多样性保护战略与行动计划（2012-2030 年）》符合性分析</w:t>
      </w:r>
      <w:bookmarkEnd w:id="936"/>
      <w:bookmarkEnd w:id="937"/>
      <w:bookmarkEnd w:id="938"/>
      <w:bookmarkEnd w:id="939"/>
    </w:p>
    <w:p>
      <w:pPr>
        <w:ind w:firstLine="480" w:firstLineChars="200"/>
        <w:rPr>
          <w:rFonts w:hint="eastAsia"/>
          <w:color w:val="auto"/>
          <w:highlight w:val="none"/>
          <w:lang w:eastAsia="zh-CN"/>
        </w:rPr>
      </w:pPr>
      <w:r>
        <w:rPr>
          <w:rFonts w:hint="eastAsia"/>
          <w:color w:val="auto"/>
          <w:highlight w:val="none"/>
          <w:lang w:eastAsia="zh-CN"/>
        </w:rPr>
        <w:t>为进一步加强云南生物多样性保护工作，积极推进生态文明建设，云南省生物多样性保护联席会议组织编制了《云南省生物多样性保护战略与行动计划（2012-2030年）》，划定了生物多样性保护的6个优先区域，提出了9大保护优先领域和34项行动。2013年2月5日云南省人民政府十二届第二次常务会议审议通过了《云南省生物多样性保护战略与行动计划（2012-2030年）》。经省政府同意，省环保厅印发了《云南省生物多样性保护战略与行动计划（2012-2030年）》通知（云环通[2013]73号），作为我省未来20年生物多样性资源有效保护和可持续利用的指导性文件。</w:t>
      </w:r>
    </w:p>
    <w:p>
      <w:pPr>
        <w:ind w:firstLine="480" w:firstLineChars="200"/>
        <w:rPr>
          <w:rFonts w:hint="eastAsia"/>
          <w:color w:val="auto"/>
          <w:highlight w:val="none"/>
          <w:lang w:eastAsia="zh-CN"/>
        </w:rPr>
      </w:pPr>
      <w:r>
        <w:rPr>
          <w:rFonts w:hint="eastAsia"/>
          <w:color w:val="auto"/>
          <w:highlight w:val="none"/>
          <w:lang w:eastAsia="zh-CN"/>
        </w:rPr>
        <w:t>本项目不涉及云南生物多样性保护的6个优先区域区划范围，工程建设不会对划定的生物多样性保护优先区域造成不利影响。本工程属于灌区输水工程，采取输水管道输水，占地范围有限，对动植物及其生境的影响相对较小，不会对生物多样性造成直接影响，因此本工程的建设与《云南省生物多样性保护战略与行动计划（2012-2030 年）》是相符的。</w:t>
      </w:r>
    </w:p>
    <w:p>
      <w:pPr>
        <w:pStyle w:val="4"/>
        <w:numPr>
          <w:ilvl w:val="2"/>
          <w:numId w:val="2"/>
        </w:numPr>
        <w:tabs>
          <w:tab w:val="left" w:pos="420"/>
        </w:tabs>
        <w:bidi w:val="0"/>
        <w:rPr>
          <w:rFonts w:hint="eastAsia"/>
          <w:color w:val="0000FF"/>
          <w:highlight w:val="none"/>
          <w:lang w:eastAsia="zh-CN"/>
        </w:rPr>
      </w:pPr>
      <w:r>
        <w:rPr>
          <w:rFonts w:hint="eastAsia"/>
          <w:color w:val="0000FF"/>
          <w:highlight w:val="none"/>
          <w:lang w:eastAsia="zh-CN"/>
        </w:rPr>
        <w:t>云南省“十四五”兴水润滇工程规划</w:t>
      </w:r>
      <w:r>
        <w:rPr>
          <w:rFonts w:hint="eastAsia"/>
          <w:color w:val="0000FF"/>
          <w:highlight w:val="none"/>
          <w:lang w:val="en-US" w:eastAsia="zh-CN"/>
        </w:rPr>
        <w:t>的符合性分析</w:t>
      </w:r>
    </w:p>
    <w:p>
      <w:pPr>
        <w:ind w:firstLine="480" w:firstLineChars="200"/>
        <w:rPr>
          <w:rFonts w:hint="default"/>
          <w:color w:val="0000FF"/>
          <w:highlight w:val="none"/>
          <w:lang w:val="en-US" w:eastAsia="zh-CN"/>
        </w:rPr>
      </w:pPr>
      <w:r>
        <w:rPr>
          <w:rFonts w:hint="eastAsia"/>
          <w:color w:val="0000FF"/>
          <w:highlight w:val="none"/>
          <w:lang w:val="en-US" w:eastAsia="zh-CN"/>
        </w:rPr>
        <w:t>本项目与“</w:t>
      </w:r>
      <w:r>
        <w:rPr>
          <w:rFonts w:hint="eastAsia"/>
          <w:color w:val="0000FF"/>
          <w:highlight w:val="none"/>
          <w:lang w:eastAsia="zh-CN"/>
        </w:rPr>
        <w:t>云南省“十四五”兴水润滇工程规划</w:t>
      </w:r>
      <w:r>
        <w:rPr>
          <w:rFonts w:hint="eastAsia"/>
          <w:color w:val="0000FF"/>
          <w:highlight w:val="none"/>
          <w:lang w:val="en-US" w:eastAsia="zh-CN"/>
        </w:rPr>
        <w:t>”主要目标的符合性分析如下：</w:t>
      </w:r>
    </w:p>
    <w:p>
      <w:pPr>
        <w:pStyle w:val="40"/>
        <w:bidi w:val="0"/>
        <w:rPr>
          <w:color w:val="0000FF"/>
          <w:highlight w:val="none"/>
        </w:rPr>
      </w:pPr>
      <w:r>
        <w:rPr>
          <w:color w:val="0000FF"/>
          <w:highlight w:val="none"/>
        </w:rPr>
        <w:t>表</w:t>
      </w:r>
      <w:r>
        <w:rPr>
          <w:rFonts w:hint="eastAsia"/>
          <w:color w:val="0000FF"/>
          <w:highlight w:val="none"/>
          <w:lang w:val="en-US" w:eastAsia="zh-CN"/>
        </w:rPr>
        <w:t>9.3.4</w:t>
      </w:r>
      <w:r>
        <w:rPr>
          <w:color w:val="0000FF"/>
          <w:highlight w:val="none"/>
        </w:rPr>
        <w:t>-</w:t>
      </w:r>
      <w:r>
        <w:rPr>
          <w:rFonts w:hint="eastAsia"/>
          <w:color w:val="0000FF"/>
          <w:highlight w:val="none"/>
          <w:lang w:val="en-US" w:eastAsia="zh-CN"/>
        </w:rPr>
        <w:t>2</w:t>
      </w:r>
      <w:r>
        <w:rPr>
          <w:color w:val="0000FF"/>
          <w:highlight w:val="none"/>
        </w:rPr>
        <w:t xml:space="preserve">  与</w:t>
      </w:r>
      <w:r>
        <w:rPr>
          <w:rFonts w:hint="eastAsia"/>
          <w:color w:val="0000FF"/>
          <w:highlight w:val="none"/>
        </w:rPr>
        <w:t>云南省“十四五”兴水润滇工程规划</w:t>
      </w:r>
      <w:r>
        <w:rPr>
          <w:rFonts w:hint="eastAsia"/>
          <w:color w:val="0000FF"/>
          <w:highlight w:val="none"/>
          <w:lang w:val="en-US" w:eastAsia="zh-CN"/>
        </w:rPr>
        <w:t>目标</w:t>
      </w:r>
      <w:r>
        <w:rPr>
          <w:color w:val="0000FF"/>
          <w:highlight w:val="none"/>
        </w:rPr>
        <w:t>符合性分析表</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9"/>
        <w:gridCol w:w="4997"/>
        <w:gridCol w:w="1608"/>
        <w:gridCol w:w="10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6" w:type="dxa"/>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vertAlign w:val="baseline"/>
                <w:lang w:val="en-US" w:eastAsia="zh-CN"/>
              </w:rPr>
            </w:pPr>
            <w:r>
              <w:rPr>
                <w:rFonts w:hint="eastAsia"/>
                <w:color w:val="0000FF"/>
                <w:sz w:val="21"/>
                <w:szCs w:val="21"/>
                <w:highlight w:val="none"/>
                <w:vertAlign w:val="baseline"/>
                <w:lang w:val="en-US" w:eastAsia="zh-CN"/>
              </w:rPr>
              <w:t>主要目标</w:t>
            </w:r>
          </w:p>
        </w:tc>
        <w:tc>
          <w:tcPr>
            <w:tcW w:w="160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vertAlign w:val="baseline"/>
                <w:lang w:val="en-US" w:eastAsia="zh-CN"/>
              </w:rPr>
            </w:pPr>
            <w:r>
              <w:rPr>
                <w:rFonts w:hint="eastAsia"/>
                <w:color w:val="0000FF"/>
                <w:sz w:val="21"/>
                <w:szCs w:val="21"/>
                <w:highlight w:val="none"/>
                <w:vertAlign w:val="baseline"/>
                <w:lang w:val="en-US" w:eastAsia="zh-CN"/>
              </w:rPr>
              <w:t>本项目情况</w:t>
            </w:r>
          </w:p>
        </w:tc>
        <w:tc>
          <w:tcPr>
            <w:tcW w:w="105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vertAlign w:val="baseline"/>
                <w:lang w:val="en-US" w:eastAsia="zh-CN"/>
              </w:rPr>
            </w:pPr>
            <w:r>
              <w:rPr>
                <w:rFonts w:hint="eastAsia"/>
                <w:color w:val="0000FF"/>
                <w:sz w:val="21"/>
                <w:szCs w:val="21"/>
                <w:highlight w:val="none"/>
                <w:vertAlign w:val="baseline"/>
                <w:lang w:val="en-US" w:eastAsia="zh-CN"/>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olor w:val="0000FF"/>
                <w:sz w:val="21"/>
                <w:szCs w:val="21"/>
                <w:highlight w:val="none"/>
                <w:vertAlign w:val="baseline"/>
                <w:lang w:eastAsia="zh-CN"/>
              </w:rPr>
            </w:pPr>
            <w:r>
              <w:rPr>
                <w:rFonts w:hint="eastAsia"/>
                <w:color w:val="0000FF"/>
                <w:sz w:val="21"/>
                <w:szCs w:val="21"/>
                <w:highlight w:val="none"/>
                <w:vertAlign w:val="baseline"/>
                <w:lang w:eastAsia="zh-CN"/>
              </w:rPr>
              <w:t>水资源节约集约目标</w:t>
            </w:r>
          </w:p>
        </w:tc>
        <w:tc>
          <w:tcPr>
            <w:tcW w:w="49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color w:val="0000FF"/>
                <w:sz w:val="21"/>
                <w:szCs w:val="21"/>
                <w:highlight w:val="none"/>
                <w:vertAlign w:val="baseline"/>
                <w:lang w:eastAsia="zh-CN"/>
              </w:rPr>
            </w:pPr>
            <w:r>
              <w:rPr>
                <w:rFonts w:hint="eastAsia"/>
                <w:color w:val="0000FF"/>
                <w:sz w:val="21"/>
                <w:szCs w:val="21"/>
                <w:highlight w:val="none"/>
                <w:lang w:eastAsia="zh-CN"/>
              </w:rPr>
              <w:t>水资源刚性约束作用明显增强，节水型社会建设取得明显进展，水资源与人口经济均衡协调发展的格局进一步完善。全省用水总量控制在215亿立方米以内，万元国内生产总值用水量、万元工业增加值用水量较2020年下降15%，农田灌溉水有效利用系数达到0.52。</w:t>
            </w:r>
          </w:p>
        </w:tc>
        <w:tc>
          <w:tcPr>
            <w:tcW w:w="160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vertAlign w:val="baseline"/>
                <w:lang w:val="en-US" w:eastAsia="zh-CN"/>
              </w:rPr>
            </w:pPr>
            <w:r>
              <w:rPr>
                <w:rFonts w:hint="eastAsia"/>
                <w:color w:val="0000FF"/>
                <w:sz w:val="21"/>
                <w:szCs w:val="21"/>
                <w:highlight w:val="none"/>
                <w:vertAlign w:val="baseline"/>
                <w:lang w:val="en-US" w:eastAsia="zh-CN"/>
              </w:rPr>
              <w:t>本项目的建设可解决</w:t>
            </w:r>
            <w:r>
              <w:rPr>
                <w:rFonts w:hint="default"/>
                <w:color w:val="0000FF"/>
                <w:sz w:val="21"/>
                <w:szCs w:val="21"/>
                <w:highlight w:val="none"/>
                <w:lang w:val="en-US" w:eastAsia="zh-CN"/>
              </w:rPr>
              <w:t>3.49万亩耕园地灌溉用水，设计供水规模为760.7万m</w:t>
            </w:r>
            <w:r>
              <w:rPr>
                <w:rFonts w:hint="default"/>
                <w:color w:val="0000FF"/>
                <w:sz w:val="21"/>
                <w:szCs w:val="21"/>
                <w:highlight w:val="none"/>
                <w:vertAlign w:val="superscript"/>
                <w:lang w:val="en-US" w:eastAsia="zh-CN"/>
              </w:rPr>
              <w:t>3</w:t>
            </w:r>
            <w:r>
              <w:rPr>
                <w:rFonts w:hint="default"/>
                <w:color w:val="0000FF"/>
                <w:sz w:val="21"/>
                <w:szCs w:val="21"/>
                <w:highlight w:val="none"/>
                <w:lang w:val="en-US" w:eastAsia="zh-CN"/>
              </w:rPr>
              <w:t>。</w:t>
            </w:r>
            <w:r>
              <w:rPr>
                <w:rFonts w:hint="eastAsia"/>
                <w:color w:val="0000FF"/>
                <w:sz w:val="21"/>
                <w:szCs w:val="21"/>
                <w:highlight w:val="none"/>
                <w:lang w:val="en-US" w:eastAsia="zh-CN"/>
              </w:rPr>
              <w:t>有利于提高农田灌溉有效利用系数。</w:t>
            </w:r>
          </w:p>
        </w:tc>
        <w:tc>
          <w:tcPr>
            <w:tcW w:w="105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vertAlign w:val="baseline"/>
                <w:lang w:val="en-US" w:eastAsia="zh-CN"/>
              </w:rPr>
            </w:pPr>
            <w:r>
              <w:rPr>
                <w:rFonts w:hint="eastAsia"/>
                <w:color w:val="0000FF"/>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olor w:val="0000FF"/>
                <w:sz w:val="21"/>
                <w:szCs w:val="21"/>
                <w:highlight w:val="none"/>
                <w:vertAlign w:val="baseline"/>
                <w:lang w:eastAsia="zh-CN"/>
              </w:rPr>
            </w:pPr>
            <w:r>
              <w:rPr>
                <w:rFonts w:hint="eastAsia"/>
                <w:color w:val="0000FF"/>
                <w:sz w:val="21"/>
                <w:szCs w:val="21"/>
                <w:highlight w:val="none"/>
                <w:lang w:eastAsia="zh-CN"/>
              </w:rPr>
              <w:t>供水安全保障目标</w:t>
            </w:r>
          </w:p>
        </w:tc>
        <w:tc>
          <w:tcPr>
            <w:tcW w:w="49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color w:val="0000FF"/>
                <w:sz w:val="21"/>
                <w:szCs w:val="21"/>
                <w:highlight w:val="none"/>
                <w:vertAlign w:val="baseline"/>
                <w:lang w:eastAsia="zh-CN"/>
              </w:rPr>
            </w:pPr>
            <w:r>
              <w:rPr>
                <w:rFonts w:hint="eastAsia"/>
                <w:color w:val="0000FF"/>
                <w:sz w:val="21"/>
                <w:szCs w:val="21"/>
                <w:highlight w:val="none"/>
                <w:lang w:eastAsia="zh-CN"/>
              </w:rPr>
              <w:t>全省水资源优化配置能力不断提升，城乡供水保障和抗旱应急能力明显增强，基本消除工程性缺水瓶颈，基本消除区域性、大面积干旱。新增蓄水库容23亿立方米、新增供水能力28亿立方米，人均供水能力提高到450立方米以上，供水安全系数达到1.3，农村集中供水率达到97%，农村自来水普及率达到88%，农田有效灌溉率达到45%。</w:t>
            </w:r>
          </w:p>
        </w:tc>
        <w:tc>
          <w:tcPr>
            <w:tcW w:w="160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vertAlign w:val="baseline"/>
                <w:lang w:val="en-US" w:eastAsia="zh-CN"/>
              </w:rPr>
            </w:pPr>
            <w:r>
              <w:rPr>
                <w:rFonts w:hint="eastAsia"/>
                <w:color w:val="0000FF"/>
                <w:sz w:val="21"/>
                <w:szCs w:val="21"/>
                <w:highlight w:val="none"/>
                <w:vertAlign w:val="baseline"/>
                <w:lang w:val="en-US" w:eastAsia="zh-CN"/>
              </w:rPr>
              <w:t>本项目建成后</w:t>
            </w:r>
            <w:r>
              <w:rPr>
                <w:rFonts w:hint="default"/>
                <w:color w:val="0000FF"/>
                <w:sz w:val="21"/>
                <w:szCs w:val="21"/>
                <w:highlight w:val="none"/>
                <w:lang w:val="en-US" w:eastAsia="zh-CN"/>
              </w:rPr>
              <w:t>设计供水规模为760.7万m</w:t>
            </w:r>
            <w:r>
              <w:rPr>
                <w:rFonts w:hint="default"/>
                <w:color w:val="0000FF"/>
                <w:sz w:val="21"/>
                <w:szCs w:val="21"/>
                <w:highlight w:val="none"/>
                <w:vertAlign w:val="superscript"/>
                <w:lang w:val="en-US" w:eastAsia="zh-CN"/>
              </w:rPr>
              <w:t>3</w:t>
            </w:r>
            <w:r>
              <w:rPr>
                <w:rFonts w:hint="eastAsia"/>
                <w:color w:val="0000FF"/>
                <w:sz w:val="21"/>
                <w:szCs w:val="21"/>
                <w:highlight w:val="none"/>
                <w:vertAlign w:val="baseline"/>
                <w:lang w:val="en-US" w:eastAsia="zh-CN"/>
              </w:rPr>
              <w:t>，农业抗行应急能力有所提升，可优秀奥减缓区域干旱现状，提高农田有效灌溉率。</w:t>
            </w:r>
          </w:p>
        </w:tc>
        <w:tc>
          <w:tcPr>
            <w:tcW w:w="105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vertAlign w:val="baseline"/>
                <w:lang w:val="en-US" w:eastAsia="zh-CN"/>
              </w:rPr>
            </w:pPr>
            <w:r>
              <w:rPr>
                <w:rFonts w:hint="eastAsia"/>
                <w:color w:val="0000FF"/>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olor w:val="0000FF"/>
                <w:sz w:val="21"/>
                <w:szCs w:val="21"/>
                <w:highlight w:val="none"/>
                <w:vertAlign w:val="baseline"/>
                <w:lang w:eastAsia="zh-CN"/>
              </w:rPr>
            </w:pPr>
            <w:r>
              <w:rPr>
                <w:rFonts w:hint="eastAsia"/>
                <w:color w:val="0000FF"/>
                <w:sz w:val="21"/>
                <w:szCs w:val="21"/>
                <w:highlight w:val="none"/>
                <w:lang w:eastAsia="zh-CN"/>
              </w:rPr>
              <w:t>防洪减灾目标</w:t>
            </w:r>
          </w:p>
        </w:tc>
        <w:tc>
          <w:tcPr>
            <w:tcW w:w="49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color w:val="0000FF"/>
                <w:sz w:val="21"/>
                <w:szCs w:val="21"/>
                <w:highlight w:val="none"/>
                <w:vertAlign w:val="baseline"/>
                <w:lang w:eastAsia="zh-CN"/>
              </w:rPr>
            </w:pPr>
            <w:r>
              <w:rPr>
                <w:rFonts w:hint="eastAsia"/>
                <w:color w:val="0000FF"/>
                <w:sz w:val="21"/>
                <w:szCs w:val="21"/>
                <w:highlight w:val="none"/>
                <w:lang w:eastAsia="zh-CN"/>
              </w:rPr>
              <w:t>大江大河干流及重要支流重点防洪保护区、中小河流重要河段达到规划确定的防洪标准，县级以上城市和重点经济区防洪排涝能力明显提高，5级及以上江河堤防达标率提高到70%，全面消除现有病险水库安全隐患，山洪灾害防治区监测预警系统和群测群防体系更加完善。</w:t>
            </w:r>
          </w:p>
        </w:tc>
        <w:tc>
          <w:tcPr>
            <w:tcW w:w="160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vertAlign w:val="baseline"/>
                <w:lang w:val="en-US" w:eastAsia="zh-CN"/>
              </w:rPr>
            </w:pPr>
            <w:r>
              <w:rPr>
                <w:rFonts w:hint="eastAsia"/>
                <w:color w:val="0000FF"/>
                <w:sz w:val="21"/>
                <w:szCs w:val="21"/>
                <w:highlight w:val="none"/>
                <w:vertAlign w:val="baseline"/>
                <w:lang w:val="en-US" w:eastAsia="zh-CN"/>
              </w:rPr>
              <w:t>本项目为灌区工程，通过管首调蓄池输水至灌区及受水区4座已建水库。仅向受水区供水不改变水库运行方式，且4座水库不属于病险水库。</w:t>
            </w:r>
          </w:p>
        </w:tc>
        <w:tc>
          <w:tcPr>
            <w:tcW w:w="105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vertAlign w:val="baseline"/>
                <w:lang w:val="en-US" w:eastAsia="zh-CN"/>
              </w:rPr>
            </w:pPr>
            <w:r>
              <w:rPr>
                <w:rFonts w:hint="eastAsia"/>
                <w:color w:val="0000FF"/>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olor w:val="0000FF"/>
                <w:sz w:val="21"/>
                <w:szCs w:val="21"/>
                <w:highlight w:val="none"/>
                <w:vertAlign w:val="baseline"/>
                <w:lang w:eastAsia="zh-CN"/>
              </w:rPr>
            </w:pPr>
            <w:r>
              <w:rPr>
                <w:rFonts w:hint="eastAsia"/>
                <w:color w:val="0000FF"/>
                <w:sz w:val="21"/>
                <w:szCs w:val="21"/>
                <w:highlight w:val="none"/>
                <w:lang w:eastAsia="zh-CN"/>
              </w:rPr>
              <w:t>水生态保护与修复目标</w:t>
            </w:r>
          </w:p>
        </w:tc>
        <w:tc>
          <w:tcPr>
            <w:tcW w:w="49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color w:val="0000FF"/>
                <w:sz w:val="21"/>
                <w:szCs w:val="21"/>
                <w:highlight w:val="none"/>
                <w:vertAlign w:val="baseline"/>
                <w:lang w:eastAsia="zh-CN"/>
              </w:rPr>
            </w:pPr>
            <w:r>
              <w:rPr>
                <w:rFonts w:hint="eastAsia"/>
                <w:color w:val="0000FF"/>
                <w:sz w:val="21"/>
                <w:szCs w:val="21"/>
                <w:highlight w:val="none"/>
                <w:lang w:eastAsia="zh-CN"/>
              </w:rPr>
              <w:t>涉水空间管控制度基本建立，流域面积50平方公里及以上河流和水面面积1平方公里以上湖泊管理范围基本划定。高原湖泊及饮用水水源地等重点区域水源涵养功能明显提升，九大高原湖泊水质稳定向好，赤水河流域（云南段）水生态环境明显改善，实现水清、河畅、岸绿。人为水土流失得到有效控制，重点水土流失区得到有效治理，水土保持率提高到75%以上。</w:t>
            </w:r>
          </w:p>
        </w:tc>
        <w:tc>
          <w:tcPr>
            <w:tcW w:w="160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vertAlign w:val="baseline"/>
                <w:lang w:val="en-US" w:eastAsia="zh-CN"/>
              </w:rPr>
            </w:pPr>
            <w:r>
              <w:rPr>
                <w:rFonts w:hint="eastAsia"/>
                <w:color w:val="0000FF"/>
                <w:sz w:val="21"/>
                <w:szCs w:val="21"/>
                <w:highlight w:val="none"/>
                <w:vertAlign w:val="baseline"/>
                <w:lang w:val="en-US" w:eastAsia="zh-CN"/>
              </w:rPr>
              <w:t>本项目不在流域面积50平方公里及以上河流和水面面积1平方公里以上湖泊管理范围内，不涉及引用水源保护区。</w:t>
            </w:r>
          </w:p>
        </w:tc>
        <w:tc>
          <w:tcPr>
            <w:tcW w:w="105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vertAlign w:val="baseline"/>
                <w:lang w:val="en-US" w:eastAsia="zh-CN"/>
              </w:rPr>
            </w:pPr>
            <w:r>
              <w:rPr>
                <w:rFonts w:hint="eastAsia"/>
                <w:color w:val="0000FF"/>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olor w:val="0000FF"/>
                <w:sz w:val="21"/>
                <w:szCs w:val="21"/>
                <w:highlight w:val="none"/>
                <w:vertAlign w:val="baseline"/>
                <w:lang w:eastAsia="zh-CN"/>
              </w:rPr>
            </w:pPr>
            <w:r>
              <w:rPr>
                <w:rFonts w:hint="eastAsia"/>
                <w:color w:val="0000FF"/>
                <w:sz w:val="21"/>
                <w:szCs w:val="21"/>
                <w:highlight w:val="none"/>
                <w:lang w:eastAsia="zh-CN"/>
              </w:rPr>
              <w:t>涉水事务监管目标。</w:t>
            </w:r>
          </w:p>
        </w:tc>
        <w:tc>
          <w:tcPr>
            <w:tcW w:w="49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color w:val="0000FF"/>
                <w:sz w:val="21"/>
                <w:szCs w:val="21"/>
                <w:highlight w:val="none"/>
                <w:vertAlign w:val="baseline"/>
                <w:lang w:eastAsia="zh-CN"/>
              </w:rPr>
            </w:pPr>
            <w:r>
              <w:rPr>
                <w:rFonts w:hint="eastAsia"/>
                <w:color w:val="0000FF"/>
                <w:sz w:val="21"/>
                <w:szCs w:val="21"/>
                <w:highlight w:val="none"/>
                <w:lang w:eastAsia="zh-CN"/>
              </w:rPr>
              <w:t>逐步健全监管体制机制，涉水事务监管能力明显提升。河（湖）长制深入推进，主要河湖水岸线得到有效管控，重要河湖水域岸线监管率达到80%以上。强化最严格水资源管理考核，水资源节约、开发、利用、保护、配置、调度等各环节得到全面监管，基本实现大中型水利工程安全监测全覆盖，水工程安全风险防控能力明显提升。</w:t>
            </w:r>
          </w:p>
        </w:tc>
        <w:tc>
          <w:tcPr>
            <w:tcW w:w="160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vertAlign w:val="baseline"/>
                <w:lang w:val="en-US" w:eastAsia="zh-CN"/>
              </w:rPr>
            </w:pPr>
            <w:r>
              <w:rPr>
                <w:rFonts w:hint="eastAsia"/>
                <w:color w:val="0000FF"/>
                <w:sz w:val="21"/>
                <w:szCs w:val="21"/>
                <w:highlight w:val="none"/>
                <w:vertAlign w:val="baseline"/>
                <w:lang w:val="en-US" w:eastAsia="zh-CN"/>
              </w:rPr>
              <w:t>本项目配套建设灌区信息化系统，</w:t>
            </w:r>
            <w:r>
              <w:rPr>
                <w:rFonts w:hint="eastAsia"/>
                <w:color w:val="0000FF"/>
                <w:sz w:val="21"/>
                <w:szCs w:val="21"/>
                <w:highlight w:val="none"/>
                <w:vertAlign w:val="baseline"/>
                <w:lang w:eastAsia="zh-CN"/>
              </w:rPr>
              <w:t>为灌区提供多维信息融合、全面决策服务支持和可持续可扩展的应用信息服务平台，</w:t>
            </w:r>
            <w:r>
              <w:rPr>
                <w:rFonts w:hint="eastAsia"/>
                <w:color w:val="0000FF"/>
                <w:sz w:val="21"/>
                <w:szCs w:val="21"/>
                <w:highlight w:val="none"/>
                <w:vertAlign w:val="baseline"/>
                <w:lang w:val="en-US" w:eastAsia="zh-CN"/>
              </w:rPr>
              <w:t>有效监控项目运行。</w:t>
            </w:r>
          </w:p>
        </w:tc>
        <w:tc>
          <w:tcPr>
            <w:tcW w:w="105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vertAlign w:val="baseline"/>
                <w:lang w:val="en-US" w:eastAsia="zh-CN"/>
              </w:rPr>
            </w:pPr>
            <w:r>
              <w:rPr>
                <w:rFonts w:hint="eastAsia"/>
                <w:color w:val="0000FF"/>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olor w:val="0000FF"/>
                <w:sz w:val="21"/>
                <w:szCs w:val="21"/>
                <w:highlight w:val="none"/>
                <w:vertAlign w:val="baseline"/>
                <w:lang w:eastAsia="zh-CN"/>
              </w:rPr>
            </w:pPr>
            <w:r>
              <w:rPr>
                <w:rFonts w:hint="eastAsia"/>
                <w:color w:val="0000FF"/>
                <w:sz w:val="21"/>
                <w:szCs w:val="21"/>
                <w:highlight w:val="none"/>
                <w:vertAlign w:val="baseline"/>
                <w:lang w:eastAsia="zh-CN"/>
              </w:rPr>
              <w:t>水利改革创新目标。</w:t>
            </w:r>
          </w:p>
        </w:tc>
        <w:tc>
          <w:tcPr>
            <w:tcW w:w="499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color w:val="0000FF"/>
                <w:sz w:val="21"/>
                <w:szCs w:val="21"/>
                <w:highlight w:val="none"/>
                <w:vertAlign w:val="baseline"/>
                <w:lang w:eastAsia="zh-CN"/>
              </w:rPr>
            </w:pPr>
            <w:r>
              <w:rPr>
                <w:rFonts w:hint="eastAsia"/>
                <w:color w:val="0000FF"/>
                <w:sz w:val="21"/>
                <w:szCs w:val="21"/>
                <w:highlight w:val="none"/>
                <w:vertAlign w:val="baseline"/>
                <w:lang w:eastAsia="zh-CN"/>
              </w:rPr>
              <w:t>建立政府支持、市场运作的水利发展模式。涉水法律法规体系不断完善。全面明晰水利工程产权，全面实施农村供水工程水费收缴，全面推广农田水利水价改革试点经验。水权水市场改革取得突破。通过水务一体化、水利管理体制等方面的改革，全面实行水利工程“投融建管营”一体化。水利创新能力明显增强。</w:t>
            </w:r>
          </w:p>
        </w:tc>
        <w:tc>
          <w:tcPr>
            <w:tcW w:w="1608"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color w:val="0000FF"/>
                <w:sz w:val="21"/>
                <w:szCs w:val="21"/>
                <w:highlight w:val="none"/>
                <w:vertAlign w:val="baseline"/>
                <w:lang w:val="en-US" w:eastAsia="zh-CN"/>
              </w:rPr>
            </w:pPr>
            <w:r>
              <w:rPr>
                <w:rFonts w:hint="eastAsia"/>
                <w:color w:val="0000FF"/>
                <w:sz w:val="21"/>
                <w:szCs w:val="21"/>
                <w:highlight w:val="none"/>
                <w:vertAlign w:val="baseline"/>
                <w:lang w:val="en-US" w:eastAsia="zh-CN"/>
              </w:rPr>
              <w:t>本项目为政府支持，建</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vertAlign w:val="baseline"/>
                <w:lang w:val="en-US" w:eastAsia="zh-CN"/>
              </w:rPr>
            </w:pPr>
            <w:r>
              <w:rPr>
                <w:rFonts w:hint="eastAsia"/>
                <w:color w:val="0000FF"/>
                <w:sz w:val="21"/>
                <w:szCs w:val="21"/>
                <w:highlight w:val="none"/>
                <w:vertAlign w:val="baseline"/>
                <w:lang w:val="en-US" w:eastAsia="zh-CN"/>
              </w:rPr>
              <w:t>立“水管单位＋用水户协会＋用水户”的新型管理模式。</w:t>
            </w:r>
          </w:p>
        </w:tc>
        <w:tc>
          <w:tcPr>
            <w:tcW w:w="1057"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color w:val="0000FF"/>
                <w:sz w:val="21"/>
                <w:szCs w:val="21"/>
                <w:highlight w:val="none"/>
                <w:vertAlign w:val="baseline"/>
                <w:lang w:val="en-US" w:eastAsia="zh-CN"/>
              </w:rPr>
            </w:pPr>
            <w:r>
              <w:rPr>
                <w:rFonts w:hint="eastAsia"/>
                <w:color w:val="0000FF"/>
                <w:sz w:val="21"/>
                <w:szCs w:val="21"/>
                <w:highlight w:val="none"/>
                <w:vertAlign w:val="baseline"/>
                <w:lang w:val="en-US" w:eastAsia="zh-CN"/>
              </w:rPr>
              <w:t>符合</w:t>
            </w:r>
          </w:p>
        </w:tc>
      </w:tr>
    </w:tbl>
    <w:p>
      <w:pPr>
        <w:pStyle w:val="4"/>
        <w:numPr>
          <w:ilvl w:val="2"/>
          <w:numId w:val="2"/>
        </w:numPr>
        <w:tabs>
          <w:tab w:val="left" w:pos="420"/>
        </w:tabs>
        <w:bidi w:val="0"/>
        <w:rPr>
          <w:rFonts w:hint="eastAsia"/>
          <w:color w:val="auto"/>
          <w:highlight w:val="none"/>
          <w:lang w:eastAsia="zh-CN"/>
        </w:rPr>
      </w:pPr>
      <w:bookmarkStart w:id="940" w:name="_Toc22763"/>
      <w:bookmarkStart w:id="941" w:name="_Toc26249"/>
      <w:bookmarkStart w:id="942" w:name="_Toc14053"/>
      <w:bookmarkStart w:id="943" w:name="_Toc30472"/>
      <w:r>
        <w:rPr>
          <w:rFonts w:hint="eastAsia"/>
          <w:color w:val="auto"/>
          <w:highlight w:val="none"/>
          <w:lang w:eastAsia="zh-CN"/>
        </w:rPr>
        <w:t>与《云南省主体功能区划》符合性分析</w:t>
      </w:r>
      <w:bookmarkEnd w:id="940"/>
      <w:bookmarkEnd w:id="941"/>
      <w:bookmarkEnd w:id="942"/>
      <w:bookmarkEnd w:id="943"/>
    </w:p>
    <w:p>
      <w:pPr>
        <w:ind w:firstLine="480" w:firstLineChars="200"/>
        <w:rPr>
          <w:rFonts w:hint="eastAsia"/>
          <w:color w:val="auto"/>
          <w:highlight w:val="none"/>
          <w:lang w:eastAsia="zh-CN"/>
        </w:rPr>
      </w:pPr>
      <w:r>
        <w:rPr>
          <w:rFonts w:hint="eastAsia"/>
          <w:color w:val="auto"/>
          <w:highlight w:val="none"/>
          <w:lang w:eastAsia="zh-CN"/>
        </w:rPr>
        <w:t>本项目位于《云南省主体功能区规划》规定的限制开发区-云南省重点生态功能区以及省级禁止开发区域中的省级风景名胜区。</w:t>
      </w:r>
    </w:p>
    <w:p>
      <w:pPr>
        <w:ind w:firstLine="480" w:firstLineChars="200"/>
        <w:rPr>
          <w:rFonts w:hint="eastAsia"/>
          <w:color w:val="auto"/>
          <w:highlight w:val="none"/>
          <w:lang w:eastAsia="zh-CN"/>
        </w:rPr>
      </w:pPr>
      <w:r>
        <w:rPr>
          <w:rFonts w:hint="eastAsia"/>
          <w:color w:val="auto"/>
          <w:highlight w:val="none"/>
          <w:lang w:eastAsia="zh-CN"/>
        </w:rPr>
        <w:t>云南省重点生态功能区功能定位为在涵养水源、保持水土、调蓄洪水、防风固沙、维系生物多样性等方面具有重要作用，是关系全省、全国或更大区域生态安全的重要区域。重点生态功能区要以保护和修复生态环境、提供生态产品为首要任务，因地制宜地发展不影响主体功能定位的适宜产业，引导超载人口逐步有序转移。其相关开发和管制原则为：对各类开发活动进行严格管制，尽可能减少对自然生态系统的干扰，不得损害生态系统的稳定和完整性。</w:t>
      </w:r>
    </w:p>
    <w:p>
      <w:pPr>
        <w:ind w:firstLine="480" w:firstLineChars="200"/>
        <w:rPr>
          <w:rFonts w:hint="eastAsia"/>
          <w:color w:val="auto"/>
          <w:highlight w:val="none"/>
          <w:lang w:eastAsia="zh-CN"/>
        </w:rPr>
      </w:pPr>
      <w:r>
        <w:rPr>
          <w:rFonts w:hint="eastAsia"/>
          <w:color w:val="auto"/>
          <w:highlight w:val="none"/>
          <w:lang w:eastAsia="zh-CN"/>
        </w:rPr>
        <w:t>禁止开发区域包括自然保护区、世界遗产、风景名胜区、森林公园、城市饮用水源保护区、湿地公园等。其中风景名胜区管制原则为：依据《风景名胜区条例》、《云南省风景名胜区条例》、本规划及风景名胜区规划进行管理。严格保护风景名胜区内一切景物和自然环境，不得破坏和随意改变。严格控制人工景观建设，减少人为包装。禁止开山、采石、开矿、开荒等破坏景观、植被和地形地貌的启动。禁止在风景名胜区内设立各类开发区和在核心景区内建设宾馆、疗养</w:t>
      </w:r>
      <w:bookmarkStart w:id="994" w:name="_GoBack"/>
      <w:bookmarkEnd w:id="994"/>
      <w:r>
        <w:rPr>
          <w:rFonts w:hint="eastAsia"/>
          <w:color w:val="auto"/>
          <w:highlight w:val="none"/>
          <w:lang w:eastAsia="zh-CN"/>
        </w:rPr>
        <w:t>院以及与风景名胜区无关的其他建筑物，已经建设的，应逐步迁出。在风景名胜区开展旅游启动，必须根据资源状况和环境容量进行，不得对景观、水体、植被及其他野生动植物资源等造成损害。</w:t>
      </w:r>
    </w:p>
    <w:p>
      <w:pPr>
        <w:ind w:firstLine="480" w:firstLineChars="200"/>
        <w:rPr>
          <w:rFonts w:hint="eastAsia"/>
          <w:color w:val="auto"/>
          <w:highlight w:val="none"/>
          <w:lang w:eastAsia="zh-CN"/>
        </w:rPr>
      </w:pPr>
      <w:r>
        <w:rPr>
          <w:rFonts w:hint="eastAsia"/>
          <w:color w:val="auto"/>
          <w:highlight w:val="none"/>
          <w:lang w:eastAsia="zh-CN"/>
        </w:rPr>
        <w:t>本项目选址选线已尽可能减少对自然生态系统的干扰，经分析项目对生态环境影响可控，同时涉风景名胜区已编制《选址影响评价报告》、《选址唯一性和不可避让性论证报告》，生物多样性影响评价已作为一个章节在本报告中进行了分析，采取无害化穿越方式，符合《风景名胜区条例》、《云南省风景名胜区条例》以及《元谋风景名胜区总体规划（2015-2030）》要求（详见本章相关分析），其主管部门楚雄州林草局已出具选址意见同意项目建设。因此，本项目与《云南省主体功能区规划》相关要求相符。</w:t>
      </w:r>
    </w:p>
    <w:p>
      <w:pPr>
        <w:pStyle w:val="4"/>
        <w:numPr>
          <w:ilvl w:val="2"/>
          <w:numId w:val="2"/>
        </w:numPr>
        <w:tabs>
          <w:tab w:val="left" w:pos="420"/>
        </w:tabs>
        <w:bidi w:val="0"/>
        <w:rPr>
          <w:rFonts w:hint="eastAsia"/>
          <w:color w:val="auto"/>
          <w:highlight w:val="none"/>
          <w:lang w:eastAsia="zh-CN"/>
        </w:rPr>
      </w:pPr>
      <w:bookmarkStart w:id="944" w:name="_Toc13145"/>
      <w:bookmarkStart w:id="945" w:name="_Toc19361"/>
      <w:bookmarkStart w:id="946" w:name="_Toc3672"/>
      <w:bookmarkStart w:id="947" w:name="_Toc17868"/>
      <w:r>
        <w:rPr>
          <w:rFonts w:hint="eastAsia"/>
          <w:color w:val="auto"/>
          <w:highlight w:val="none"/>
          <w:lang w:eastAsia="zh-CN"/>
        </w:rPr>
        <w:t>与《云南省生态功能区划》的符合性</w:t>
      </w:r>
      <w:bookmarkEnd w:id="944"/>
      <w:bookmarkEnd w:id="945"/>
      <w:bookmarkEnd w:id="946"/>
      <w:bookmarkEnd w:id="947"/>
    </w:p>
    <w:p>
      <w:pPr>
        <w:ind w:firstLine="480" w:firstLineChars="200"/>
        <w:rPr>
          <w:rFonts w:hint="eastAsia"/>
          <w:color w:val="auto"/>
          <w:highlight w:val="none"/>
          <w:lang w:eastAsia="zh-CN"/>
        </w:rPr>
      </w:pPr>
      <w:r>
        <w:rPr>
          <w:rFonts w:hint="eastAsia"/>
          <w:color w:val="auto"/>
          <w:highlight w:val="none"/>
          <w:lang w:eastAsia="zh-CN"/>
        </w:rPr>
        <w:t>根据《云南省生态功能区划》，元谋县属于Ⅲ2-4元谋龙川江干热河谷农业生态功能区。生态功能区发展方向：农产品提供生态功能区主要指以提供农产品为主的长期从事农业生产的地区，包括省商品粮基地和集中联片的农业用地。该类型区包括11个三级生态功能区，面积共计6.01万平方公里，占全省国土面积的15.71%，集中分布在滇西南、滇中和滇东北的低山丘陵生态区，这些地区地势较为缓和、水热条件配合较好，农业生产较为发达，是我省粮食和经济作物的主产区。</w:t>
      </w:r>
    </w:p>
    <w:p>
      <w:pPr>
        <w:ind w:firstLine="480" w:firstLineChars="200"/>
        <w:rPr>
          <w:rFonts w:hint="eastAsia"/>
          <w:color w:val="auto"/>
          <w:highlight w:val="none"/>
          <w:lang w:eastAsia="zh-CN"/>
        </w:rPr>
      </w:pPr>
      <w:r>
        <w:rPr>
          <w:rFonts w:hint="eastAsia"/>
          <w:color w:val="auto"/>
          <w:highlight w:val="none"/>
          <w:lang w:eastAsia="zh-CN"/>
        </w:rPr>
        <w:t>本项目在做好施工期生态保护、水土保持措施的前提下，工程运行可有利于保护农田生态环境、增加农田灌溉面积，从而增加我省粮食和经济作物的产量。</w:t>
      </w:r>
    </w:p>
    <w:p>
      <w:pPr>
        <w:ind w:firstLine="480" w:firstLineChars="200"/>
        <w:rPr>
          <w:rFonts w:hint="eastAsia"/>
          <w:color w:val="auto"/>
          <w:highlight w:val="none"/>
          <w:lang w:eastAsia="zh-CN"/>
        </w:rPr>
      </w:pPr>
      <w:r>
        <w:rPr>
          <w:rFonts w:hint="eastAsia"/>
          <w:color w:val="auto"/>
          <w:highlight w:val="none"/>
          <w:lang w:eastAsia="zh-CN"/>
        </w:rPr>
        <w:t>因此，本项目建设与《云南省生态功能区划》是相符的。</w:t>
      </w:r>
    </w:p>
    <w:p>
      <w:pPr>
        <w:pStyle w:val="4"/>
        <w:numPr>
          <w:ilvl w:val="2"/>
          <w:numId w:val="2"/>
        </w:numPr>
        <w:tabs>
          <w:tab w:val="left" w:pos="420"/>
        </w:tabs>
        <w:bidi w:val="0"/>
        <w:rPr>
          <w:rFonts w:hint="eastAsia"/>
          <w:color w:val="auto"/>
          <w:highlight w:val="none"/>
          <w:lang w:eastAsia="zh-CN"/>
        </w:rPr>
      </w:pPr>
      <w:bookmarkStart w:id="948" w:name="_Toc26821"/>
      <w:bookmarkStart w:id="949" w:name="_Toc27597"/>
      <w:bookmarkStart w:id="950" w:name="_Toc5455"/>
      <w:bookmarkStart w:id="951" w:name="_Toc4475"/>
      <w:r>
        <w:rPr>
          <w:rFonts w:hint="eastAsia"/>
          <w:color w:val="auto"/>
          <w:highlight w:val="none"/>
          <w:lang w:eastAsia="zh-CN"/>
        </w:rPr>
        <w:t>与《元谋县城市总体规划》符合性分析</w:t>
      </w:r>
      <w:bookmarkEnd w:id="948"/>
      <w:bookmarkEnd w:id="949"/>
      <w:bookmarkEnd w:id="950"/>
      <w:bookmarkEnd w:id="951"/>
    </w:p>
    <w:p>
      <w:pPr>
        <w:ind w:firstLine="480" w:firstLineChars="200"/>
        <w:rPr>
          <w:rFonts w:hint="eastAsia"/>
          <w:color w:val="auto"/>
          <w:highlight w:val="none"/>
          <w:lang w:eastAsia="zh-CN"/>
        </w:rPr>
      </w:pPr>
      <w:r>
        <w:rPr>
          <w:rFonts w:hint="eastAsia"/>
          <w:color w:val="auto"/>
          <w:highlight w:val="none"/>
          <w:lang w:eastAsia="zh-CN"/>
        </w:rPr>
        <w:t>本项目位于元谋县农村及集镇地区，距离元谋县城较远，不在《元谋县城市总体规划》范围区内。</w:t>
      </w:r>
    </w:p>
    <w:p>
      <w:pPr>
        <w:pStyle w:val="4"/>
        <w:numPr>
          <w:ilvl w:val="2"/>
          <w:numId w:val="2"/>
        </w:numPr>
        <w:tabs>
          <w:tab w:val="left" w:pos="420"/>
        </w:tabs>
        <w:bidi w:val="0"/>
        <w:rPr>
          <w:rFonts w:hint="eastAsia"/>
          <w:color w:val="auto"/>
          <w:highlight w:val="none"/>
          <w:lang w:eastAsia="zh-CN"/>
        </w:rPr>
      </w:pPr>
      <w:bookmarkStart w:id="952" w:name="_Toc16686"/>
      <w:bookmarkStart w:id="953" w:name="_Toc14316"/>
      <w:bookmarkStart w:id="954" w:name="_Toc20668"/>
      <w:bookmarkStart w:id="955" w:name="_Toc11178"/>
      <w:r>
        <w:rPr>
          <w:rFonts w:hint="eastAsia"/>
          <w:color w:val="auto"/>
          <w:highlight w:val="none"/>
          <w:lang w:eastAsia="zh-CN"/>
        </w:rPr>
        <w:t>与《楚雄州“十四五”水安全保障规划》（楚雄州水务局，2022年7月）符合性分析</w:t>
      </w:r>
      <w:bookmarkEnd w:id="952"/>
      <w:bookmarkEnd w:id="953"/>
      <w:bookmarkEnd w:id="954"/>
      <w:bookmarkEnd w:id="955"/>
    </w:p>
    <w:p>
      <w:pPr>
        <w:ind w:firstLine="480" w:firstLineChars="200"/>
        <w:rPr>
          <w:rFonts w:hint="default"/>
          <w:color w:val="auto"/>
          <w:highlight w:val="none"/>
        </w:rPr>
      </w:pPr>
      <w:r>
        <w:rPr>
          <w:rFonts w:hint="eastAsia"/>
          <w:color w:val="auto"/>
          <w:highlight w:val="none"/>
          <w:lang w:eastAsia="zh-CN"/>
        </w:rPr>
        <w:t>《楚雄州“十四五”水安全保障规划》（楚雄州水务局，2022年7月）中提出：立足流域整体和水资源空间配置，遵循确有需要、生态安全、可以持续的原则，“引水上山”筑牢生活生产生态“水屏障”，建设沿江绿色经济走廊，走生态优先绿色发展之路，推动干热河谷地区经济社会跨越发展。重点是持续推进金沙江、礼社江水土流失和小流域综合治理，抓好龙川江元谋段等生态修复与治理，实施观音岩、乌东德大型水电站（楚雄州）水资源综合利用工程，建设一批抗旱水源工程，合理开发干热河谷。同时楚雄州乌东德水电站水资源综合利用工程又被列入楚雄州“十四五”水安全保障规划重大项目。本项目属于楚雄州乌东德水电站水资源综合利用工程配套工程，因此符合规划要求。</w:t>
      </w:r>
    </w:p>
    <w:p>
      <w:pPr>
        <w:pStyle w:val="3"/>
        <w:numPr>
          <w:ilvl w:val="1"/>
          <w:numId w:val="2"/>
        </w:numPr>
        <w:tabs>
          <w:tab w:val="left" w:pos="420"/>
        </w:tabs>
        <w:bidi w:val="0"/>
        <w:rPr>
          <w:rFonts w:hint="default"/>
          <w:color w:val="auto"/>
        </w:rPr>
      </w:pPr>
      <w:bookmarkStart w:id="956" w:name="_Toc15427"/>
      <w:bookmarkStart w:id="957" w:name="_Toc19720"/>
      <w:bookmarkStart w:id="958" w:name="_Toc13204"/>
      <w:bookmarkStart w:id="959" w:name="_Toc2501"/>
      <w:bookmarkStart w:id="960" w:name="_Toc24151"/>
      <w:r>
        <w:rPr>
          <w:rFonts w:hint="default"/>
          <w:color w:val="auto"/>
        </w:rPr>
        <w:t>与</w:t>
      </w:r>
      <w:r>
        <w:rPr>
          <w:rFonts w:hint="eastAsia"/>
          <w:color w:val="auto"/>
          <w:lang w:eastAsia="zh-CN"/>
        </w:rPr>
        <w:t>“</w:t>
      </w:r>
      <w:r>
        <w:rPr>
          <w:rFonts w:hint="default"/>
          <w:color w:val="auto"/>
        </w:rPr>
        <w:t>三线一单</w:t>
      </w:r>
      <w:r>
        <w:rPr>
          <w:rFonts w:hint="eastAsia"/>
          <w:color w:val="auto"/>
          <w:lang w:eastAsia="zh-CN"/>
        </w:rPr>
        <w:t>”</w:t>
      </w:r>
      <w:r>
        <w:rPr>
          <w:rFonts w:hint="default"/>
          <w:color w:val="auto"/>
        </w:rPr>
        <w:t>符合性分析</w:t>
      </w:r>
      <w:bookmarkEnd w:id="956"/>
      <w:bookmarkEnd w:id="957"/>
      <w:bookmarkEnd w:id="958"/>
      <w:bookmarkEnd w:id="959"/>
      <w:bookmarkEnd w:id="960"/>
    </w:p>
    <w:p>
      <w:pPr>
        <w:bidi w:val="0"/>
        <w:ind w:firstLine="480" w:firstLineChars="200"/>
        <w:rPr>
          <w:rFonts w:hint="default"/>
          <w:color w:val="0000FF"/>
          <w:highlight w:val="none"/>
          <w:lang w:val="en-US" w:eastAsia="zh-CN"/>
        </w:rPr>
      </w:pPr>
      <w:r>
        <w:rPr>
          <w:rFonts w:hint="eastAsia"/>
          <w:color w:val="0000FF"/>
          <w:highlight w:val="none"/>
          <w:lang w:eastAsia="zh-CN"/>
        </w:rPr>
        <w:t>根据《楚雄州“三线一单”生态环境分区管控实施方案》（楚政通〔2021〕22号）</w:t>
      </w:r>
      <w:r>
        <w:rPr>
          <w:rFonts w:hint="eastAsia"/>
          <w:color w:val="0000FF"/>
          <w:highlight w:val="none"/>
          <w:lang w:val="en-US" w:eastAsia="zh-CN"/>
        </w:rPr>
        <w:t>及本项目用地红线，本项目涉及的管控单元为：元谋县一般管控单元，环境管控单元编码ZH53232830001；元谋县一般生态空间优先保护单元，环境管控单元编码ZH53232810002；元谋县生态保护红线优先保护单元，环境管控单元编码ZH53232810001。</w:t>
      </w:r>
    </w:p>
    <w:p>
      <w:pPr>
        <w:bidi w:val="0"/>
        <w:ind w:firstLine="480" w:firstLineChars="200"/>
        <w:rPr>
          <w:rFonts w:hint="default"/>
          <w:color w:val="0000FF"/>
          <w:highlight w:val="none"/>
          <w:lang w:val="en-US" w:eastAsia="zh-CN"/>
        </w:rPr>
      </w:pPr>
      <w:r>
        <w:rPr>
          <w:rFonts w:hint="eastAsia"/>
          <w:color w:val="0000FF"/>
          <w:highlight w:val="none"/>
          <w:lang w:val="en-US" w:eastAsia="zh-CN"/>
        </w:rPr>
        <w:t>本项目与《楚雄州“三线一单”生态环境分区管控实施方案》（楚政通〔2021〕22号）的符合性分析如下表：</w:t>
      </w:r>
    </w:p>
    <w:p>
      <w:pPr>
        <w:pStyle w:val="40"/>
        <w:bidi w:val="0"/>
        <w:rPr>
          <w:color w:val="auto"/>
          <w:sz w:val="21"/>
          <w:szCs w:val="21"/>
          <w:highlight w:val="none"/>
        </w:rPr>
      </w:pPr>
      <w:r>
        <w:rPr>
          <w:color w:val="auto"/>
          <w:sz w:val="21"/>
          <w:szCs w:val="21"/>
          <w:highlight w:val="none"/>
        </w:rPr>
        <w:t>表</w:t>
      </w:r>
      <w:r>
        <w:rPr>
          <w:rFonts w:hint="eastAsia"/>
          <w:color w:val="auto"/>
          <w:sz w:val="21"/>
          <w:szCs w:val="21"/>
          <w:highlight w:val="none"/>
          <w:lang w:val="en-US" w:eastAsia="zh-CN"/>
        </w:rPr>
        <w:t>9.4</w:t>
      </w:r>
      <w:r>
        <w:rPr>
          <w:color w:val="auto"/>
          <w:sz w:val="21"/>
          <w:szCs w:val="21"/>
          <w:highlight w:val="none"/>
        </w:rPr>
        <w:t>-1与《楚雄州</w:t>
      </w:r>
      <w:r>
        <w:rPr>
          <w:rFonts w:hint="eastAsia"/>
          <w:color w:val="auto"/>
          <w:sz w:val="21"/>
          <w:szCs w:val="21"/>
          <w:highlight w:val="none"/>
          <w:lang w:eastAsia="zh-CN"/>
        </w:rPr>
        <w:t>“</w:t>
      </w:r>
      <w:r>
        <w:rPr>
          <w:color w:val="auto"/>
          <w:sz w:val="21"/>
          <w:szCs w:val="21"/>
          <w:highlight w:val="none"/>
        </w:rPr>
        <w:t>三线一单</w:t>
      </w:r>
      <w:r>
        <w:rPr>
          <w:rFonts w:hint="eastAsia"/>
          <w:color w:val="auto"/>
          <w:sz w:val="21"/>
          <w:szCs w:val="21"/>
          <w:highlight w:val="none"/>
          <w:lang w:eastAsia="zh-CN"/>
        </w:rPr>
        <w:t>”</w:t>
      </w:r>
      <w:r>
        <w:rPr>
          <w:color w:val="auto"/>
          <w:sz w:val="21"/>
          <w:szCs w:val="21"/>
          <w:highlight w:val="none"/>
        </w:rPr>
        <w:t>生态环境分区管控实施方案》符合性分析表</w:t>
      </w:r>
    </w:p>
    <w:tbl>
      <w:tblPr>
        <w:tblStyle w:val="5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73"/>
        <w:gridCol w:w="830"/>
        <w:gridCol w:w="2738"/>
        <w:gridCol w:w="2925"/>
        <w:gridCol w:w="7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Align w:val="center"/>
          </w:tcPr>
          <w:p>
            <w:pPr>
              <w:pStyle w:val="42"/>
              <w:bidi w:val="0"/>
              <w:spacing w:line="240" w:lineRule="auto"/>
              <w:rPr>
                <w:color w:val="auto"/>
                <w:highlight w:val="none"/>
              </w:rPr>
            </w:pPr>
            <w:r>
              <w:rPr>
                <w:color w:val="auto"/>
                <w:highlight w:val="none"/>
              </w:rPr>
              <w:t>项目</w:t>
            </w:r>
          </w:p>
        </w:tc>
        <w:tc>
          <w:tcPr>
            <w:tcW w:w="2145" w:type="pct"/>
            <w:gridSpan w:val="2"/>
            <w:vAlign w:val="center"/>
          </w:tcPr>
          <w:p>
            <w:pPr>
              <w:pStyle w:val="42"/>
              <w:bidi w:val="0"/>
              <w:spacing w:line="240" w:lineRule="auto"/>
              <w:rPr>
                <w:color w:val="auto"/>
                <w:highlight w:val="none"/>
              </w:rPr>
            </w:pPr>
            <w:r>
              <w:rPr>
                <w:color w:val="auto"/>
                <w:highlight w:val="none"/>
              </w:rPr>
              <w:t>相关要求及内容</w:t>
            </w:r>
          </w:p>
        </w:tc>
        <w:tc>
          <w:tcPr>
            <w:tcW w:w="1758" w:type="pct"/>
            <w:vAlign w:val="center"/>
          </w:tcPr>
          <w:p>
            <w:pPr>
              <w:pStyle w:val="42"/>
              <w:bidi w:val="0"/>
              <w:spacing w:line="240" w:lineRule="auto"/>
              <w:rPr>
                <w:color w:val="auto"/>
                <w:highlight w:val="none"/>
              </w:rPr>
            </w:pPr>
            <w:r>
              <w:rPr>
                <w:color w:val="auto"/>
                <w:highlight w:val="none"/>
              </w:rPr>
              <w:t>本项目情况</w:t>
            </w:r>
          </w:p>
        </w:tc>
        <w:tc>
          <w:tcPr>
            <w:tcW w:w="449" w:type="pct"/>
            <w:vAlign w:val="center"/>
          </w:tcPr>
          <w:p>
            <w:pPr>
              <w:pStyle w:val="42"/>
              <w:bidi w:val="0"/>
              <w:spacing w:line="240" w:lineRule="auto"/>
              <w:rPr>
                <w:color w:val="auto"/>
                <w:highlight w:val="none"/>
              </w:rPr>
            </w:pPr>
            <w:r>
              <w:rPr>
                <w:color w:val="auto"/>
                <w:highlight w:val="none"/>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Align w:val="center"/>
          </w:tcPr>
          <w:p>
            <w:pPr>
              <w:pStyle w:val="42"/>
              <w:bidi w:val="0"/>
              <w:spacing w:line="240" w:lineRule="auto"/>
              <w:jc w:val="center"/>
              <w:rPr>
                <w:color w:val="auto"/>
                <w:highlight w:val="none"/>
              </w:rPr>
            </w:pPr>
            <w:r>
              <w:rPr>
                <w:color w:val="auto"/>
                <w:highlight w:val="none"/>
              </w:rPr>
              <w:t>生态保护红线和一般生态空间</w:t>
            </w:r>
          </w:p>
        </w:tc>
        <w:tc>
          <w:tcPr>
            <w:tcW w:w="2145" w:type="pct"/>
            <w:gridSpan w:val="2"/>
            <w:vAlign w:val="center"/>
          </w:tcPr>
          <w:p>
            <w:pPr>
              <w:pStyle w:val="42"/>
              <w:bidi w:val="0"/>
              <w:spacing w:line="240" w:lineRule="auto"/>
              <w:jc w:val="both"/>
              <w:rPr>
                <w:color w:val="auto"/>
                <w:highlight w:val="none"/>
              </w:rPr>
            </w:pPr>
            <w:r>
              <w:rPr>
                <w:color w:val="auto"/>
                <w:highlight w:val="none"/>
              </w:rPr>
              <w:t>执行省人民政府发布的《云南省生态保护红线》，将未划入生态保护红线的自然保护地、饮用水水源保护区、重要湿地、基本草原、生态公益林、天然林等生态功能重要、生态环境敏感区域划为一般生态空间。</w:t>
            </w:r>
          </w:p>
        </w:tc>
        <w:tc>
          <w:tcPr>
            <w:tcW w:w="1758" w:type="pct"/>
            <w:vAlign w:val="center"/>
          </w:tcPr>
          <w:p>
            <w:pPr>
              <w:pStyle w:val="42"/>
              <w:bidi w:val="0"/>
              <w:spacing w:line="240" w:lineRule="auto"/>
              <w:jc w:val="both"/>
              <w:rPr>
                <w:rFonts w:hint="eastAsia"/>
                <w:color w:val="auto"/>
                <w:highlight w:val="none"/>
                <w:lang w:eastAsia="zh-CN"/>
              </w:rPr>
            </w:pPr>
            <w:r>
              <w:rPr>
                <w:rFonts w:hint="eastAsia"/>
                <w:color w:val="auto"/>
                <w:highlight w:val="none"/>
              </w:rPr>
              <w:t>2023年12月28日，根据《元谋县自然资源局关于元谋县姜驿中型灌区续建配套与节水改造项目生态保护红线查询结果》</w:t>
            </w:r>
            <w:r>
              <w:rPr>
                <w:rFonts w:hint="eastAsia"/>
                <w:color w:val="auto"/>
                <w:highlight w:val="none"/>
                <w:lang w:val="en-US" w:eastAsia="zh-CN"/>
              </w:rPr>
              <w:t>可</w:t>
            </w:r>
            <w:r>
              <w:rPr>
                <w:color w:val="auto"/>
                <w:highlight w:val="none"/>
              </w:rPr>
              <w:t>知该项目</w:t>
            </w:r>
            <w:r>
              <w:rPr>
                <w:rFonts w:hint="eastAsia"/>
                <w:color w:val="auto"/>
                <w:highlight w:val="none"/>
                <w:lang w:eastAsia="zh-CN"/>
              </w:rPr>
              <w:t>部分敷埋式管道</w:t>
            </w:r>
            <w:r>
              <w:rPr>
                <w:color w:val="auto"/>
                <w:highlight w:val="none"/>
              </w:rPr>
              <w:t>占用生态保护红线</w:t>
            </w:r>
            <w:r>
              <w:rPr>
                <w:rFonts w:hint="eastAsia"/>
                <w:color w:val="auto"/>
                <w:highlight w:val="none"/>
                <w:lang w:eastAsia="zh-CN"/>
              </w:rPr>
              <w:t>。</w:t>
            </w:r>
          </w:p>
          <w:p>
            <w:pPr>
              <w:pStyle w:val="42"/>
              <w:bidi w:val="0"/>
              <w:spacing w:line="240" w:lineRule="auto"/>
              <w:jc w:val="both"/>
              <w:rPr>
                <w:color w:val="auto"/>
                <w:highlight w:val="none"/>
              </w:rPr>
            </w:pPr>
            <w:r>
              <w:rPr>
                <w:rFonts w:hint="eastAsia"/>
                <w:color w:val="auto"/>
                <w:highlight w:val="none"/>
                <w:lang w:eastAsia="zh-CN"/>
              </w:rPr>
              <w:t>项目占用生态保护红线符合《自然资源部生态环境部 国家林业和草原局关于加强生态保护红线管理的通知（试行）》（自然资发〔2022]142号）和《云南省自然资源厅 云南省生态环境厅 云南省林业和草原局关于加强生态保护红线管理工作的通知》（云自然资〔2023]98号）的要求，本项目属于允许占用生态保护红线的情况</w:t>
            </w:r>
            <w:r>
              <w:rPr>
                <w:color w:val="auto"/>
                <w:highlight w:val="none"/>
              </w:rPr>
              <w:t>。</w:t>
            </w:r>
          </w:p>
        </w:tc>
        <w:tc>
          <w:tcPr>
            <w:tcW w:w="449" w:type="pct"/>
            <w:vAlign w:val="center"/>
          </w:tcPr>
          <w:p>
            <w:pPr>
              <w:pStyle w:val="42"/>
              <w:bidi w:val="0"/>
              <w:spacing w:line="240" w:lineRule="auto"/>
              <w:rPr>
                <w:color w:val="auto"/>
                <w:highlight w:val="none"/>
              </w:rPr>
            </w:pPr>
            <w:r>
              <w:rPr>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Merge w:val="restart"/>
            <w:vAlign w:val="center"/>
          </w:tcPr>
          <w:p>
            <w:pPr>
              <w:pStyle w:val="42"/>
              <w:bidi w:val="0"/>
              <w:spacing w:line="240" w:lineRule="auto"/>
              <w:rPr>
                <w:color w:val="auto"/>
                <w:highlight w:val="none"/>
              </w:rPr>
            </w:pPr>
            <w:r>
              <w:rPr>
                <w:color w:val="auto"/>
                <w:highlight w:val="none"/>
              </w:rPr>
              <w:t>环境质量底线</w:t>
            </w:r>
          </w:p>
        </w:tc>
        <w:tc>
          <w:tcPr>
            <w:tcW w:w="2145" w:type="pct"/>
            <w:gridSpan w:val="2"/>
            <w:vAlign w:val="center"/>
          </w:tcPr>
          <w:p>
            <w:pPr>
              <w:pStyle w:val="42"/>
              <w:bidi w:val="0"/>
              <w:spacing w:line="240" w:lineRule="auto"/>
              <w:jc w:val="both"/>
              <w:rPr>
                <w:color w:val="auto"/>
                <w:highlight w:val="none"/>
              </w:rPr>
            </w:pPr>
            <w:r>
              <w:rPr>
                <w:color w:val="auto"/>
                <w:highlight w:val="none"/>
              </w:rPr>
              <w:t>1.水环境质量底线。到2025年，国控、省控地表水监测断面水质优良率高于全国全省平均水平，重点区域、流域水环境质量进一步改善，全面消除劣Ⅴ类水体，集中式饮用水水源水质巩固改善。到2035年，地表水体水质优良率全面提升，各监测断面水质达到水环境功能要求，全面消除Ⅴ类及以下水体，集中式饮用水水源水质稳定达标。</w:t>
            </w:r>
          </w:p>
        </w:tc>
        <w:tc>
          <w:tcPr>
            <w:tcW w:w="1758" w:type="pct"/>
            <w:vAlign w:val="center"/>
          </w:tcPr>
          <w:p>
            <w:pPr>
              <w:pStyle w:val="42"/>
              <w:bidi w:val="0"/>
              <w:spacing w:line="240" w:lineRule="auto"/>
              <w:jc w:val="both"/>
              <w:rPr>
                <w:rFonts w:hint="eastAsia" w:eastAsia="宋"/>
                <w:color w:val="auto"/>
                <w:highlight w:val="none"/>
                <w:lang w:eastAsia="zh-CN"/>
              </w:rPr>
            </w:pPr>
            <w:r>
              <w:rPr>
                <w:color w:val="auto"/>
                <w:highlight w:val="none"/>
              </w:rPr>
              <w:t>本项目本身不排放水污染物，运营期灌溉退水经预测分析对地表水影响小，对水环境功能影响较小，满足水环境质量底线</w:t>
            </w:r>
            <w:r>
              <w:rPr>
                <w:rFonts w:hint="eastAsia"/>
                <w:color w:val="auto"/>
                <w:highlight w:val="none"/>
                <w:lang w:eastAsia="zh-CN"/>
              </w:rPr>
              <w:t>。</w:t>
            </w:r>
          </w:p>
        </w:tc>
        <w:tc>
          <w:tcPr>
            <w:tcW w:w="449" w:type="pct"/>
            <w:vAlign w:val="center"/>
          </w:tcPr>
          <w:p>
            <w:pPr>
              <w:pStyle w:val="42"/>
              <w:bidi w:val="0"/>
              <w:spacing w:line="240" w:lineRule="auto"/>
              <w:jc w:val="center"/>
              <w:rPr>
                <w:color w:val="auto"/>
                <w:highlight w:val="none"/>
              </w:rPr>
            </w:pPr>
            <w:r>
              <w:rPr>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Merge w:val="continue"/>
            <w:vAlign w:val="center"/>
          </w:tcPr>
          <w:p>
            <w:pPr>
              <w:pStyle w:val="42"/>
              <w:bidi w:val="0"/>
              <w:spacing w:line="240" w:lineRule="auto"/>
              <w:rPr>
                <w:color w:val="auto"/>
                <w:highlight w:val="none"/>
              </w:rPr>
            </w:pPr>
          </w:p>
        </w:tc>
        <w:tc>
          <w:tcPr>
            <w:tcW w:w="2145" w:type="pct"/>
            <w:gridSpan w:val="2"/>
            <w:vAlign w:val="center"/>
          </w:tcPr>
          <w:p>
            <w:pPr>
              <w:pStyle w:val="42"/>
              <w:bidi w:val="0"/>
              <w:spacing w:line="240" w:lineRule="auto"/>
              <w:jc w:val="both"/>
              <w:rPr>
                <w:color w:val="auto"/>
                <w:highlight w:val="none"/>
              </w:rPr>
            </w:pPr>
            <w:r>
              <w:rPr>
                <w:color w:val="auto"/>
                <w:highlight w:val="none"/>
              </w:rPr>
              <w:t>2.大气环境质量底线。到2025年，环境空气质量稳中向好，10县市城市环境空气质量稳定达到国家二级标准。到2035年，环境空气质量全面改善，10县市城市环境空气质量优于国家一级标准天数逐步提高。</w:t>
            </w:r>
          </w:p>
        </w:tc>
        <w:tc>
          <w:tcPr>
            <w:tcW w:w="1758" w:type="pct"/>
            <w:vAlign w:val="center"/>
          </w:tcPr>
          <w:p>
            <w:pPr>
              <w:pStyle w:val="42"/>
              <w:bidi w:val="0"/>
              <w:spacing w:line="240" w:lineRule="auto"/>
              <w:jc w:val="both"/>
              <w:rPr>
                <w:rFonts w:hint="eastAsia" w:eastAsia="宋"/>
                <w:color w:val="auto"/>
                <w:highlight w:val="none"/>
                <w:lang w:val="en-US" w:eastAsia="zh-CN"/>
              </w:rPr>
            </w:pPr>
            <w:r>
              <w:rPr>
                <w:color w:val="auto"/>
                <w:highlight w:val="none"/>
              </w:rPr>
              <w:t>本项目施工期采取洒水抑尘防治扬尘污染，运营期无明显大气污染源，满足大气环境质量底线</w:t>
            </w:r>
            <w:r>
              <w:rPr>
                <w:rFonts w:hint="eastAsia"/>
                <w:color w:val="auto"/>
                <w:highlight w:val="none"/>
                <w:lang w:eastAsia="zh-CN"/>
              </w:rPr>
              <w:t>。</w:t>
            </w:r>
          </w:p>
        </w:tc>
        <w:tc>
          <w:tcPr>
            <w:tcW w:w="449" w:type="pct"/>
            <w:vAlign w:val="center"/>
          </w:tcPr>
          <w:p>
            <w:pPr>
              <w:pStyle w:val="42"/>
              <w:bidi w:val="0"/>
              <w:spacing w:line="240" w:lineRule="auto"/>
              <w:jc w:val="center"/>
              <w:rPr>
                <w:color w:val="auto"/>
                <w:highlight w:val="none"/>
              </w:rPr>
            </w:pPr>
            <w:r>
              <w:rPr>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Merge w:val="continue"/>
            <w:vAlign w:val="center"/>
          </w:tcPr>
          <w:p>
            <w:pPr>
              <w:pStyle w:val="42"/>
              <w:bidi w:val="0"/>
              <w:spacing w:line="240" w:lineRule="auto"/>
              <w:rPr>
                <w:color w:val="auto"/>
                <w:highlight w:val="none"/>
              </w:rPr>
            </w:pPr>
          </w:p>
        </w:tc>
        <w:tc>
          <w:tcPr>
            <w:tcW w:w="2145" w:type="pct"/>
            <w:gridSpan w:val="2"/>
            <w:vAlign w:val="center"/>
          </w:tcPr>
          <w:p>
            <w:pPr>
              <w:pStyle w:val="42"/>
              <w:bidi w:val="0"/>
              <w:spacing w:line="240" w:lineRule="auto"/>
              <w:jc w:val="both"/>
              <w:rPr>
                <w:color w:val="auto"/>
                <w:highlight w:val="none"/>
              </w:rPr>
            </w:pPr>
            <w:r>
              <w:rPr>
                <w:color w:val="auto"/>
                <w:highlight w:val="none"/>
              </w:rPr>
              <w:t>3.土壤环境风险防控底线。到2025年，土壤环境风险防范体系进一步完善，受污染耕地安全利用率和污染地块安全利用率进一步提高。到2035年，土壤环境质量稳中向好，农用地和建设用地土壤环境安全得到有效保障，土壤环境风险得到全面管控。</w:t>
            </w:r>
          </w:p>
        </w:tc>
        <w:tc>
          <w:tcPr>
            <w:tcW w:w="1758" w:type="pct"/>
            <w:vAlign w:val="center"/>
          </w:tcPr>
          <w:p>
            <w:pPr>
              <w:pStyle w:val="42"/>
              <w:bidi w:val="0"/>
              <w:spacing w:line="240" w:lineRule="auto"/>
              <w:rPr>
                <w:rFonts w:hint="eastAsia" w:eastAsia="宋"/>
                <w:color w:val="auto"/>
                <w:highlight w:val="none"/>
                <w:lang w:eastAsia="zh-CN"/>
              </w:rPr>
            </w:pPr>
            <w:r>
              <w:rPr>
                <w:color w:val="auto"/>
                <w:highlight w:val="none"/>
              </w:rPr>
              <w:t>本项目对土壤污染的影响小，不存在土壤环境风险源，满</w:t>
            </w:r>
            <w:r>
              <w:rPr>
                <w:rFonts w:hint="eastAsia"/>
                <w:color w:val="auto"/>
                <w:highlight w:val="none"/>
                <w:lang w:eastAsia="zh-CN"/>
              </w:rPr>
              <w:t>足</w:t>
            </w:r>
            <w:r>
              <w:rPr>
                <w:color w:val="auto"/>
                <w:highlight w:val="none"/>
              </w:rPr>
              <w:t>土壤环境风险防控底线</w:t>
            </w:r>
            <w:r>
              <w:rPr>
                <w:rFonts w:hint="eastAsia"/>
                <w:color w:val="auto"/>
                <w:highlight w:val="none"/>
                <w:lang w:eastAsia="zh-CN"/>
              </w:rPr>
              <w:t>。</w:t>
            </w:r>
          </w:p>
        </w:tc>
        <w:tc>
          <w:tcPr>
            <w:tcW w:w="449" w:type="pct"/>
            <w:vAlign w:val="center"/>
          </w:tcPr>
          <w:p>
            <w:pPr>
              <w:pStyle w:val="42"/>
              <w:bidi w:val="0"/>
              <w:spacing w:line="240" w:lineRule="auto"/>
              <w:jc w:val="center"/>
              <w:rPr>
                <w:color w:val="auto"/>
                <w:highlight w:val="none"/>
              </w:rPr>
            </w:pPr>
            <w:r>
              <w:rPr>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Merge w:val="restart"/>
            <w:vAlign w:val="center"/>
          </w:tcPr>
          <w:p>
            <w:pPr>
              <w:pStyle w:val="42"/>
              <w:bidi w:val="0"/>
              <w:spacing w:line="240" w:lineRule="auto"/>
              <w:jc w:val="both"/>
              <w:rPr>
                <w:color w:val="auto"/>
                <w:highlight w:val="none"/>
              </w:rPr>
            </w:pPr>
            <w:r>
              <w:rPr>
                <w:color w:val="auto"/>
                <w:highlight w:val="none"/>
              </w:rPr>
              <w:t>资源利用上线</w:t>
            </w:r>
          </w:p>
        </w:tc>
        <w:tc>
          <w:tcPr>
            <w:tcW w:w="2145" w:type="pct"/>
            <w:gridSpan w:val="2"/>
            <w:vAlign w:val="center"/>
          </w:tcPr>
          <w:p>
            <w:pPr>
              <w:pStyle w:val="42"/>
              <w:bidi w:val="0"/>
              <w:spacing w:line="240" w:lineRule="auto"/>
              <w:jc w:val="both"/>
              <w:rPr>
                <w:color w:val="auto"/>
                <w:highlight w:val="none"/>
              </w:rPr>
            </w:pPr>
            <w:r>
              <w:rPr>
                <w:color w:val="auto"/>
                <w:highlight w:val="none"/>
              </w:rPr>
              <w:t>1.水资源利用上线。落实最严格水资源管理制度，稳定达到水资源利用</w:t>
            </w:r>
            <w:r>
              <w:rPr>
                <w:rFonts w:hint="eastAsia"/>
                <w:color w:val="auto"/>
                <w:highlight w:val="none"/>
                <w:lang w:eastAsia="zh-CN"/>
              </w:rPr>
              <w:t>“</w:t>
            </w:r>
            <w:r>
              <w:rPr>
                <w:color w:val="auto"/>
                <w:highlight w:val="none"/>
              </w:rPr>
              <w:t>三条红线</w:t>
            </w:r>
            <w:r>
              <w:rPr>
                <w:rFonts w:hint="eastAsia"/>
                <w:color w:val="auto"/>
                <w:highlight w:val="none"/>
                <w:lang w:eastAsia="zh-CN"/>
              </w:rPr>
              <w:t>”</w:t>
            </w:r>
            <w:r>
              <w:rPr>
                <w:color w:val="auto"/>
                <w:highlight w:val="none"/>
              </w:rPr>
              <w:t>控制指标考核要求。2025年，各县市用水总量、用水效率（万元GDP用水量、万元工业增加值用水量、农田灌溉水有效利用系数）、重要江河湖泊水功能区水质达标率满足水资源利用上线的管控要求。</w:t>
            </w:r>
          </w:p>
        </w:tc>
        <w:tc>
          <w:tcPr>
            <w:tcW w:w="1758" w:type="pct"/>
            <w:vAlign w:val="center"/>
          </w:tcPr>
          <w:p>
            <w:pPr>
              <w:pStyle w:val="42"/>
              <w:bidi w:val="0"/>
              <w:spacing w:line="240" w:lineRule="auto"/>
              <w:jc w:val="both"/>
              <w:rPr>
                <w:rFonts w:hint="eastAsia" w:eastAsia="宋"/>
                <w:color w:val="auto"/>
                <w:highlight w:val="none"/>
                <w:lang w:eastAsia="zh-CN"/>
              </w:rPr>
            </w:pPr>
            <w:r>
              <w:rPr>
                <w:color w:val="auto"/>
                <w:highlight w:val="none"/>
              </w:rPr>
              <w:t>本项目实施的</w:t>
            </w:r>
            <w:r>
              <w:rPr>
                <w:rFonts w:hint="eastAsia"/>
                <w:color w:val="auto"/>
                <w:highlight w:val="none"/>
                <w:lang w:eastAsia="zh-CN"/>
              </w:rPr>
              <w:t>灌区输水</w:t>
            </w:r>
            <w:r>
              <w:rPr>
                <w:color w:val="auto"/>
                <w:highlight w:val="none"/>
              </w:rPr>
              <w:t>工程将有效改善农田灌溉水源利用效率</w:t>
            </w:r>
            <w:r>
              <w:rPr>
                <w:rFonts w:hint="eastAsia"/>
                <w:color w:val="auto"/>
                <w:highlight w:val="none"/>
                <w:lang w:eastAsia="zh-CN"/>
              </w:rPr>
              <w:t>。</w:t>
            </w:r>
          </w:p>
        </w:tc>
        <w:tc>
          <w:tcPr>
            <w:tcW w:w="449" w:type="pct"/>
            <w:vAlign w:val="center"/>
          </w:tcPr>
          <w:p>
            <w:pPr>
              <w:pStyle w:val="42"/>
              <w:bidi w:val="0"/>
              <w:spacing w:line="240" w:lineRule="auto"/>
              <w:jc w:val="center"/>
              <w:rPr>
                <w:color w:val="auto"/>
                <w:highlight w:val="none"/>
              </w:rPr>
            </w:pPr>
            <w:r>
              <w:rPr>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Merge w:val="continue"/>
            <w:vAlign w:val="center"/>
          </w:tcPr>
          <w:p>
            <w:pPr>
              <w:pStyle w:val="42"/>
              <w:bidi w:val="0"/>
              <w:spacing w:line="240" w:lineRule="auto"/>
              <w:rPr>
                <w:color w:val="auto"/>
                <w:highlight w:val="none"/>
              </w:rPr>
            </w:pPr>
          </w:p>
        </w:tc>
        <w:tc>
          <w:tcPr>
            <w:tcW w:w="2145" w:type="pct"/>
            <w:gridSpan w:val="2"/>
            <w:vAlign w:val="center"/>
          </w:tcPr>
          <w:p>
            <w:pPr>
              <w:pStyle w:val="42"/>
              <w:bidi w:val="0"/>
              <w:spacing w:line="240" w:lineRule="auto"/>
              <w:jc w:val="both"/>
              <w:rPr>
                <w:color w:val="auto"/>
                <w:highlight w:val="none"/>
              </w:rPr>
            </w:pPr>
            <w:r>
              <w:rPr>
                <w:color w:val="auto"/>
                <w:highlight w:val="none"/>
              </w:rPr>
              <w:t>2.土地资源利用上线。落实最严格的耕地保护制度。2025年，各县市土地利用达到自然资源和规划、住建等部门对土地资源开发利用总量及强度的土地资源利用上线管控要求。</w:t>
            </w:r>
          </w:p>
        </w:tc>
        <w:tc>
          <w:tcPr>
            <w:tcW w:w="1758" w:type="pct"/>
            <w:vAlign w:val="center"/>
          </w:tcPr>
          <w:p>
            <w:pPr>
              <w:pStyle w:val="42"/>
              <w:bidi w:val="0"/>
              <w:spacing w:line="240" w:lineRule="auto"/>
              <w:jc w:val="both"/>
              <w:rPr>
                <w:rFonts w:hint="default" w:eastAsia="宋"/>
                <w:color w:val="auto"/>
                <w:highlight w:val="none"/>
                <w:lang w:val="en-US" w:eastAsia="zh-CN"/>
              </w:rPr>
            </w:pPr>
            <w:r>
              <w:rPr>
                <w:rFonts w:hint="eastAsia" w:eastAsia="宋"/>
                <w:color w:val="0000FF"/>
                <w:highlight w:val="none"/>
                <w:lang w:val="en-US" w:eastAsia="zh-CN"/>
              </w:rPr>
              <w:t>本项目不永久占用耕地，管道均采用埋管敷设，施工结束后将进行恢复，不影响耕种条件。</w:t>
            </w:r>
          </w:p>
        </w:tc>
        <w:tc>
          <w:tcPr>
            <w:tcW w:w="449" w:type="pct"/>
            <w:vAlign w:val="center"/>
          </w:tcPr>
          <w:p>
            <w:pPr>
              <w:pStyle w:val="42"/>
              <w:bidi w:val="0"/>
              <w:spacing w:line="240" w:lineRule="auto"/>
              <w:jc w:val="center"/>
              <w:rPr>
                <w:color w:val="auto"/>
                <w:highlight w:val="none"/>
              </w:rPr>
            </w:pPr>
            <w:r>
              <w:rPr>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Merge w:val="continue"/>
            <w:vAlign w:val="center"/>
          </w:tcPr>
          <w:p>
            <w:pPr>
              <w:pStyle w:val="42"/>
              <w:bidi w:val="0"/>
              <w:spacing w:line="240" w:lineRule="auto"/>
              <w:rPr>
                <w:color w:val="auto"/>
                <w:highlight w:val="none"/>
              </w:rPr>
            </w:pPr>
          </w:p>
        </w:tc>
        <w:tc>
          <w:tcPr>
            <w:tcW w:w="2145" w:type="pct"/>
            <w:gridSpan w:val="2"/>
            <w:vAlign w:val="center"/>
          </w:tcPr>
          <w:p>
            <w:pPr>
              <w:pStyle w:val="42"/>
              <w:bidi w:val="0"/>
              <w:spacing w:line="240" w:lineRule="auto"/>
              <w:jc w:val="both"/>
              <w:rPr>
                <w:color w:val="auto"/>
                <w:highlight w:val="none"/>
              </w:rPr>
            </w:pPr>
            <w:r>
              <w:rPr>
                <w:color w:val="auto"/>
                <w:highlight w:val="none"/>
              </w:rPr>
              <w:t>3.能源利用上线。严格落实能耗</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双控</w:t>
            </w:r>
            <w:r>
              <w:rPr>
                <w:rFonts w:hint="eastAsia" w:ascii="宋体" w:hAnsi="宋体" w:eastAsia="宋体" w:cs="宋体"/>
                <w:color w:val="auto"/>
                <w:highlight w:val="none"/>
                <w:lang w:eastAsia="zh-CN"/>
              </w:rPr>
              <w:t>”</w:t>
            </w:r>
            <w:r>
              <w:rPr>
                <w:color w:val="auto"/>
                <w:highlight w:val="none"/>
              </w:rPr>
              <w:t>制度。2025年全州单位GDP能耗、能源消耗总量等满足能源 利用上线的管控要求。</w:t>
            </w:r>
          </w:p>
        </w:tc>
        <w:tc>
          <w:tcPr>
            <w:tcW w:w="1758" w:type="pct"/>
            <w:vAlign w:val="center"/>
          </w:tcPr>
          <w:p>
            <w:pPr>
              <w:pStyle w:val="42"/>
              <w:bidi w:val="0"/>
              <w:spacing w:line="240" w:lineRule="auto"/>
              <w:jc w:val="both"/>
              <w:rPr>
                <w:rFonts w:hint="eastAsia" w:eastAsia="宋"/>
                <w:color w:val="auto"/>
                <w:highlight w:val="none"/>
                <w:lang w:eastAsia="zh-CN"/>
              </w:rPr>
            </w:pPr>
            <w:r>
              <w:rPr>
                <w:color w:val="auto"/>
                <w:highlight w:val="none"/>
              </w:rPr>
              <w:t>本项目泵站能耗相对较低，满足能源利用上线</w:t>
            </w:r>
            <w:r>
              <w:rPr>
                <w:rFonts w:hint="eastAsia"/>
                <w:color w:val="auto"/>
                <w:highlight w:val="none"/>
                <w:lang w:eastAsia="zh-CN"/>
              </w:rPr>
              <w:t>。</w:t>
            </w:r>
          </w:p>
        </w:tc>
        <w:tc>
          <w:tcPr>
            <w:tcW w:w="449" w:type="pct"/>
            <w:vAlign w:val="center"/>
          </w:tcPr>
          <w:p>
            <w:pPr>
              <w:pStyle w:val="42"/>
              <w:bidi w:val="0"/>
              <w:spacing w:line="240" w:lineRule="auto"/>
              <w:jc w:val="center"/>
              <w:rPr>
                <w:color w:val="auto"/>
                <w:highlight w:val="none"/>
              </w:rPr>
            </w:pPr>
            <w:r>
              <w:rPr>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Merge w:val="restart"/>
            <w:vAlign w:val="center"/>
          </w:tcPr>
          <w:p>
            <w:pPr>
              <w:pStyle w:val="42"/>
              <w:bidi w:val="0"/>
              <w:spacing w:line="240" w:lineRule="auto"/>
              <w:rPr>
                <w:color w:val="auto"/>
                <w:highlight w:val="none"/>
              </w:rPr>
            </w:pPr>
            <w:r>
              <w:rPr>
                <w:color w:val="auto"/>
                <w:highlight w:val="none"/>
              </w:rPr>
              <w:t>楚雄州生态环境管控总体要求</w:t>
            </w:r>
          </w:p>
        </w:tc>
        <w:tc>
          <w:tcPr>
            <w:tcW w:w="499" w:type="pct"/>
            <w:vMerge w:val="restart"/>
            <w:vAlign w:val="center"/>
          </w:tcPr>
          <w:p>
            <w:pPr>
              <w:pStyle w:val="42"/>
              <w:bidi w:val="0"/>
              <w:spacing w:line="240" w:lineRule="auto"/>
              <w:rPr>
                <w:color w:val="auto"/>
                <w:highlight w:val="none"/>
              </w:rPr>
            </w:pPr>
            <w:r>
              <w:rPr>
                <w:color w:val="auto"/>
                <w:highlight w:val="none"/>
              </w:rPr>
              <w:t>空间布局约束</w:t>
            </w:r>
          </w:p>
        </w:tc>
        <w:tc>
          <w:tcPr>
            <w:tcW w:w="1646" w:type="pct"/>
            <w:vAlign w:val="center"/>
          </w:tcPr>
          <w:p>
            <w:pPr>
              <w:pStyle w:val="42"/>
              <w:bidi w:val="0"/>
              <w:spacing w:line="240" w:lineRule="auto"/>
              <w:jc w:val="both"/>
              <w:rPr>
                <w:color w:val="auto"/>
                <w:highlight w:val="none"/>
              </w:rPr>
            </w:pPr>
            <w:r>
              <w:rPr>
                <w:color w:val="auto"/>
                <w:highlight w:val="none"/>
              </w:rPr>
              <w:t>严格落实国家产业政策。将资源承载能力、生态环境容量作为承接产业转移的基础和前提，合理确定承接产业转移重点， 禁止引进环境污染大、资源消耗高、技术落后的生产能力。严禁以任何名义、任何方式核准或备案产能严重过剩行业的增加产能项目。</w:t>
            </w:r>
          </w:p>
        </w:tc>
        <w:tc>
          <w:tcPr>
            <w:tcW w:w="1758" w:type="pct"/>
            <w:vAlign w:val="center"/>
          </w:tcPr>
          <w:p>
            <w:pPr>
              <w:pStyle w:val="42"/>
              <w:bidi w:val="0"/>
              <w:spacing w:line="240" w:lineRule="auto"/>
              <w:jc w:val="both"/>
              <w:rPr>
                <w:rFonts w:hint="eastAsia" w:eastAsia="宋"/>
                <w:color w:val="auto"/>
                <w:highlight w:val="none"/>
                <w:lang w:eastAsia="zh-CN"/>
              </w:rPr>
            </w:pPr>
            <w:r>
              <w:rPr>
                <w:rFonts w:hint="eastAsia"/>
                <w:color w:val="0000FF"/>
                <w:highlight w:val="none"/>
              </w:rPr>
              <w:t>对照国家发展和改革委员会《产业结构调整指导目录（20</w:t>
            </w:r>
            <w:r>
              <w:rPr>
                <w:rFonts w:hint="eastAsia"/>
                <w:color w:val="0000FF"/>
                <w:highlight w:val="none"/>
                <w:lang w:val="en-US" w:eastAsia="zh-CN"/>
              </w:rPr>
              <w:t>24</w:t>
            </w:r>
            <w:r>
              <w:rPr>
                <w:rFonts w:hint="eastAsia"/>
                <w:color w:val="0000FF"/>
                <w:highlight w:val="none"/>
              </w:rPr>
              <w:t>年本）》，项目属于</w:t>
            </w:r>
            <w:r>
              <w:rPr>
                <w:rFonts w:hint="default"/>
                <w:color w:val="0000FF"/>
                <w:highlight w:val="none"/>
              </w:rPr>
              <w:t>鼓励类</w:t>
            </w:r>
            <w:r>
              <w:rPr>
                <w:rFonts w:hint="eastAsia" w:ascii="宋体" w:hAnsi="宋体" w:eastAsia="宋体" w:cs="宋体"/>
                <w:color w:val="0000FF"/>
                <w:highlight w:val="none"/>
                <w:lang w:eastAsia="zh-CN"/>
              </w:rPr>
              <w:t>“</w:t>
            </w:r>
            <w:r>
              <w:rPr>
                <w:rFonts w:hint="eastAsia" w:ascii="宋体" w:hAnsi="宋体" w:cs="宋体"/>
                <w:color w:val="0000FF"/>
                <w:highlight w:val="none"/>
                <w:lang w:val="en-US" w:eastAsia="zh-CN"/>
              </w:rPr>
              <w:t>二、水利</w:t>
            </w:r>
            <w:r>
              <w:rPr>
                <w:rFonts w:hint="eastAsia" w:ascii="宋体" w:hAnsi="宋体" w:cs="宋体"/>
                <w:color w:val="0000FF"/>
                <w:highlight w:val="none"/>
                <w:lang w:eastAsia="zh-CN"/>
              </w:rPr>
              <w:t>”</w:t>
            </w:r>
            <w:r>
              <w:rPr>
                <w:rFonts w:hint="eastAsia" w:ascii="宋体" w:hAnsi="宋体" w:cs="宋体"/>
                <w:color w:val="0000FF"/>
                <w:highlight w:val="none"/>
                <w:lang w:val="en-US" w:eastAsia="zh-CN"/>
              </w:rPr>
              <w:t>中</w:t>
            </w:r>
            <w:r>
              <w:rPr>
                <w:rFonts w:hint="eastAsia" w:ascii="宋体" w:hAnsi="宋体" w:cs="宋体"/>
                <w:color w:val="0000FF"/>
                <w:highlight w:val="none"/>
                <w:lang w:eastAsia="zh-CN"/>
              </w:rPr>
              <w:t>“</w:t>
            </w:r>
            <w:r>
              <w:rPr>
                <w:rFonts w:hint="eastAsia" w:ascii="宋体" w:hAnsi="宋体" w:eastAsia="宋体" w:cs="宋体"/>
                <w:color w:val="0000FF"/>
                <w:highlight w:val="none"/>
              </w:rPr>
              <w:t>灌区及配套设施建设、改造</w:t>
            </w:r>
            <w:r>
              <w:rPr>
                <w:rFonts w:hint="eastAsia" w:ascii="宋体" w:hAnsi="宋体" w:eastAsia="宋体" w:cs="宋体"/>
                <w:color w:val="0000FF"/>
                <w:highlight w:val="none"/>
                <w:lang w:eastAsia="zh-CN"/>
              </w:rPr>
              <w:t>”</w:t>
            </w:r>
            <w:r>
              <w:rPr>
                <w:rFonts w:hint="eastAsia"/>
                <w:color w:val="0000FF"/>
                <w:highlight w:val="none"/>
              </w:rPr>
              <w:t>的规定。</w:t>
            </w:r>
            <w:r>
              <w:rPr>
                <w:color w:val="0000FF"/>
                <w:highlight w:val="none"/>
              </w:rPr>
              <w:t>符合国家产业政策，不属于生产类项目</w:t>
            </w:r>
            <w:r>
              <w:rPr>
                <w:rFonts w:hint="eastAsia"/>
                <w:color w:val="0000FF"/>
                <w:highlight w:val="none"/>
                <w:lang w:eastAsia="zh-CN"/>
              </w:rPr>
              <w:t>。</w:t>
            </w:r>
          </w:p>
        </w:tc>
        <w:tc>
          <w:tcPr>
            <w:tcW w:w="449" w:type="pct"/>
            <w:vAlign w:val="center"/>
          </w:tcPr>
          <w:p>
            <w:pPr>
              <w:pStyle w:val="42"/>
              <w:bidi w:val="0"/>
              <w:spacing w:line="240" w:lineRule="auto"/>
              <w:jc w:val="center"/>
              <w:rPr>
                <w:color w:val="auto"/>
                <w:highlight w:val="none"/>
              </w:rPr>
            </w:pPr>
            <w:r>
              <w:rPr>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Merge w:val="continue"/>
            <w:vAlign w:val="center"/>
          </w:tcPr>
          <w:p>
            <w:pPr>
              <w:pStyle w:val="42"/>
              <w:bidi w:val="0"/>
              <w:spacing w:line="240" w:lineRule="auto"/>
              <w:rPr>
                <w:color w:val="auto"/>
                <w:highlight w:val="none"/>
              </w:rPr>
            </w:pPr>
          </w:p>
        </w:tc>
        <w:tc>
          <w:tcPr>
            <w:tcW w:w="499" w:type="pct"/>
            <w:vMerge w:val="continue"/>
            <w:vAlign w:val="center"/>
          </w:tcPr>
          <w:p>
            <w:pPr>
              <w:pStyle w:val="42"/>
              <w:bidi w:val="0"/>
              <w:spacing w:line="240" w:lineRule="auto"/>
              <w:rPr>
                <w:color w:val="auto"/>
                <w:highlight w:val="none"/>
              </w:rPr>
            </w:pPr>
          </w:p>
        </w:tc>
        <w:tc>
          <w:tcPr>
            <w:tcW w:w="1646" w:type="pct"/>
            <w:vAlign w:val="center"/>
          </w:tcPr>
          <w:p>
            <w:pPr>
              <w:pStyle w:val="42"/>
              <w:bidi w:val="0"/>
              <w:spacing w:line="240" w:lineRule="auto"/>
              <w:jc w:val="both"/>
              <w:rPr>
                <w:color w:val="auto"/>
                <w:highlight w:val="none"/>
              </w:rPr>
            </w:pPr>
            <w:r>
              <w:rPr>
                <w:color w:val="auto"/>
                <w:highlight w:val="none"/>
              </w:rPr>
              <w:t>在永久基本农田集中区域，不得新建可能造成土壤污染的建设项目；已建成的应当限期关闭拆除。拟开发为农用地的未利用地，要开展土壤环境质量状况评估，不符合相应标准的，不得种植食用农产品。</w:t>
            </w:r>
          </w:p>
        </w:tc>
        <w:tc>
          <w:tcPr>
            <w:tcW w:w="1758" w:type="pct"/>
            <w:vAlign w:val="center"/>
          </w:tcPr>
          <w:p>
            <w:pPr>
              <w:pStyle w:val="42"/>
              <w:bidi w:val="0"/>
              <w:spacing w:line="240" w:lineRule="auto"/>
              <w:jc w:val="both"/>
              <w:rPr>
                <w:rFonts w:hint="eastAsia" w:eastAsia="宋"/>
                <w:color w:val="auto"/>
                <w:highlight w:val="none"/>
                <w:lang w:eastAsia="zh-CN"/>
              </w:rPr>
            </w:pPr>
            <w:r>
              <w:rPr>
                <w:color w:val="auto"/>
                <w:highlight w:val="none"/>
              </w:rPr>
              <w:t>本项目</w:t>
            </w:r>
            <w:r>
              <w:rPr>
                <w:rFonts w:hint="eastAsia"/>
                <w:color w:val="auto"/>
                <w:highlight w:val="none"/>
                <w:lang w:eastAsia="zh-CN"/>
              </w:rPr>
              <w:t>部分</w:t>
            </w:r>
            <w:r>
              <w:rPr>
                <w:rFonts w:hint="eastAsia"/>
                <w:color w:val="auto"/>
                <w:highlight w:val="none"/>
                <w:lang w:val="en-US" w:eastAsia="zh-CN"/>
              </w:rPr>
              <w:t>管道及</w:t>
            </w:r>
            <w:r>
              <w:rPr>
                <w:rFonts w:hint="eastAsia"/>
                <w:color w:val="auto"/>
                <w:highlight w:val="none"/>
                <w:lang w:eastAsia="zh-CN"/>
              </w:rPr>
              <w:t>施工便道</w:t>
            </w:r>
            <w:r>
              <w:rPr>
                <w:rFonts w:hint="eastAsia"/>
                <w:color w:val="auto"/>
                <w:highlight w:val="none"/>
                <w:lang w:val="en-US" w:eastAsia="zh-CN"/>
              </w:rPr>
              <w:t>临时</w:t>
            </w:r>
            <w:r>
              <w:rPr>
                <w:rFonts w:hint="eastAsia"/>
                <w:color w:val="auto"/>
                <w:highlight w:val="none"/>
                <w:lang w:eastAsia="zh-CN"/>
              </w:rPr>
              <w:t>占用</w:t>
            </w:r>
            <w:r>
              <w:rPr>
                <w:color w:val="auto"/>
                <w:highlight w:val="none"/>
              </w:rPr>
              <w:t>永久基本农田</w:t>
            </w:r>
            <w:r>
              <w:rPr>
                <w:rFonts w:hint="eastAsia"/>
                <w:color w:val="auto"/>
                <w:highlight w:val="none"/>
                <w:lang w:eastAsia="zh-CN"/>
              </w:rPr>
              <w:t>，</w:t>
            </w:r>
            <w:r>
              <w:rPr>
                <w:rFonts w:hint="eastAsia"/>
                <w:color w:val="auto"/>
                <w:highlight w:val="none"/>
                <w:lang w:val="en-US" w:eastAsia="zh-CN"/>
              </w:rPr>
              <w:t>施工结束后将恢复耕种条件。</w:t>
            </w:r>
            <w:r>
              <w:rPr>
                <w:rFonts w:hint="eastAsia"/>
                <w:color w:val="auto"/>
                <w:highlight w:val="none"/>
                <w:lang w:eastAsia="zh-CN"/>
              </w:rPr>
              <w:t>按照《自然资源部 农业农村部关于加强和改进永久基本农田保护工作的通知》（自然资规[2019]1号）文件有关要求，项目业主应做好临时用地复垦，落实耕地耕作层剥离再利用工作，保护优质耕地土壤资源，促进土壤资源的科学利用。</w:t>
            </w:r>
          </w:p>
        </w:tc>
        <w:tc>
          <w:tcPr>
            <w:tcW w:w="449" w:type="pct"/>
            <w:vAlign w:val="center"/>
          </w:tcPr>
          <w:p>
            <w:pPr>
              <w:pStyle w:val="42"/>
              <w:bidi w:val="0"/>
              <w:spacing w:line="240" w:lineRule="auto"/>
              <w:jc w:val="center"/>
              <w:rPr>
                <w:color w:val="auto"/>
                <w:highlight w:val="none"/>
              </w:rPr>
            </w:pPr>
            <w:r>
              <w:rPr>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Merge w:val="continue"/>
            <w:vAlign w:val="center"/>
          </w:tcPr>
          <w:p>
            <w:pPr>
              <w:pStyle w:val="42"/>
              <w:bidi w:val="0"/>
              <w:spacing w:line="240" w:lineRule="auto"/>
              <w:rPr>
                <w:color w:val="auto"/>
                <w:highlight w:val="none"/>
              </w:rPr>
            </w:pPr>
          </w:p>
        </w:tc>
        <w:tc>
          <w:tcPr>
            <w:tcW w:w="499" w:type="pct"/>
            <w:vAlign w:val="center"/>
          </w:tcPr>
          <w:p>
            <w:pPr>
              <w:pStyle w:val="42"/>
              <w:bidi w:val="0"/>
              <w:spacing w:line="240" w:lineRule="auto"/>
              <w:jc w:val="both"/>
              <w:rPr>
                <w:color w:val="auto"/>
                <w:highlight w:val="none"/>
              </w:rPr>
            </w:pPr>
            <w:r>
              <w:rPr>
                <w:color w:val="auto"/>
                <w:highlight w:val="none"/>
              </w:rPr>
              <w:t>污染物排放管控</w:t>
            </w:r>
          </w:p>
        </w:tc>
        <w:tc>
          <w:tcPr>
            <w:tcW w:w="1646" w:type="pct"/>
            <w:vAlign w:val="center"/>
          </w:tcPr>
          <w:p>
            <w:pPr>
              <w:pStyle w:val="42"/>
              <w:bidi w:val="0"/>
              <w:spacing w:line="240" w:lineRule="auto"/>
              <w:jc w:val="both"/>
              <w:rPr>
                <w:color w:val="auto"/>
                <w:highlight w:val="none"/>
              </w:rPr>
            </w:pPr>
            <w:r>
              <w:rPr>
                <w:color w:val="auto"/>
                <w:highlight w:val="none"/>
              </w:rPr>
              <w:t>严格保护城乡饮用水水源地，整治饮用水源保护区内的污染源，确保饮水安全。</w:t>
            </w:r>
          </w:p>
        </w:tc>
        <w:tc>
          <w:tcPr>
            <w:tcW w:w="1758" w:type="pct"/>
            <w:vAlign w:val="center"/>
          </w:tcPr>
          <w:p>
            <w:pPr>
              <w:pStyle w:val="42"/>
              <w:bidi w:val="0"/>
              <w:spacing w:line="240" w:lineRule="auto"/>
              <w:jc w:val="both"/>
              <w:rPr>
                <w:rFonts w:hint="default" w:eastAsia="宋"/>
                <w:color w:val="auto"/>
                <w:highlight w:val="none"/>
                <w:lang w:val="en-US" w:eastAsia="zh-CN"/>
              </w:rPr>
            </w:pPr>
            <w:r>
              <w:rPr>
                <w:rFonts w:hint="eastAsia" w:eastAsia="宋"/>
                <w:color w:val="0000FF"/>
                <w:highlight w:val="none"/>
                <w:lang w:val="en-US" w:eastAsia="zh-CN"/>
              </w:rPr>
              <w:t>本项目不涉及饮用水源保护区，不会饮水安全造成影响。</w:t>
            </w:r>
          </w:p>
        </w:tc>
        <w:tc>
          <w:tcPr>
            <w:tcW w:w="449" w:type="pct"/>
            <w:vAlign w:val="center"/>
          </w:tcPr>
          <w:p>
            <w:pPr>
              <w:pStyle w:val="42"/>
              <w:bidi w:val="0"/>
              <w:spacing w:line="240" w:lineRule="auto"/>
              <w:jc w:val="center"/>
              <w:rPr>
                <w:color w:val="auto"/>
                <w:highlight w:val="none"/>
              </w:rPr>
            </w:pPr>
            <w:r>
              <w:rPr>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Merge w:val="continue"/>
            <w:vAlign w:val="center"/>
          </w:tcPr>
          <w:p>
            <w:pPr>
              <w:pStyle w:val="42"/>
              <w:bidi w:val="0"/>
              <w:spacing w:line="240" w:lineRule="auto"/>
              <w:rPr>
                <w:color w:val="auto"/>
                <w:highlight w:val="none"/>
              </w:rPr>
            </w:pPr>
          </w:p>
        </w:tc>
        <w:tc>
          <w:tcPr>
            <w:tcW w:w="499" w:type="pct"/>
            <w:vMerge w:val="restart"/>
            <w:vAlign w:val="center"/>
          </w:tcPr>
          <w:p>
            <w:pPr>
              <w:pStyle w:val="42"/>
              <w:bidi w:val="0"/>
              <w:spacing w:line="240" w:lineRule="auto"/>
              <w:jc w:val="both"/>
              <w:rPr>
                <w:color w:val="auto"/>
                <w:highlight w:val="none"/>
              </w:rPr>
            </w:pPr>
            <w:r>
              <w:rPr>
                <w:color w:val="auto"/>
                <w:highlight w:val="none"/>
              </w:rPr>
              <w:t>资源利用效率</w:t>
            </w:r>
          </w:p>
        </w:tc>
        <w:tc>
          <w:tcPr>
            <w:tcW w:w="1646" w:type="pct"/>
            <w:vAlign w:val="center"/>
          </w:tcPr>
          <w:p>
            <w:pPr>
              <w:pStyle w:val="42"/>
              <w:bidi w:val="0"/>
              <w:spacing w:line="240" w:lineRule="auto"/>
              <w:jc w:val="both"/>
              <w:rPr>
                <w:color w:val="auto"/>
                <w:highlight w:val="none"/>
              </w:rPr>
            </w:pPr>
            <w:r>
              <w:rPr>
                <w:color w:val="auto"/>
                <w:highlight w:val="none"/>
              </w:rPr>
              <w:t>降低水、土地、矿产资源消耗强度，强化约束性指标管理。</w:t>
            </w:r>
          </w:p>
        </w:tc>
        <w:tc>
          <w:tcPr>
            <w:tcW w:w="1758" w:type="pct"/>
            <w:vAlign w:val="center"/>
          </w:tcPr>
          <w:p>
            <w:pPr>
              <w:pStyle w:val="42"/>
              <w:bidi w:val="0"/>
              <w:spacing w:line="240" w:lineRule="auto"/>
              <w:jc w:val="both"/>
              <w:rPr>
                <w:rFonts w:hint="eastAsia" w:eastAsia="宋"/>
                <w:color w:val="auto"/>
                <w:highlight w:val="none"/>
                <w:lang w:eastAsia="zh-CN"/>
              </w:rPr>
            </w:pPr>
            <w:r>
              <w:rPr>
                <w:color w:val="auto"/>
                <w:highlight w:val="none"/>
              </w:rPr>
              <w:t>本项目</w:t>
            </w:r>
            <w:r>
              <w:rPr>
                <w:rFonts w:hint="eastAsia"/>
                <w:color w:val="auto"/>
                <w:highlight w:val="none"/>
                <w:lang w:val="en-US" w:eastAsia="zh-CN"/>
              </w:rPr>
              <w:t>的实施</w:t>
            </w:r>
            <w:r>
              <w:rPr>
                <w:color w:val="auto"/>
                <w:highlight w:val="none"/>
              </w:rPr>
              <w:t>将有效改善农田灌溉水源利用效率；涉耕地段均采取深埋管线布置，避免对耕地产生影响</w:t>
            </w:r>
            <w:r>
              <w:rPr>
                <w:rFonts w:hint="eastAsia"/>
                <w:color w:val="auto"/>
                <w:highlight w:val="none"/>
                <w:lang w:eastAsia="zh-CN"/>
              </w:rPr>
              <w:t>。</w:t>
            </w:r>
          </w:p>
        </w:tc>
        <w:tc>
          <w:tcPr>
            <w:tcW w:w="449" w:type="pct"/>
            <w:vAlign w:val="center"/>
          </w:tcPr>
          <w:p>
            <w:pPr>
              <w:pStyle w:val="42"/>
              <w:bidi w:val="0"/>
              <w:spacing w:line="240" w:lineRule="auto"/>
              <w:jc w:val="center"/>
              <w:rPr>
                <w:color w:val="auto"/>
                <w:highlight w:val="none"/>
              </w:rPr>
            </w:pPr>
            <w:r>
              <w:rPr>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Merge w:val="continue"/>
            <w:vAlign w:val="center"/>
          </w:tcPr>
          <w:p>
            <w:pPr>
              <w:pStyle w:val="42"/>
              <w:bidi w:val="0"/>
              <w:spacing w:line="240" w:lineRule="auto"/>
              <w:rPr>
                <w:color w:val="auto"/>
                <w:highlight w:val="none"/>
              </w:rPr>
            </w:pPr>
          </w:p>
        </w:tc>
        <w:tc>
          <w:tcPr>
            <w:tcW w:w="499" w:type="pct"/>
            <w:vMerge w:val="continue"/>
            <w:vAlign w:val="center"/>
          </w:tcPr>
          <w:p>
            <w:pPr>
              <w:pStyle w:val="42"/>
              <w:bidi w:val="0"/>
              <w:spacing w:line="240" w:lineRule="auto"/>
              <w:rPr>
                <w:color w:val="auto"/>
                <w:highlight w:val="none"/>
              </w:rPr>
            </w:pPr>
          </w:p>
        </w:tc>
        <w:tc>
          <w:tcPr>
            <w:tcW w:w="1646" w:type="pct"/>
            <w:vAlign w:val="center"/>
          </w:tcPr>
          <w:p>
            <w:pPr>
              <w:pStyle w:val="42"/>
              <w:bidi w:val="0"/>
              <w:spacing w:line="240" w:lineRule="auto"/>
              <w:jc w:val="both"/>
              <w:rPr>
                <w:color w:val="auto"/>
                <w:highlight w:val="none"/>
              </w:rPr>
            </w:pPr>
            <w:r>
              <w:rPr>
                <w:color w:val="auto"/>
                <w:highlight w:val="none"/>
              </w:rPr>
              <w:t>实行最严格的水资源管理制度，严格用水总量、强度指标管理，严格取水管控，建立重点监控取水单位名录，强化重点监控取水单位管理。全州年用水总量、万元工业增加值用水量降幅等指标达到省考核要求。</w:t>
            </w:r>
          </w:p>
        </w:tc>
        <w:tc>
          <w:tcPr>
            <w:tcW w:w="1758" w:type="pct"/>
            <w:vAlign w:val="center"/>
          </w:tcPr>
          <w:p>
            <w:pPr>
              <w:pStyle w:val="42"/>
              <w:bidi w:val="0"/>
              <w:spacing w:line="240" w:lineRule="auto"/>
              <w:jc w:val="both"/>
              <w:rPr>
                <w:rFonts w:hint="default" w:eastAsia="宋"/>
                <w:color w:val="auto"/>
                <w:highlight w:val="none"/>
                <w:lang w:val="en-US" w:eastAsia="zh-CN"/>
              </w:rPr>
            </w:pPr>
            <w:r>
              <w:rPr>
                <w:rFonts w:hint="eastAsia" w:eastAsia="宋"/>
                <w:color w:val="0000FF"/>
                <w:highlight w:val="none"/>
                <w:lang w:val="en-US" w:eastAsia="zh-CN"/>
              </w:rPr>
              <w:t>本项目为灌区项目，灌溉面积3.49万亩，设计供水量760.7万m</w:t>
            </w:r>
            <w:r>
              <w:rPr>
                <w:rFonts w:hint="eastAsia" w:eastAsia="宋"/>
                <w:color w:val="0000FF"/>
                <w:highlight w:val="none"/>
                <w:vertAlign w:val="superscript"/>
                <w:lang w:val="en-US" w:eastAsia="zh-CN"/>
              </w:rPr>
              <w:t>3</w:t>
            </w:r>
            <w:r>
              <w:rPr>
                <w:rFonts w:hint="eastAsia" w:eastAsia="宋"/>
                <w:color w:val="0000FF"/>
                <w:highlight w:val="none"/>
                <w:lang w:val="en-US" w:eastAsia="zh-CN"/>
              </w:rPr>
              <w:t>。项目建成后可提高灌区水资源利用率。</w:t>
            </w:r>
          </w:p>
        </w:tc>
        <w:tc>
          <w:tcPr>
            <w:tcW w:w="449" w:type="pct"/>
            <w:vAlign w:val="center"/>
          </w:tcPr>
          <w:p>
            <w:pPr>
              <w:pStyle w:val="42"/>
              <w:bidi w:val="0"/>
              <w:spacing w:line="240" w:lineRule="auto"/>
              <w:jc w:val="center"/>
              <w:rPr>
                <w:color w:val="auto"/>
                <w:highlight w:val="none"/>
              </w:rPr>
            </w:pPr>
            <w:r>
              <w:rPr>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Merge w:val="continue"/>
            <w:vAlign w:val="center"/>
          </w:tcPr>
          <w:p>
            <w:pPr>
              <w:pStyle w:val="42"/>
              <w:bidi w:val="0"/>
              <w:spacing w:line="240" w:lineRule="auto"/>
              <w:rPr>
                <w:color w:val="auto"/>
                <w:highlight w:val="none"/>
              </w:rPr>
            </w:pPr>
          </w:p>
        </w:tc>
        <w:tc>
          <w:tcPr>
            <w:tcW w:w="499" w:type="pct"/>
            <w:vMerge w:val="continue"/>
            <w:vAlign w:val="center"/>
          </w:tcPr>
          <w:p>
            <w:pPr>
              <w:pStyle w:val="42"/>
              <w:bidi w:val="0"/>
              <w:spacing w:line="240" w:lineRule="auto"/>
              <w:rPr>
                <w:color w:val="auto"/>
                <w:highlight w:val="none"/>
              </w:rPr>
            </w:pPr>
          </w:p>
        </w:tc>
        <w:tc>
          <w:tcPr>
            <w:tcW w:w="1646" w:type="pct"/>
            <w:vAlign w:val="center"/>
          </w:tcPr>
          <w:p>
            <w:pPr>
              <w:pStyle w:val="42"/>
              <w:bidi w:val="0"/>
              <w:spacing w:line="240" w:lineRule="auto"/>
              <w:jc w:val="both"/>
              <w:rPr>
                <w:color w:val="auto"/>
                <w:highlight w:val="none"/>
              </w:rPr>
            </w:pPr>
            <w:r>
              <w:rPr>
                <w:color w:val="auto"/>
                <w:highlight w:val="none"/>
              </w:rPr>
              <w:t>坚持最严格的耕地保护制度，守住耕地保护红线。坚持节约用地，严格执行耕地占补平衡等制度，提高土地投资强度和单位面积产出水平。</w:t>
            </w:r>
          </w:p>
        </w:tc>
        <w:tc>
          <w:tcPr>
            <w:tcW w:w="1758" w:type="pct"/>
            <w:vAlign w:val="center"/>
          </w:tcPr>
          <w:p>
            <w:pPr>
              <w:pStyle w:val="42"/>
              <w:bidi w:val="0"/>
              <w:spacing w:line="240" w:lineRule="auto"/>
              <w:jc w:val="both"/>
              <w:rPr>
                <w:rFonts w:hint="eastAsia" w:eastAsia="宋"/>
                <w:color w:val="auto"/>
                <w:highlight w:val="none"/>
                <w:lang w:eastAsia="zh-CN"/>
              </w:rPr>
            </w:pPr>
            <w:r>
              <w:rPr>
                <w:rFonts w:hint="eastAsia"/>
                <w:color w:val="auto"/>
                <w:highlight w:val="none"/>
              </w:rPr>
              <w:t>本项目不永久占用耕地，管道均采用埋管敷设，施工结束后将进行恢复，不影响耕种条件。</w:t>
            </w:r>
          </w:p>
        </w:tc>
        <w:tc>
          <w:tcPr>
            <w:tcW w:w="449" w:type="pct"/>
            <w:vAlign w:val="center"/>
          </w:tcPr>
          <w:p>
            <w:pPr>
              <w:pStyle w:val="42"/>
              <w:bidi w:val="0"/>
              <w:spacing w:line="240" w:lineRule="auto"/>
              <w:jc w:val="center"/>
              <w:rPr>
                <w:color w:val="auto"/>
                <w:highlight w:val="none"/>
              </w:rPr>
            </w:pPr>
            <w:r>
              <w:rPr>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Merge w:val="restart"/>
            <w:vAlign w:val="center"/>
          </w:tcPr>
          <w:p>
            <w:pPr>
              <w:pStyle w:val="42"/>
              <w:bidi w:val="0"/>
              <w:spacing w:line="240" w:lineRule="auto"/>
              <w:rPr>
                <w:color w:val="auto"/>
                <w:highlight w:val="none"/>
              </w:rPr>
            </w:pPr>
            <w:r>
              <w:rPr>
                <w:color w:val="auto"/>
                <w:highlight w:val="none"/>
              </w:rPr>
              <w:t>优先保护单元生态环境准入清单</w:t>
            </w:r>
          </w:p>
        </w:tc>
        <w:tc>
          <w:tcPr>
            <w:tcW w:w="499" w:type="pct"/>
            <w:vAlign w:val="center"/>
          </w:tcPr>
          <w:p>
            <w:pPr>
              <w:pStyle w:val="42"/>
              <w:bidi w:val="0"/>
              <w:spacing w:line="240" w:lineRule="auto"/>
              <w:jc w:val="both"/>
              <w:rPr>
                <w:color w:val="auto"/>
                <w:highlight w:val="none"/>
              </w:rPr>
            </w:pPr>
            <w:r>
              <w:rPr>
                <w:color w:val="auto"/>
                <w:highlight w:val="none"/>
              </w:rPr>
              <w:t>生态保护红线优先保护单元</w:t>
            </w:r>
          </w:p>
        </w:tc>
        <w:tc>
          <w:tcPr>
            <w:tcW w:w="1646" w:type="pct"/>
            <w:vAlign w:val="center"/>
          </w:tcPr>
          <w:p>
            <w:pPr>
              <w:pStyle w:val="42"/>
              <w:bidi w:val="0"/>
              <w:spacing w:line="240" w:lineRule="auto"/>
              <w:jc w:val="both"/>
              <w:rPr>
                <w:color w:val="auto"/>
                <w:highlight w:val="none"/>
              </w:rPr>
            </w:pPr>
            <w:r>
              <w:rPr>
                <w:color w:val="auto"/>
                <w:highlight w:val="none"/>
              </w:rPr>
              <w:t>原则上按照禁止开发区进行管理，生态保护红线相关管控办法出台后，依据其管理规定执行。</w:t>
            </w:r>
          </w:p>
        </w:tc>
        <w:tc>
          <w:tcPr>
            <w:tcW w:w="1758" w:type="pct"/>
            <w:vAlign w:val="center"/>
          </w:tcPr>
          <w:p>
            <w:pPr>
              <w:pStyle w:val="42"/>
              <w:bidi w:val="0"/>
              <w:spacing w:line="240" w:lineRule="auto"/>
              <w:jc w:val="both"/>
              <w:rPr>
                <w:rFonts w:hint="default" w:eastAsia="宋体"/>
                <w:color w:val="auto"/>
                <w:highlight w:val="none"/>
                <w:lang w:val="en-US" w:eastAsia="zh-CN"/>
              </w:rPr>
            </w:pPr>
            <w:r>
              <w:rPr>
                <w:color w:val="0000FF"/>
                <w:highlight w:val="none"/>
              </w:rPr>
              <w:t>本项目属于</w:t>
            </w:r>
            <w:r>
              <w:rPr>
                <w:rFonts w:hint="eastAsia"/>
                <w:color w:val="0000FF"/>
                <w:highlight w:val="none"/>
                <w:lang w:eastAsia="zh-CN"/>
              </w:rPr>
              <w:t>灌区</w:t>
            </w:r>
            <w:r>
              <w:rPr>
                <w:color w:val="0000FF"/>
                <w:highlight w:val="none"/>
              </w:rPr>
              <w:t>项目，</w:t>
            </w:r>
            <w:r>
              <w:rPr>
                <w:rFonts w:hint="eastAsia"/>
                <w:color w:val="0000FF"/>
                <w:highlight w:val="none"/>
                <w:lang w:val="en-US" w:eastAsia="zh-CN"/>
              </w:rPr>
              <w:t>涉及生态红线，取得了</w:t>
            </w:r>
            <w:r>
              <w:rPr>
                <w:rFonts w:hint="eastAsia"/>
                <w:color w:val="0000FF"/>
                <w:highlight w:val="none"/>
                <w:shd w:val="clear"/>
                <w:vertAlign w:val="baseline"/>
                <w:lang w:val="en-US" w:eastAsia="zh-CN"/>
              </w:rPr>
              <w:t>“元谋县人民政府出具的关于项目为有限人为活动的认定意见”（附件5）；</w:t>
            </w:r>
            <w:r>
              <w:rPr>
                <w:rFonts w:hint="eastAsia"/>
                <w:color w:val="0000FF"/>
                <w:highlight w:val="none"/>
                <w:lang w:val="en-US" w:eastAsia="zh-CN"/>
              </w:rPr>
              <w:t>涉及</w:t>
            </w:r>
            <w:r>
              <w:rPr>
                <w:rFonts w:hint="eastAsia"/>
                <w:color w:val="0000FF"/>
                <w:highlight w:val="none"/>
              </w:rPr>
              <w:t>元谋风景名胜区金沙江景区</w:t>
            </w:r>
            <w:r>
              <w:rPr>
                <w:rFonts w:hint="eastAsia"/>
                <w:color w:val="0000FF"/>
                <w:highlight w:val="none"/>
                <w:lang w:eastAsia="zh-CN"/>
              </w:rPr>
              <w:t>，</w:t>
            </w:r>
            <w:r>
              <w:rPr>
                <w:rFonts w:hint="eastAsia"/>
                <w:color w:val="0000FF"/>
                <w:highlight w:val="none"/>
                <w:lang w:val="en-US" w:eastAsia="zh-CN"/>
              </w:rPr>
              <w:t>已</w:t>
            </w:r>
            <w:r>
              <w:rPr>
                <w:rFonts w:hint="eastAsia"/>
                <w:color w:val="0000FF"/>
                <w:highlight w:val="none"/>
              </w:rPr>
              <w:t>取得了《楚雄州林业和草原局关于元谋县姜驿中型灌区续建配套与节水改造项目涉及元谋风景名胜区方案选址的意见》（附件6）</w:t>
            </w:r>
            <w:r>
              <w:rPr>
                <w:rFonts w:hint="eastAsia"/>
                <w:color w:val="0000FF"/>
                <w:highlight w:val="none"/>
                <w:lang w:eastAsia="zh-CN"/>
              </w:rPr>
              <w:t>；</w:t>
            </w:r>
            <w:r>
              <w:rPr>
                <w:rFonts w:hint="eastAsia"/>
                <w:color w:val="0000FF"/>
                <w:highlight w:val="none"/>
                <w:lang w:val="en-US" w:eastAsia="zh-CN"/>
              </w:rPr>
              <w:t>在后续施工过程中环评要求避让优先，不得扩大施工范围。</w:t>
            </w:r>
          </w:p>
        </w:tc>
        <w:tc>
          <w:tcPr>
            <w:tcW w:w="449" w:type="pct"/>
            <w:vAlign w:val="center"/>
          </w:tcPr>
          <w:p>
            <w:pPr>
              <w:pStyle w:val="42"/>
              <w:bidi w:val="0"/>
              <w:spacing w:line="240" w:lineRule="auto"/>
              <w:jc w:val="center"/>
              <w:rPr>
                <w:color w:val="auto"/>
                <w:highlight w:val="none"/>
              </w:rPr>
            </w:pPr>
            <w:r>
              <w:rPr>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Merge w:val="continue"/>
            <w:vAlign w:val="center"/>
          </w:tcPr>
          <w:p>
            <w:pPr>
              <w:pStyle w:val="42"/>
              <w:bidi w:val="0"/>
              <w:spacing w:line="240" w:lineRule="auto"/>
              <w:rPr>
                <w:color w:val="auto"/>
                <w:highlight w:val="none"/>
              </w:rPr>
            </w:pPr>
          </w:p>
        </w:tc>
        <w:tc>
          <w:tcPr>
            <w:tcW w:w="499" w:type="pct"/>
            <w:vAlign w:val="center"/>
          </w:tcPr>
          <w:p>
            <w:pPr>
              <w:pStyle w:val="42"/>
              <w:bidi w:val="0"/>
              <w:spacing w:line="240" w:lineRule="auto"/>
              <w:rPr>
                <w:color w:val="auto"/>
                <w:highlight w:val="none"/>
              </w:rPr>
            </w:pPr>
            <w:r>
              <w:rPr>
                <w:color w:val="auto"/>
                <w:highlight w:val="none"/>
              </w:rPr>
              <w:t>一般生态空间优先保护单元</w:t>
            </w:r>
          </w:p>
        </w:tc>
        <w:tc>
          <w:tcPr>
            <w:tcW w:w="1646" w:type="pct"/>
            <w:vAlign w:val="center"/>
          </w:tcPr>
          <w:p>
            <w:pPr>
              <w:pStyle w:val="42"/>
              <w:bidi w:val="0"/>
              <w:spacing w:line="240" w:lineRule="auto"/>
              <w:jc w:val="both"/>
              <w:rPr>
                <w:color w:val="auto"/>
                <w:highlight w:val="none"/>
              </w:rPr>
            </w:pPr>
            <w:r>
              <w:rPr>
                <w:color w:val="auto"/>
                <w:highlight w:val="none"/>
              </w:rPr>
              <w:t>（1）执行《云南省人民政府关于实施</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三线一单</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生态</w:t>
            </w:r>
            <w:r>
              <w:rPr>
                <w:color w:val="auto"/>
                <w:highlight w:val="none"/>
              </w:rPr>
              <w:t>环境分区管控的意见》。原则上按照限制开发区域的要求进行管理，严格限制大规模开发建设活动。以保护和修复生态环境、提供生态产品为首要任务，因地制宜地发展不影响主体功能定位的产业。</w:t>
            </w:r>
          </w:p>
          <w:p>
            <w:pPr>
              <w:pStyle w:val="42"/>
              <w:bidi w:val="0"/>
              <w:spacing w:line="240" w:lineRule="auto"/>
              <w:jc w:val="both"/>
              <w:rPr>
                <w:color w:val="auto"/>
                <w:highlight w:val="none"/>
              </w:rPr>
            </w:pPr>
            <w:r>
              <w:rPr>
                <w:color w:val="auto"/>
                <w:highlight w:val="none"/>
              </w:rPr>
              <w:t>（2）未纳入生态保护红线的各类自然保护地按照相关法律法规规定进行管控；重要湿地依据《湿地保护管理规定》、 《国务院办公厅关于印发湿地保护修复制度方案的通知》、《云南省湿地保护条例》、《云南省人民政府关于加强湿地保护工作的意见》等进行管理；生态公益林依据《国家级公益林管理办法》、《云南省地方公益林管理办法》进行管理；天然林依据《国家林业局关于严格保护天然林的通知》（林资发〔2015〕181号）、《天然林保护修复制度方案》的通知（厅字〔2019〕39号） 等进行管理；基本草原依据《中华人民共和国草原法》进行管理。</w:t>
            </w:r>
          </w:p>
        </w:tc>
        <w:tc>
          <w:tcPr>
            <w:tcW w:w="1758" w:type="pct"/>
            <w:vAlign w:val="center"/>
          </w:tcPr>
          <w:p>
            <w:pPr>
              <w:pStyle w:val="42"/>
              <w:bidi w:val="0"/>
              <w:spacing w:line="240" w:lineRule="auto"/>
              <w:jc w:val="both"/>
              <w:rPr>
                <w:rFonts w:hint="default" w:eastAsia="宋体"/>
                <w:color w:val="0000FF"/>
                <w:highlight w:val="none"/>
                <w:lang w:val="en-US" w:eastAsia="zh-CN"/>
              </w:rPr>
            </w:pPr>
            <w:r>
              <w:rPr>
                <w:rFonts w:hint="eastAsia"/>
                <w:color w:val="0000FF"/>
                <w:highlight w:val="none"/>
                <w:lang w:eastAsia="zh-CN"/>
              </w:rPr>
              <w:t>（</w:t>
            </w:r>
            <w:r>
              <w:rPr>
                <w:rFonts w:hint="eastAsia"/>
                <w:color w:val="0000FF"/>
                <w:highlight w:val="none"/>
                <w:lang w:val="en-US" w:eastAsia="zh-CN"/>
              </w:rPr>
              <w:t>1</w:t>
            </w:r>
            <w:r>
              <w:rPr>
                <w:rFonts w:hint="eastAsia"/>
                <w:color w:val="0000FF"/>
                <w:highlight w:val="none"/>
                <w:lang w:eastAsia="zh-CN"/>
              </w:rPr>
              <w:t>）</w:t>
            </w:r>
            <w:r>
              <w:rPr>
                <w:rFonts w:hint="eastAsia"/>
                <w:color w:val="0000FF"/>
                <w:highlight w:val="none"/>
              </w:rPr>
              <w:t>对照国家发展和改革委员会《产业结构调整指导目录（20</w:t>
            </w:r>
            <w:r>
              <w:rPr>
                <w:rFonts w:hint="eastAsia"/>
                <w:color w:val="0000FF"/>
                <w:highlight w:val="none"/>
                <w:lang w:val="en-US" w:eastAsia="zh-CN"/>
              </w:rPr>
              <w:t>24</w:t>
            </w:r>
            <w:r>
              <w:rPr>
                <w:rFonts w:hint="eastAsia"/>
                <w:color w:val="0000FF"/>
                <w:highlight w:val="none"/>
              </w:rPr>
              <w:t>年本）》，项目属于</w:t>
            </w:r>
            <w:r>
              <w:rPr>
                <w:rFonts w:hint="default"/>
                <w:color w:val="0000FF"/>
                <w:highlight w:val="none"/>
              </w:rPr>
              <w:t>鼓励类</w:t>
            </w:r>
            <w:r>
              <w:rPr>
                <w:rFonts w:hint="eastAsia" w:ascii="宋体" w:hAnsi="宋体" w:eastAsia="宋体" w:cs="宋体"/>
                <w:color w:val="0000FF"/>
                <w:highlight w:val="none"/>
                <w:lang w:eastAsia="zh-CN"/>
              </w:rPr>
              <w:t>“</w:t>
            </w:r>
            <w:r>
              <w:rPr>
                <w:rFonts w:hint="eastAsia" w:ascii="宋体" w:hAnsi="宋体" w:cs="宋体"/>
                <w:color w:val="0000FF"/>
                <w:highlight w:val="none"/>
                <w:lang w:val="en-US" w:eastAsia="zh-CN"/>
              </w:rPr>
              <w:t>二、水利</w:t>
            </w:r>
            <w:r>
              <w:rPr>
                <w:rFonts w:hint="eastAsia" w:ascii="宋体" w:hAnsi="宋体" w:cs="宋体"/>
                <w:color w:val="0000FF"/>
                <w:highlight w:val="none"/>
                <w:lang w:eastAsia="zh-CN"/>
              </w:rPr>
              <w:t>”</w:t>
            </w:r>
            <w:r>
              <w:rPr>
                <w:rFonts w:hint="eastAsia" w:ascii="宋体" w:hAnsi="宋体" w:cs="宋体"/>
                <w:color w:val="0000FF"/>
                <w:highlight w:val="none"/>
                <w:lang w:val="en-US" w:eastAsia="zh-CN"/>
              </w:rPr>
              <w:t>中</w:t>
            </w:r>
            <w:r>
              <w:rPr>
                <w:rFonts w:hint="eastAsia" w:ascii="宋体" w:hAnsi="宋体" w:cs="宋体"/>
                <w:color w:val="0000FF"/>
                <w:highlight w:val="none"/>
                <w:lang w:eastAsia="zh-CN"/>
              </w:rPr>
              <w:t>“</w:t>
            </w:r>
            <w:r>
              <w:rPr>
                <w:rFonts w:hint="eastAsia" w:ascii="宋体" w:hAnsi="宋体" w:eastAsia="宋体" w:cs="宋体"/>
                <w:color w:val="0000FF"/>
                <w:highlight w:val="none"/>
              </w:rPr>
              <w:t>灌区及配套设施建设、改造</w:t>
            </w:r>
            <w:r>
              <w:rPr>
                <w:rFonts w:hint="eastAsia" w:ascii="宋体" w:hAnsi="宋体" w:eastAsia="宋体" w:cs="宋体"/>
                <w:color w:val="0000FF"/>
                <w:highlight w:val="none"/>
                <w:lang w:eastAsia="zh-CN"/>
              </w:rPr>
              <w:t>”</w:t>
            </w:r>
            <w:r>
              <w:rPr>
                <w:rFonts w:hint="eastAsia"/>
                <w:color w:val="0000FF"/>
                <w:highlight w:val="none"/>
              </w:rPr>
              <w:t>的规定。</w:t>
            </w:r>
            <w:r>
              <w:rPr>
                <w:color w:val="0000FF"/>
                <w:highlight w:val="none"/>
              </w:rPr>
              <w:t>符合国家产业政策</w:t>
            </w:r>
            <w:r>
              <w:rPr>
                <w:rFonts w:hint="eastAsia"/>
                <w:color w:val="0000FF"/>
                <w:highlight w:val="none"/>
                <w:lang w:eastAsia="zh-CN"/>
              </w:rPr>
              <w:t>。</w:t>
            </w:r>
            <w:r>
              <w:rPr>
                <w:rFonts w:hint="eastAsia"/>
                <w:color w:val="0000FF"/>
                <w:highlight w:val="none"/>
                <w:lang w:val="en-US" w:eastAsia="zh-CN"/>
              </w:rPr>
              <w:t>不会影响区域主体功能定位；</w:t>
            </w:r>
          </w:p>
          <w:p>
            <w:pPr>
              <w:pStyle w:val="42"/>
              <w:bidi w:val="0"/>
              <w:spacing w:line="240" w:lineRule="auto"/>
              <w:jc w:val="both"/>
              <w:rPr>
                <w:rFonts w:hint="default" w:eastAsia="宋体"/>
                <w:color w:val="auto"/>
                <w:highlight w:val="none"/>
                <w:lang w:val="en-US" w:eastAsia="zh-CN"/>
              </w:rPr>
            </w:pPr>
            <w:r>
              <w:rPr>
                <w:rFonts w:hint="eastAsia"/>
                <w:color w:val="0000FF"/>
                <w:highlight w:val="none"/>
                <w:lang w:eastAsia="zh-CN"/>
              </w:rPr>
              <w:t>（</w:t>
            </w:r>
            <w:r>
              <w:rPr>
                <w:rFonts w:hint="eastAsia"/>
                <w:color w:val="0000FF"/>
                <w:highlight w:val="none"/>
                <w:lang w:val="en-US" w:eastAsia="zh-CN"/>
              </w:rPr>
              <w:t>2</w:t>
            </w:r>
            <w:r>
              <w:rPr>
                <w:rFonts w:hint="eastAsia"/>
                <w:color w:val="0000FF"/>
                <w:highlight w:val="none"/>
                <w:lang w:eastAsia="zh-CN"/>
              </w:rPr>
              <w:t>）</w:t>
            </w:r>
            <w:r>
              <w:rPr>
                <w:rFonts w:hint="eastAsia"/>
                <w:color w:val="0000FF"/>
                <w:highlight w:val="none"/>
                <w:lang w:val="en-US" w:eastAsia="zh-CN"/>
              </w:rPr>
              <w:t>本项目涉及生态保护红线外的自然保护地（元谋县风景名胜区金沙江景区），已</w:t>
            </w:r>
            <w:r>
              <w:rPr>
                <w:rFonts w:hint="eastAsia"/>
                <w:color w:val="0000FF"/>
                <w:highlight w:val="none"/>
              </w:rPr>
              <w:t>取得了《楚雄州林业和草原局关于元谋县姜驿中型灌区续建配套与节水改造项目涉及元谋风景名胜区方案选址的意见》（附件6）</w:t>
            </w:r>
            <w:r>
              <w:rPr>
                <w:rFonts w:hint="eastAsia"/>
                <w:color w:val="0000FF"/>
                <w:highlight w:val="none"/>
                <w:lang w:eastAsia="zh-CN"/>
              </w:rPr>
              <w:t>；</w:t>
            </w:r>
            <w:r>
              <w:rPr>
                <w:rFonts w:hint="eastAsia"/>
                <w:color w:val="0000FF"/>
                <w:highlight w:val="none"/>
                <w:lang w:val="en-US" w:eastAsia="zh-CN"/>
              </w:rPr>
              <w:t>项目不涉及湿地；项目输水管道设计公益林，建设单位已委托云南木嵘林业勘察设计有限公司编制林勘报告，目前正组织报送至楚雄州林业和草原局中。建设单位按照《国家级公益林管理办法》和《云南省地方公益林管理办法》的要求，依法办理用地审核和林木采伐审批手续，项目占用公益林不存在制约因素。</w:t>
            </w:r>
          </w:p>
          <w:p>
            <w:pPr>
              <w:pStyle w:val="42"/>
              <w:bidi w:val="0"/>
              <w:spacing w:line="240" w:lineRule="auto"/>
              <w:jc w:val="both"/>
              <w:rPr>
                <w:color w:val="auto"/>
                <w:highlight w:val="none"/>
              </w:rPr>
            </w:pPr>
          </w:p>
        </w:tc>
        <w:tc>
          <w:tcPr>
            <w:tcW w:w="449" w:type="pct"/>
            <w:vAlign w:val="center"/>
          </w:tcPr>
          <w:p>
            <w:pPr>
              <w:pStyle w:val="42"/>
              <w:bidi w:val="0"/>
              <w:spacing w:line="240" w:lineRule="auto"/>
              <w:jc w:val="center"/>
              <w:rPr>
                <w:color w:val="auto"/>
                <w:highlight w:val="none"/>
              </w:rPr>
            </w:pPr>
            <w:r>
              <w:rPr>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Merge w:val="continue"/>
            <w:vAlign w:val="center"/>
          </w:tcPr>
          <w:p>
            <w:pPr>
              <w:pStyle w:val="42"/>
              <w:bidi w:val="0"/>
              <w:spacing w:line="240" w:lineRule="auto"/>
              <w:rPr>
                <w:color w:val="auto"/>
                <w:highlight w:val="none"/>
              </w:rPr>
            </w:pPr>
          </w:p>
        </w:tc>
        <w:tc>
          <w:tcPr>
            <w:tcW w:w="499" w:type="pct"/>
            <w:vAlign w:val="center"/>
          </w:tcPr>
          <w:p>
            <w:pPr>
              <w:pStyle w:val="42"/>
              <w:bidi w:val="0"/>
              <w:spacing w:line="240" w:lineRule="auto"/>
              <w:rPr>
                <w:color w:val="auto"/>
                <w:highlight w:val="none"/>
              </w:rPr>
            </w:pPr>
            <w:r>
              <w:rPr>
                <w:color w:val="auto"/>
                <w:highlight w:val="none"/>
              </w:rPr>
              <w:t>饮用水源地优先保护单元</w:t>
            </w:r>
          </w:p>
        </w:tc>
        <w:tc>
          <w:tcPr>
            <w:tcW w:w="1646" w:type="pct"/>
            <w:vAlign w:val="center"/>
          </w:tcPr>
          <w:p>
            <w:pPr>
              <w:pStyle w:val="42"/>
              <w:bidi w:val="0"/>
              <w:spacing w:line="240" w:lineRule="auto"/>
              <w:jc w:val="both"/>
              <w:rPr>
                <w:color w:val="auto"/>
                <w:highlight w:val="none"/>
              </w:rPr>
            </w:pPr>
            <w:r>
              <w:rPr>
                <w:color w:val="auto"/>
                <w:highlight w:val="none"/>
              </w:rPr>
              <w:t>依据《中华人民共和国水污染防治法》、《饮用水水源保护区污染防治管理规定》进行管理。</w:t>
            </w:r>
          </w:p>
        </w:tc>
        <w:tc>
          <w:tcPr>
            <w:tcW w:w="1758"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420" w:firstLineChars="200"/>
              <w:jc w:val="both"/>
              <w:textAlignment w:val="baseline"/>
              <w:rPr>
                <w:rFonts w:hint="default" w:eastAsia="宋"/>
                <w:color w:val="auto"/>
                <w:highlight w:val="none"/>
                <w:lang w:val="en-US" w:eastAsia="zh-CN"/>
              </w:rPr>
            </w:pPr>
            <w:r>
              <w:rPr>
                <w:rFonts w:hint="eastAsia" w:eastAsia="宋"/>
                <w:color w:val="0000FF"/>
                <w:highlight w:val="none"/>
                <w:lang w:val="en-US" w:eastAsia="zh-CN"/>
              </w:rPr>
              <w:t>根据附图23，本项目不涉及饮用水源保护区。</w:t>
            </w:r>
          </w:p>
        </w:tc>
        <w:tc>
          <w:tcPr>
            <w:tcW w:w="449" w:type="pct"/>
            <w:vAlign w:val="center"/>
          </w:tcPr>
          <w:p>
            <w:pPr>
              <w:pStyle w:val="42"/>
              <w:bidi w:val="0"/>
              <w:spacing w:line="240" w:lineRule="auto"/>
              <w:jc w:val="center"/>
              <w:rPr>
                <w:color w:val="auto"/>
                <w:highlight w:val="none"/>
              </w:rPr>
            </w:pPr>
            <w:r>
              <w:rPr>
                <w:color w:val="auto"/>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645" w:type="pct"/>
            <w:vAlign w:val="center"/>
          </w:tcPr>
          <w:p>
            <w:pPr>
              <w:pStyle w:val="42"/>
              <w:bidi w:val="0"/>
              <w:spacing w:line="240" w:lineRule="auto"/>
              <w:rPr>
                <w:color w:val="auto"/>
                <w:highlight w:val="none"/>
              </w:rPr>
            </w:pPr>
            <w:r>
              <w:rPr>
                <w:color w:val="auto"/>
                <w:highlight w:val="none"/>
              </w:rPr>
              <w:t>一般管控单元生态环境准入清单</w:t>
            </w:r>
          </w:p>
        </w:tc>
        <w:tc>
          <w:tcPr>
            <w:tcW w:w="499" w:type="pct"/>
            <w:vAlign w:val="center"/>
          </w:tcPr>
          <w:p>
            <w:pPr>
              <w:pStyle w:val="42"/>
              <w:bidi w:val="0"/>
              <w:spacing w:line="240" w:lineRule="auto"/>
              <w:jc w:val="both"/>
              <w:rPr>
                <w:color w:val="auto"/>
                <w:highlight w:val="none"/>
              </w:rPr>
            </w:pPr>
            <w:r>
              <w:rPr>
                <w:color w:val="auto"/>
                <w:highlight w:val="none"/>
              </w:rPr>
              <w:t>空间布局约束</w:t>
            </w:r>
          </w:p>
        </w:tc>
        <w:tc>
          <w:tcPr>
            <w:tcW w:w="1646" w:type="pct"/>
            <w:vAlign w:val="center"/>
          </w:tcPr>
          <w:p>
            <w:pPr>
              <w:pStyle w:val="42"/>
              <w:bidi w:val="0"/>
              <w:spacing w:line="240" w:lineRule="auto"/>
              <w:jc w:val="both"/>
              <w:rPr>
                <w:color w:val="auto"/>
                <w:highlight w:val="none"/>
              </w:rPr>
            </w:pPr>
            <w:r>
              <w:rPr>
                <w:color w:val="auto"/>
                <w:highlight w:val="none"/>
              </w:rPr>
              <w:t>落实生态环境保护基本要求，项目建设和运行应满足产业准入、总量控制、排放标准等管理规定和国家法律法规要求。</w:t>
            </w:r>
          </w:p>
        </w:tc>
        <w:tc>
          <w:tcPr>
            <w:tcW w:w="1758" w:type="pct"/>
            <w:vAlign w:val="center"/>
          </w:tcPr>
          <w:p>
            <w:pPr>
              <w:pStyle w:val="42"/>
              <w:keepNext w:val="0"/>
              <w:keepLines w:val="0"/>
              <w:pageBreakBefore w:val="0"/>
              <w:widowControl/>
              <w:kinsoku/>
              <w:wordWrap/>
              <w:overflowPunct/>
              <w:topLinePunct w:val="0"/>
              <w:autoSpaceDE/>
              <w:autoSpaceDN/>
              <w:bidi w:val="0"/>
              <w:adjustRightInd/>
              <w:snapToGrid w:val="0"/>
              <w:spacing w:line="240" w:lineRule="auto"/>
              <w:ind w:firstLine="420" w:firstLineChars="200"/>
              <w:jc w:val="both"/>
              <w:textAlignment w:val="baseline"/>
              <w:rPr>
                <w:color w:val="0000FF"/>
                <w:highlight w:val="none"/>
              </w:rPr>
            </w:pPr>
            <w:r>
              <w:rPr>
                <w:rFonts w:hint="eastAsia"/>
                <w:color w:val="0000FF"/>
                <w:highlight w:val="none"/>
              </w:rPr>
              <w:t>对照国家发展和改革委员会《产业结构调整指导目录（20</w:t>
            </w:r>
            <w:r>
              <w:rPr>
                <w:rFonts w:hint="eastAsia"/>
                <w:color w:val="0000FF"/>
                <w:highlight w:val="none"/>
                <w:lang w:val="en-US" w:eastAsia="zh-CN"/>
              </w:rPr>
              <w:t>24</w:t>
            </w:r>
            <w:r>
              <w:rPr>
                <w:rFonts w:hint="eastAsia"/>
                <w:color w:val="0000FF"/>
                <w:highlight w:val="none"/>
              </w:rPr>
              <w:t>年本）》，项目属于</w:t>
            </w:r>
            <w:r>
              <w:rPr>
                <w:rFonts w:hint="default"/>
                <w:color w:val="0000FF"/>
                <w:highlight w:val="none"/>
              </w:rPr>
              <w:t>鼓励类</w:t>
            </w:r>
            <w:r>
              <w:rPr>
                <w:rFonts w:hint="eastAsia" w:ascii="宋体" w:hAnsi="宋体" w:eastAsia="宋体" w:cs="宋体"/>
                <w:color w:val="0000FF"/>
                <w:highlight w:val="none"/>
                <w:lang w:eastAsia="zh-CN"/>
              </w:rPr>
              <w:t>“</w:t>
            </w:r>
            <w:r>
              <w:rPr>
                <w:rFonts w:hint="eastAsia" w:ascii="宋体" w:hAnsi="宋体" w:cs="宋体"/>
                <w:color w:val="0000FF"/>
                <w:highlight w:val="none"/>
                <w:lang w:val="en-US" w:eastAsia="zh-CN"/>
              </w:rPr>
              <w:t>二、水利</w:t>
            </w:r>
            <w:r>
              <w:rPr>
                <w:rFonts w:hint="eastAsia" w:ascii="宋体" w:hAnsi="宋体" w:cs="宋体"/>
                <w:color w:val="0000FF"/>
                <w:highlight w:val="none"/>
                <w:lang w:eastAsia="zh-CN"/>
              </w:rPr>
              <w:t>”</w:t>
            </w:r>
            <w:r>
              <w:rPr>
                <w:rFonts w:hint="eastAsia" w:ascii="宋体" w:hAnsi="宋体" w:cs="宋体"/>
                <w:color w:val="0000FF"/>
                <w:highlight w:val="none"/>
                <w:lang w:val="en-US" w:eastAsia="zh-CN"/>
              </w:rPr>
              <w:t>中</w:t>
            </w:r>
            <w:r>
              <w:rPr>
                <w:rFonts w:hint="eastAsia" w:ascii="宋体" w:hAnsi="宋体" w:cs="宋体"/>
                <w:color w:val="0000FF"/>
                <w:highlight w:val="none"/>
                <w:lang w:eastAsia="zh-CN"/>
              </w:rPr>
              <w:t>“</w:t>
            </w:r>
            <w:r>
              <w:rPr>
                <w:rFonts w:hint="eastAsia" w:ascii="宋体" w:hAnsi="宋体" w:eastAsia="宋体" w:cs="宋体"/>
                <w:color w:val="0000FF"/>
                <w:highlight w:val="none"/>
              </w:rPr>
              <w:t>灌区及配套设施建设、改造</w:t>
            </w:r>
            <w:r>
              <w:rPr>
                <w:rFonts w:hint="eastAsia" w:ascii="宋体" w:hAnsi="宋体" w:eastAsia="宋体" w:cs="宋体"/>
                <w:color w:val="0000FF"/>
                <w:highlight w:val="none"/>
                <w:lang w:eastAsia="zh-CN"/>
              </w:rPr>
              <w:t>”</w:t>
            </w:r>
            <w:r>
              <w:rPr>
                <w:rFonts w:hint="eastAsia"/>
                <w:color w:val="0000FF"/>
                <w:highlight w:val="none"/>
              </w:rPr>
              <w:t>的规定。</w:t>
            </w:r>
            <w:r>
              <w:rPr>
                <w:color w:val="0000FF"/>
                <w:highlight w:val="none"/>
              </w:rPr>
              <w:t>符合国家产业政策，不属于生产类项目</w:t>
            </w:r>
            <w:r>
              <w:rPr>
                <w:rFonts w:hint="eastAsia"/>
                <w:color w:val="0000FF"/>
                <w:highlight w:val="none"/>
                <w:lang w:eastAsia="zh-CN"/>
              </w:rPr>
              <w:t>。</w:t>
            </w:r>
          </w:p>
          <w:p>
            <w:pPr>
              <w:pStyle w:val="42"/>
              <w:keepNext w:val="0"/>
              <w:keepLines w:val="0"/>
              <w:pageBreakBefore w:val="0"/>
              <w:widowControl/>
              <w:kinsoku/>
              <w:wordWrap/>
              <w:overflowPunct/>
              <w:topLinePunct w:val="0"/>
              <w:autoSpaceDE/>
              <w:autoSpaceDN/>
              <w:bidi w:val="0"/>
              <w:adjustRightInd/>
              <w:snapToGrid w:val="0"/>
              <w:spacing w:line="240" w:lineRule="auto"/>
              <w:ind w:firstLine="420" w:firstLineChars="200"/>
              <w:jc w:val="both"/>
              <w:textAlignment w:val="baseline"/>
              <w:rPr>
                <w:rFonts w:hint="default" w:eastAsia="宋"/>
                <w:color w:val="auto"/>
                <w:highlight w:val="none"/>
                <w:lang w:val="en-US" w:eastAsia="zh-CN"/>
              </w:rPr>
            </w:pPr>
            <w:r>
              <w:rPr>
                <w:rFonts w:hint="eastAsia" w:eastAsia="宋"/>
                <w:color w:val="0000FF"/>
                <w:highlight w:val="none"/>
                <w:lang w:val="en-US" w:eastAsia="zh-CN"/>
              </w:rPr>
              <w:t>项目运行后不向环境排放重大污染物。</w:t>
            </w:r>
          </w:p>
        </w:tc>
        <w:tc>
          <w:tcPr>
            <w:tcW w:w="449" w:type="pct"/>
            <w:vAlign w:val="center"/>
          </w:tcPr>
          <w:p>
            <w:pPr>
              <w:pStyle w:val="42"/>
              <w:bidi w:val="0"/>
              <w:spacing w:line="240" w:lineRule="auto"/>
              <w:jc w:val="center"/>
              <w:rPr>
                <w:color w:val="auto"/>
                <w:highlight w:val="none"/>
              </w:rPr>
            </w:pPr>
            <w:r>
              <w:rPr>
                <w:color w:val="auto"/>
                <w:highlight w:val="none"/>
              </w:rPr>
              <w:t>符合</w:t>
            </w:r>
          </w:p>
        </w:tc>
      </w:tr>
    </w:tbl>
    <w:p>
      <w:pPr>
        <w:bidi w:val="0"/>
        <w:ind w:firstLine="480" w:firstLineChars="200"/>
        <w:rPr>
          <w:rFonts w:hint="default"/>
          <w:color w:val="auto"/>
          <w:highlight w:val="none"/>
        </w:rPr>
      </w:pPr>
      <w:r>
        <w:rPr>
          <w:rFonts w:hint="eastAsia"/>
          <w:color w:val="auto"/>
          <w:highlight w:val="none"/>
          <w:lang w:eastAsia="zh-CN"/>
        </w:rPr>
        <w:t>综上，本项目符合《楚雄州“三线一单”生态环境分区管控实施方案》（楚政通〔2021〕22号）中环境质量底线、资源利用上线、生态环境准入清单等相关要求。</w:t>
      </w:r>
    </w:p>
    <w:p>
      <w:pPr>
        <w:pStyle w:val="3"/>
        <w:numPr>
          <w:ilvl w:val="1"/>
          <w:numId w:val="2"/>
        </w:numPr>
        <w:tabs>
          <w:tab w:val="left" w:pos="420"/>
        </w:tabs>
        <w:bidi w:val="0"/>
        <w:rPr>
          <w:rFonts w:hint="default"/>
          <w:color w:val="auto"/>
        </w:rPr>
      </w:pPr>
      <w:bookmarkStart w:id="961" w:name="_Toc5785"/>
      <w:bookmarkStart w:id="962" w:name="_Toc31700"/>
      <w:bookmarkStart w:id="963" w:name="_Toc22177"/>
      <w:bookmarkStart w:id="964" w:name="_Toc27769"/>
      <w:bookmarkStart w:id="965" w:name="_Toc14289"/>
      <w:r>
        <w:rPr>
          <w:rFonts w:hint="default"/>
          <w:color w:val="auto"/>
        </w:rPr>
        <w:t>选址环境合理性分析</w:t>
      </w:r>
      <w:bookmarkEnd w:id="961"/>
      <w:bookmarkEnd w:id="962"/>
      <w:bookmarkEnd w:id="963"/>
      <w:bookmarkEnd w:id="964"/>
      <w:bookmarkEnd w:id="965"/>
    </w:p>
    <w:p>
      <w:pPr>
        <w:pStyle w:val="4"/>
        <w:numPr>
          <w:ilvl w:val="2"/>
          <w:numId w:val="2"/>
        </w:numPr>
        <w:tabs>
          <w:tab w:val="left" w:pos="420"/>
        </w:tabs>
        <w:bidi w:val="0"/>
        <w:rPr>
          <w:color w:val="auto"/>
          <w:highlight w:val="none"/>
        </w:rPr>
      </w:pPr>
      <w:bookmarkStart w:id="966" w:name="_Toc18561"/>
      <w:bookmarkStart w:id="967" w:name="_Toc13081"/>
      <w:bookmarkStart w:id="968" w:name="_Toc76"/>
      <w:bookmarkStart w:id="969" w:name="_Toc20551"/>
      <w:r>
        <w:rPr>
          <w:color w:val="auto"/>
          <w:highlight w:val="none"/>
        </w:rPr>
        <w:t>选址合理性分析</w:t>
      </w:r>
      <w:bookmarkEnd w:id="966"/>
      <w:bookmarkEnd w:id="967"/>
      <w:bookmarkEnd w:id="968"/>
      <w:bookmarkEnd w:id="969"/>
    </w:p>
    <w:p>
      <w:pPr>
        <w:pStyle w:val="5"/>
        <w:numPr>
          <w:ilvl w:val="3"/>
          <w:numId w:val="2"/>
        </w:numPr>
        <w:bidi w:val="0"/>
        <w:ind w:left="480" w:leftChars="0" w:firstLineChars="0"/>
        <w:rPr>
          <w:color w:val="auto"/>
          <w:highlight w:val="none"/>
        </w:rPr>
      </w:pPr>
      <w:r>
        <w:rPr>
          <w:rFonts w:hint="eastAsia"/>
          <w:color w:val="auto"/>
          <w:highlight w:val="none"/>
          <w:lang w:eastAsia="zh-CN"/>
        </w:rPr>
        <w:t>“</w:t>
      </w:r>
      <w:r>
        <w:rPr>
          <w:color w:val="auto"/>
          <w:highlight w:val="none"/>
        </w:rPr>
        <w:t>三场</w:t>
      </w:r>
      <w:r>
        <w:rPr>
          <w:rFonts w:hint="eastAsia"/>
          <w:color w:val="auto"/>
          <w:highlight w:val="none"/>
          <w:lang w:eastAsia="zh-CN"/>
        </w:rPr>
        <w:t>”</w:t>
      </w:r>
      <w:r>
        <w:rPr>
          <w:color w:val="auto"/>
          <w:highlight w:val="none"/>
        </w:rPr>
        <w:t>选址合理性分析</w:t>
      </w:r>
    </w:p>
    <w:p>
      <w:pPr>
        <w:pStyle w:val="37"/>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）弃渣场选址合理性分析</w:t>
      </w:r>
    </w:p>
    <w:p>
      <w:pPr>
        <w:pStyle w:val="37"/>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eastAsia"/>
          <w:color w:val="auto"/>
          <w:highlight w:val="none"/>
          <w:lang w:eastAsia="zh-CN"/>
        </w:rPr>
      </w:pPr>
      <w:r>
        <w:rPr>
          <w:rFonts w:hint="eastAsia"/>
          <w:color w:val="auto"/>
          <w:highlight w:val="none"/>
          <w:lang w:eastAsia="zh-CN"/>
        </w:rPr>
        <w:t>根据工程实施方案，本工程渣场总的占地面积1.525hm²，均为临时占地，规划容积7.33万m³，本工程共弃渣产生5.61万m³（松方），能够满足弃渣的堆放。</w:t>
      </w:r>
    </w:p>
    <w:p>
      <w:pPr>
        <w:pStyle w:val="40"/>
        <w:bidi w:val="0"/>
        <w:rPr>
          <w:color w:val="auto"/>
          <w:highlight w:val="none"/>
        </w:rPr>
      </w:pPr>
      <w:r>
        <w:rPr>
          <w:color w:val="auto"/>
          <w:highlight w:val="none"/>
        </w:rPr>
        <w:t>表</w:t>
      </w:r>
      <w:r>
        <w:rPr>
          <w:rFonts w:hint="eastAsia"/>
          <w:color w:val="auto"/>
          <w:highlight w:val="none"/>
          <w:lang w:val="en-US" w:eastAsia="zh-CN"/>
        </w:rPr>
        <w:t>9</w:t>
      </w:r>
      <w:r>
        <w:rPr>
          <w:color w:val="auto"/>
          <w:highlight w:val="none"/>
        </w:rPr>
        <w:t>.5</w:t>
      </w:r>
      <w:r>
        <w:rPr>
          <w:rFonts w:hint="eastAsia"/>
          <w:color w:val="auto"/>
          <w:highlight w:val="none"/>
          <w:lang w:val="en-US" w:eastAsia="zh-CN"/>
        </w:rPr>
        <w:t>.1</w:t>
      </w:r>
      <w:r>
        <w:rPr>
          <w:color w:val="auto"/>
          <w:highlight w:val="none"/>
        </w:rPr>
        <w:t>-1  弃渣场选址合理性分析</w:t>
      </w:r>
    </w:p>
    <w:tbl>
      <w:tblPr>
        <w:tblStyle w:val="57"/>
        <w:tblW w:w="501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23"/>
        <w:gridCol w:w="1668"/>
        <w:gridCol w:w="1795"/>
        <w:gridCol w:w="1360"/>
        <w:gridCol w:w="998"/>
        <w:gridCol w:w="99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jc w:val="center"/>
        </w:trPr>
        <w:tc>
          <w:tcPr>
            <w:tcW w:w="8336" w:type="dxa"/>
            <w:gridSpan w:val="6"/>
            <w:vAlign w:val="center"/>
          </w:tcPr>
          <w:p>
            <w:pPr>
              <w:pStyle w:val="42"/>
              <w:bidi w:val="0"/>
              <w:rPr>
                <w:color w:val="auto"/>
                <w:highlight w:val="none"/>
              </w:rPr>
            </w:pPr>
            <w:r>
              <w:rPr>
                <w:color w:val="auto"/>
                <w:highlight w:val="none"/>
              </w:rPr>
              <w:t>渣场选址原则</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22" w:hRule="atLeast"/>
          <w:jc w:val="center"/>
        </w:trPr>
        <w:tc>
          <w:tcPr>
            <w:tcW w:w="1522" w:type="dxa"/>
            <w:vAlign w:val="center"/>
          </w:tcPr>
          <w:p>
            <w:pPr>
              <w:pStyle w:val="42"/>
              <w:bidi w:val="0"/>
              <w:jc w:val="both"/>
              <w:rPr>
                <w:color w:val="auto"/>
                <w:highlight w:val="none"/>
              </w:rPr>
            </w:pPr>
            <w:r>
              <w:rPr>
                <w:color w:val="auto"/>
                <w:highlight w:val="none"/>
              </w:rPr>
              <w:t>不得影响周边公共设施、工业企业、居民点等的安全</w:t>
            </w:r>
          </w:p>
        </w:tc>
        <w:tc>
          <w:tcPr>
            <w:tcW w:w="1667" w:type="dxa"/>
            <w:vAlign w:val="center"/>
          </w:tcPr>
          <w:p>
            <w:pPr>
              <w:pStyle w:val="42"/>
              <w:bidi w:val="0"/>
              <w:jc w:val="both"/>
              <w:rPr>
                <w:color w:val="auto"/>
                <w:highlight w:val="none"/>
              </w:rPr>
            </w:pPr>
            <w:r>
              <w:rPr>
                <w:color w:val="auto"/>
                <w:highlight w:val="none"/>
              </w:rPr>
              <w:t>涉及河道的，应符</w:t>
            </w:r>
          </w:p>
          <w:p>
            <w:pPr>
              <w:pStyle w:val="42"/>
              <w:bidi w:val="0"/>
              <w:jc w:val="both"/>
              <w:rPr>
                <w:color w:val="auto"/>
                <w:highlight w:val="none"/>
              </w:rPr>
            </w:pPr>
            <w:r>
              <w:rPr>
                <w:color w:val="auto"/>
                <w:highlight w:val="none"/>
              </w:rPr>
              <w:t>合治导规划及防洪行洪的规定，不</w:t>
            </w:r>
          </w:p>
          <w:p>
            <w:pPr>
              <w:pStyle w:val="42"/>
              <w:bidi w:val="0"/>
              <w:jc w:val="both"/>
              <w:rPr>
                <w:color w:val="auto"/>
                <w:highlight w:val="none"/>
              </w:rPr>
            </w:pPr>
            <w:r>
              <w:rPr>
                <w:color w:val="auto"/>
                <w:highlight w:val="none"/>
              </w:rPr>
              <w:t>得在河道、湖泊管</w:t>
            </w:r>
          </w:p>
          <w:p>
            <w:pPr>
              <w:pStyle w:val="42"/>
              <w:bidi w:val="0"/>
              <w:jc w:val="both"/>
              <w:rPr>
                <w:color w:val="auto"/>
                <w:highlight w:val="none"/>
              </w:rPr>
            </w:pPr>
            <w:r>
              <w:rPr>
                <w:color w:val="auto"/>
                <w:highlight w:val="none"/>
              </w:rPr>
              <w:t>理范围内设施弃渣场</w:t>
            </w:r>
          </w:p>
        </w:tc>
        <w:tc>
          <w:tcPr>
            <w:tcW w:w="1794" w:type="dxa"/>
            <w:vAlign w:val="center"/>
          </w:tcPr>
          <w:p>
            <w:pPr>
              <w:pStyle w:val="42"/>
              <w:bidi w:val="0"/>
              <w:jc w:val="both"/>
              <w:rPr>
                <w:color w:val="auto"/>
                <w:highlight w:val="none"/>
              </w:rPr>
            </w:pPr>
            <w:r>
              <w:rPr>
                <w:color w:val="auto"/>
                <w:highlight w:val="none"/>
              </w:rPr>
              <w:t>禁止在对重要基础</w:t>
            </w:r>
          </w:p>
          <w:p>
            <w:pPr>
              <w:pStyle w:val="42"/>
              <w:bidi w:val="0"/>
              <w:jc w:val="both"/>
              <w:rPr>
                <w:color w:val="auto"/>
                <w:highlight w:val="none"/>
              </w:rPr>
            </w:pPr>
            <w:r>
              <w:rPr>
                <w:color w:val="auto"/>
                <w:highlight w:val="none"/>
              </w:rPr>
              <w:t>设施、人民群众生</w:t>
            </w:r>
          </w:p>
          <w:p>
            <w:pPr>
              <w:pStyle w:val="42"/>
              <w:bidi w:val="0"/>
              <w:jc w:val="both"/>
              <w:rPr>
                <w:color w:val="auto"/>
                <w:highlight w:val="none"/>
              </w:rPr>
            </w:pPr>
            <w:r>
              <w:rPr>
                <w:color w:val="auto"/>
                <w:highlight w:val="none"/>
              </w:rPr>
              <w:t>命财产安全及行洪</w:t>
            </w:r>
          </w:p>
          <w:p>
            <w:pPr>
              <w:pStyle w:val="42"/>
              <w:bidi w:val="0"/>
              <w:jc w:val="both"/>
              <w:rPr>
                <w:color w:val="auto"/>
                <w:highlight w:val="none"/>
              </w:rPr>
            </w:pPr>
            <w:r>
              <w:rPr>
                <w:color w:val="auto"/>
                <w:highlight w:val="none"/>
              </w:rPr>
              <w:t>安全有重大影响的</w:t>
            </w:r>
          </w:p>
          <w:p>
            <w:pPr>
              <w:pStyle w:val="42"/>
              <w:bidi w:val="0"/>
              <w:jc w:val="both"/>
              <w:rPr>
                <w:color w:val="auto"/>
                <w:highlight w:val="none"/>
              </w:rPr>
            </w:pPr>
            <w:r>
              <w:rPr>
                <w:color w:val="auto"/>
                <w:highlight w:val="none"/>
              </w:rPr>
              <w:t>区域布设弃渣场</w:t>
            </w:r>
          </w:p>
        </w:tc>
        <w:tc>
          <w:tcPr>
            <w:tcW w:w="1359" w:type="dxa"/>
            <w:vAlign w:val="center"/>
          </w:tcPr>
          <w:p>
            <w:pPr>
              <w:pStyle w:val="42"/>
              <w:bidi w:val="0"/>
              <w:jc w:val="both"/>
              <w:rPr>
                <w:color w:val="auto"/>
                <w:highlight w:val="none"/>
              </w:rPr>
            </w:pPr>
            <w:r>
              <w:rPr>
                <w:color w:val="auto"/>
                <w:highlight w:val="none"/>
              </w:rPr>
              <w:t>不宜布设在流</w:t>
            </w:r>
          </w:p>
          <w:p>
            <w:pPr>
              <w:pStyle w:val="42"/>
              <w:bidi w:val="0"/>
              <w:jc w:val="both"/>
              <w:rPr>
                <w:color w:val="auto"/>
                <w:highlight w:val="none"/>
              </w:rPr>
            </w:pPr>
            <w:r>
              <w:rPr>
                <w:color w:val="auto"/>
                <w:highlight w:val="none"/>
              </w:rPr>
              <w:t>量较大的沟道，否则应进行防洪论证</w:t>
            </w:r>
          </w:p>
        </w:tc>
        <w:tc>
          <w:tcPr>
            <w:tcW w:w="997" w:type="dxa"/>
            <w:vAlign w:val="center"/>
          </w:tcPr>
          <w:p>
            <w:pPr>
              <w:pStyle w:val="42"/>
              <w:bidi w:val="0"/>
              <w:jc w:val="both"/>
              <w:rPr>
                <w:color w:val="auto"/>
                <w:highlight w:val="none"/>
              </w:rPr>
            </w:pPr>
            <w:r>
              <w:rPr>
                <w:color w:val="auto"/>
                <w:highlight w:val="none"/>
              </w:rPr>
              <w:t>在山丘宜选择荒沟、凹地、支毛</w:t>
            </w:r>
          </w:p>
          <w:p>
            <w:pPr>
              <w:pStyle w:val="42"/>
              <w:bidi w:val="0"/>
              <w:jc w:val="both"/>
              <w:rPr>
                <w:color w:val="auto"/>
                <w:highlight w:val="none"/>
              </w:rPr>
            </w:pPr>
            <w:r>
              <w:rPr>
                <w:color w:val="auto"/>
                <w:highlight w:val="none"/>
              </w:rPr>
              <w:t>沟</w:t>
            </w:r>
          </w:p>
        </w:tc>
        <w:tc>
          <w:tcPr>
            <w:tcW w:w="997" w:type="dxa"/>
            <w:vAlign w:val="center"/>
          </w:tcPr>
          <w:p>
            <w:pPr>
              <w:pStyle w:val="42"/>
              <w:bidi w:val="0"/>
              <w:jc w:val="both"/>
              <w:rPr>
                <w:rFonts w:hint="eastAsia" w:eastAsia="宋"/>
                <w:color w:val="auto"/>
                <w:highlight w:val="none"/>
                <w:lang w:eastAsia="zh-CN"/>
              </w:rPr>
            </w:pPr>
            <w:r>
              <w:rPr>
                <w:rFonts w:hint="eastAsia"/>
                <w:color w:val="auto"/>
                <w:highlight w:val="none"/>
                <w:lang w:eastAsia="zh-CN"/>
              </w:rPr>
              <w:t>基本农田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6" w:hRule="atLeast"/>
          <w:jc w:val="center"/>
        </w:trPr>
        <w:tc>
          <w:tcPr>
            <w:tcW w:w="1522" w:type="dxa"/>
            <w:vAlign w:val="center"/>
          </w:tcPr>
          <w:p>
            <w:pPr>
              <w:pStyle w:val="42"/>
              <w:bidi w:val="0"/>
              <w:jc w:val="center"/>
              <w:rPr>
                <w:color w:val="auto"/>
                <w:highlight w:val="none"/>
              </w:rPr>
            </w:pPr>
            <w:r>
              <w:rPr>
                <w:color w:val="auto"/>
                <w:highlight w:val="none"/>
              </w:rPr>
              <w:t>满足</w:t>
            </w:r>
          </w:p>
        </w:tc>
        <w:tc>
          <w:tcPr>
            <w:tcW w:w="1667" w:type="dxa"/>
            <w:vAlign w:val="center"/>
          </w:tcPr>
          <w:p>
            <w:pPr>
              <w:pStyle w:val="42"/>
              <w:bidi w:val="0"/>
              <w:jc w:val="center"/>
              <w:rPr>
                <w:color w:val="auto"/>
                <w:highlight w:val="none"/>
              </w:rPr>
            </w:pPr>
            <w:r>
              <w:rPr>
                <w:color w:val="auto"/>
                <w:highlight w:val="none"/>
              </w:rPr>
              <w:t>不涉及</w:t>
            </w:r>
          </w:p>
        </w:tc>
        <w:tc>
          <w:tcPr>
            <w:tcW w:w="1794" w:type="dxa"/>
            <w:vAlign w:val="center"/>
          </w:tcPr>
          <w:p>
            <w:pPr>
              <w:pStyle w:val="42"/>
              <w:bidi w:val="0"/>
              <w:jc w:val="center"/>
              <w:rPr>
                <w:color w:val="auto"/>
                <w:highlight w:val="none"/>
              </w:rPr>
            </w:pPr>
            <w:r>
              <w:rPr>
                <w:color w:val="auto"/>
                <w:highlight w:val="none"/>
              </w:rPr>
              <w:t>不涉及</w:t>
            </w:r>
          </w:p>
        </w:tc>
        <w:tc>
          <w:tcPr>
            <w:tcW w:w="1359" w:type="dxa"/>
            <w:vAlign w:val="center"/>
          </w:tcPr>
          <w:p>
            <w:pPr>
              <w:pStyle w:val="42"/>
              <w:bidi w:val="0"/>
              <w:jc w:val="center"/>
              <w:rPr>
                <w:color w:val="auto"/>
                <w:highlight w:val="none"/>
              </w:rPr>
            </w:pPr>
            <w:r>
              <w:rPr>
                <w:color w:val="auto"/>
                <w:highlight w:val="none"/>
              </w:rPr>
              <w:t>不涉及</w:t>
            </w:r>
          </w:p>
        </w:tc>
        <w:tc>
          <w:tcPr>
            <w:tcW w:w="997" w:type="dxa"/>
            <w:vAlign w:val="center"/>
          </w:tcPr>
          <w:p>
            <w:pPr>
              <w:pStyle w:val="42"/>
              <w:bidi w:val="0"/>
              <w:jc w:val="center"/>
              <w:rPr>
                <w:color w:val="auto"/>
                <w:highlight w:val="none"/>
              </w:rPr>
            </w:pPr>
            <w:r>
              <w:rPr>
                <w:color w:val="auto"/>
                <w:highlight w:val="none"/>
              </w:rPr>
              <w:t>满足</w:t>
            </w:r>
          </w:p>
        </w:tc>
        <w:tc>
          <w:tcPr>
            <w:tcW w:w="997" w:type="dxa"/>
            <w:vAlign w:val="center"/>
          </w:tcPr>
          <w:p>
            <w:pPr>
              <w:pStyle w:val="42"/>
              <w:bidi w:val="0"/>
              <w:jc w:val="center"/>
              <w:rPr>
                <w:rFonts w:hint="eastAsia" w:eastAsia="宋"/>
                <w:color w:val="auto"/>
                <w:highlight w:val="none"/>
                <w:lang w:eastAsia="zh-CN"/>
              </w:rPr>
            </w:pPr>
            <w:r>
              <w:rPr>
                <w:rFonts w:hint="eastAsia"/>
                <w:color w:val="auto"/>
                <w:highlight w:val="none"/>
                <w:lang w:eastAsia="zh-CN"/>
              </w:rPr>
              <w:t>不涉及</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6" w:hRule="atLeast"/>
          <w:jc w:val="center"/>
        </w:trPr>
        <w:tc>
          <w:tcPr>
            <w:tcW w:w="8336" w:type="dxa"/>
            <w:gridSpan w:val="6"/>
            <w:vAlign w:val="center"/>
          </w:tcPr>
          <w:p>
            <w:pPr>
              <w:pStyle w:val="42"/>
              <w:bidi w:val="0"/>
              <w:jc w:val="center"/>
              <w:rPr>
                <w:rFonts w:hint="eastAsia"/>
                <w:color w:val="auto"/>
                <w:highlight w:val="none"/>
                <w:lang w:eastAsia="zh-CN"/>
              </w:rPr>
            </w:pPr>
            <w:r>
              <w:rPr>
                <w:rFonts w:hint="eastAsia"/>
                <w:color w:val="auto"/>
                <w:highlight w:val="none"/>
                <w:lang w:eastAsia="zh-CN"/>
              </w:rPr>
              <w:t>生态合理性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6" w:hRule="atLeast"/>
          <w:jc w:val="center"/>
        </w:trPr>
        <w:tc>
          <w:tcPr>
            <w:tcW w:w="1522" w:type="dxa"/>
            <w:vAlign w:val="center"/>
          </w:tcPr>
          <w:p>
            <w:pPr>
              <w:pStyle w:val="42"/>
              <w:bidi w:val="0"/>
              <w:rPr>
                <w:rFonts w:ascii="Times New Roman" w:hAnsi="Times New Roman" w:eastAsia="宋" w:cs="Times New Roman"/>
                <w:color w:val="auto"/>
                <w:kern w:val="0"/>
                <w:sz w:val="21"/>
                <w:szCs w:val="21"/>
                <w:highlight w:val="none"/>
                <w:lang w:val="en-US" w:eastAsia="zh-CN" w:bidi="ar-SA"/>
              </w:rPr>
            </w:pPr>
            <w:r>
              <w:rPr>
                <w:color w:val="auto"/>
                <w:highlight w:val="none"/>
              </w:rPr>
              <w:t>公益林</w:t>
            </w:r>
          </w:p>
        </w:tc>
        <w:tc>
          <w:tcPr>
            <w:tcW w:w="1667" w:type="dxa"/>
            <w:vAlign w:val="center"/>
          </w:tcPr>
          <w:p>
            <w:pPr>
              <w:pStyle w:val="42"/>
              <w:bidi w:val="0"/>
              <w:rPr>
                <w:rFonts w:ascii="Times New Roman" w:hAnsi="Times New Roman" w:eastAsia="宋" w:cs="Times New Roman"/>
                <w:color w:val="auto"/>
                <w:kern w:val="0"/>
                <w:sz w:val="21"/>
                <w:szCs w:val="21"/>
                <w:highlight w:val="none"/>
                <w:lang w:val="en-US" w:eastAsia="zh-CN" w:bidi="ar-SA"/>
              </w:rPr>
            </w:pPr>
            <w:r>
              <w:rPr>
                <w:color w:val="auto"/>
                <w:highlight w:val="none"/>
              </w:rPr>
              <w:t>生态保护红线</w:t>
            </w:r>
          </w:p>
        </w:tc>
        <w:tc>
          <w:tcPr>
            <w:tcW w:w="1794" w:type="dxa"/>
            <w:vAlign w:val="center"/>
          </w:tcPr>
          <w:p>
            <w:pPr>
              <w:pStyle w:val="42"/>
              <w:bidi w:val="0"/>
              <w:rPr>
                <w:rFonts w:ascii="Times New Roman" w:hAnsi="Times New Roman" w:eastAsia="宋" w:cs="Times New Roman"/>
                <w:color w:val="auto"/>
                <w:kern w:val="0"/>
                <w:sz w:val="21"/>
                <w:szCs w:val="21"/>
                <w:highlight w:val="none"/>
                <w:lang w:val="en-US" w:eastAsia="zh-CN" w:bidi="ar-SA"/>
              </w:rPr>
            </w:pPr>
            <w:r>
              <w:rPr>
                <w:color w:val="auto"/>
                <w:highlight w:val="none"/>
              </w:rPr>
              <w:t>水源保护区</w:t>
            </w:r>
          </w:p>
        </w:tc>
        <w:tc>
          <w:tcPr>
            <w:tcW w:w="1359" w:type="dxa"/>
            <w:vAlign w:val="center"/>
          </w:tcPr>
          <w:p>
            <w:pPr>
              <w:pStyle w:val="42"/>
              <w:bidi w:val="0"/>
              <w:rPr>
                <w:rFonts w:ascii="Times New Roman" w:hAnsi="Times New Roman" w:eastAsia="宋" w:cs="Times New Roman"/>
                <w:color w:val="auto"/>
                <w:kern w:val="0"/>
                <w:sz w:val="21"/>
                <w:szCs w:val="21"/>
                <w:highlight w:val="none"/>
                <w:lang w:val="en-US" w:eastAsia="zh-CN" w:bidi="ar-SA"/>
              </w:rPr>
            </w:pPr>
            <w:r>
              <w:rPr>
                <w:color w:val="auto"/>
                <w:highlight w:val="none"/>
              </w:rPr>
              <w:t>风景名胜区</w:t>
            </w:r>
          </w:p>
        </w:tc>
        <w:tc>
          <w:tcPr>
            <w:tcW w:w="1994" w:type="dxa"/>
            <w:gridSpan w:val="2"/>
            <w:vAlign w:val="center"/>
          </w:tcPr>
          <w:p>
            <w:pPr>
              <w:pStyle w:val="42"/>
              <w:bidi w:val="0"/>
              <w:rPr>
                <w:rFonts w:hint="eastAsia" w:ascii="Times New Roman" w:hAnsi="Times New Roman" w:eastAsia="宋" w:cs="Times New Roman"/>
                <w:color w:val="auto"/>
                <w:kern w:val="0"/>
                <w:sz w:val="21"/>
                <w:szCs w:val="21"/>
                <w:highlight w:val="none"/>
                <w:lang w:val="en-US" w:eastAsia="zh-CN" w:bidi="ar-SA"/>
              </w:rPr>
            </w:pPr>
            <w:r>
              <w:rPr>
                <w:color w:val="auto"/>
                <w:highlight w:val="none"/>
              </w:rPr>
              <w:t>占用植被</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6" w:hRule="atLeast"/>
          <w:jc w:val="center"/>
        </w:trPr>
        <w:tc>
          <w:tcPr>
            <w:tcW w:w="1522" w:type="dxa"/>
            <w:vAlign w:val="center"/>
          </w:tcPr>
          <w:p>
            <w:pPr>
              <w:pStyle w:val="42"/>
              <w:bidi w:val="0"/>
              <w:rPr>
                <w:color w:val="auto"/>
                <w:highlight w:val="none"/>
              </w:rPr>
            </w:pPr>
          </w:p>
          <w:p>
            <w:pPr>
              <w:pStyle w:val="42"/>
              <w:bidi w:val="0"/>
              <w:rPr>
                <w:rFonts w:ascii="Times New Roman" w:hAnsi="Times New Roman" w:eastAsia="宋" w:cs="Times New Roman"/>
                <w:color w:val="auto"/>
                <w:kern w:val="0"/>
                <w:sz w:val="21"/>
                <w:szCs w:val="21"/>
                <w:highlight w:val="none"/>
                <w:lang w:val="en-US" w:eastAsia="zh-CN" w:bidi="ar-SA"/>
              </w:rPr>
            </w:pPr>
            <w:r>
              <w:rPr>
                <w:color w:val="auto"/>
                <w:highlight w:val="none"/>
              </w:rPr>
              <w:t>不涉及</w:t>
            </w:r>
          </w:p>
        </w:tc>
        <w:tc>
          <w:tcPr>
            <w:tcW w:w="1667" w:type="dxa"/>
            <w:vAlign w:val="center"/>
          </w:tcPr>
          <w:p>
            <w:pPr>
              <w:pStyle w:val="42"/>
              <w:bidi w:val="0"/>
              <w:rPr>
                <w:rFonts w:ascii="Times New Roman" w:hAnsi="Times New Roman" w:eastAsia="宋" w:cs="Times New Roman"/>
                <w:color w:val="auto"/>
                <w:kern w:val="0"/>
                <w:sz w:val="21"/>
                <w:szCs w:val="21"/>
                <w:highlight w:val="none"/>
                <w:lang w:val="en-US" w:eastAsia="zh-CN" w:bidi="ar-SA"/>
              </w:rPr>
            </w:pPr>
            <w:r>
              <w:rPr>
                <w:color w:val="auto"/>
                <w:highlight w:val="none"/>
              </w:rPr>
              <w:t>不涉及，距离生态 保护红线</w:t>
            </w:r>
            <w:r>
              <w:rPr>
                <w:rFonts w:hint="eastAsia"/>
                <w:color w:val="auto"/>
                <w:highlight w:val="none"/>
                <w:lang w:val="en-US" w:eastAsia="zh-CN"/>
              </w:rPr>
              <w:t>583</w:t>
            </w:r>
            <w:r>
              <w:rPr>
                <w:color w:val="auto"/>
                <w:highlight w:val="none"/>
              </w:rPr>
              <w:t>m</w:t>
            </w:r>
          </w:p>
        </w:tc>
        <w:tc>
          <w:tcPr>
            <w:tcW w:w="1794" w:type="dxa"/>
            <w:vAlign w:val="center"/>
          </w:tcPr>
          <w:p>
            <w:pPr>
              <w:pStyle w:val="42"/>
              <w:bidi w:val="0"/>
              <w:rPr>
                <w:rFonts w:ascii="Times New Roman" w:hAnsi="Times New Roman" w:eastAsia="宋" w:cs="Times New Roman"/>
                <w:color w:val="auto"/>
                <w:kern w:val="0"/>
                <w:sz w:val="21"/>
                <w:szCs w:val="21"/>
                <w:highlight w:val="none"/>
                <w:lang w:val="en-US" w:eastAsia="zh-CN" w:bidi="ar-SA"/>
              </w:rPr>
            </w:pPr>
            <w:r>
              <w:rPr>
                <w:color w:val="auto"/>
                <w:highlight w:val="none"/>
              </w:rPr>
              <w:t>不涉及，距离二级保护区5.</w:t>
            </w:r>
            <w:r>
              <w:rPr>
                <w:rFonts w:hint="eastAsia"/>
                <w:color w:val="auto"/>
                <w:highlight w:val="none"/>
                <w:lang w:val="en-US" w:eastAsia="zh-CN"/>
              </w:rPr>
              <w:t>04</w:t>
            </w:r>
            <w:r>
              <w:rPr>
                <w:color w:val="auto"/>
                <w:highlight w:val="none"/>
              </w:rPr>
              <w:t>km</w:t>
            </w:r>
          </w:p>
        </w:tc>
        <w:tc>
          <w:tcPr>
            <w:tcW w:w="1359" w:type="dxa"/>
            <w:vAlign w:val="center"/>
          </w:tcPr>
          <w:p>
            <w:pPr>
              <w:pStyle w:val="42"/>
              <w:bidi w:val="0"/>
              <w:rPr>
                <w:color w:val="auto"/>
                <w:highlight w:val="none"/>
              </w:rPr>
            </w:pPr>
            <w:r>
              <w:rPr>
                <w:color w:val="auto"/>
                <w:highlight w:val="none"/>
              </w:rPr>
              <w:t>不涉及，距</w:t>
            </w:r>
          </w:p>
          <w:p>
            <w:pPr>
              <w:pStyle w:val="42"/>
              <w:bidi w:val="0"/>
              <w:rPr>
                <w:color w:val="auto"/>
                <w:highlight w:val="none"/>
              </w:rPr>
            </w:pPr>
            <w:r>
              <w:rPr>
                <w:color w:val="auto"/>
                <w:highlight w:val="none"/>
              </w:rPr>
              <w:t>离一般景区</w:t>
            </w:r>
          </w:p>
          <w:p>
            <w:pPr>
              <w:pStyle w:val="42"/>
              <w:bidi w:val="0"/>
              <w:rPr>
                <w:rFonts w:ascii="Times New Roman" w:hAnsi="Times New Roman" w:eastAsia="宋" w:cs="Times New Roman"/>
                <w:color w:val="auto"/>
                <w:kern w:val="0"/>
                <w:sz w:val="21"/>
                <w:szCs w:val="21"/>
                <w:highlight w:val="none"/>
                <w:lang w:val="en-US" w:eastAsia="zh-CN" w:bidi="ar-SA"/>
              </w:rPr>
            </w:pPr>
            <w:r>
              <w:rPr>
                <w:rFonts w:hint="eastAsia"/>
                <w:color w:val="auto"/>
                <w:highlight w:val="none"/>
                <w:lang w:val="en-US" w:eastAsia="zh-CN"/>
              </w:rPr>
              <w:t>2.1</w:t>
            </w:r>
            <w:r>
              <w:rPr>
                <w:color w:val="auto"/>
                <w:highlight w:val="none"/>
              </w:rPr>
              <w:t>km</w:t>
            </w:r>
          </w:p>
        </w:tc>
        <w:tc>
          <w:tcPr>
            <w:tcW w:w="1994" w:type="dxa"/>
            <w:gridSpan w:val="2"/>
            <w:vAlign w:val="center"/>
          </w:tcPr>
          <w:p>
            <w:pPr>
              <w:pStyle w:val="42"/>
              <w:bidi w:val="0"/>
              <w:rPr>
                <w:rFonts w:hint="eastAsia" w:ascii="Times New Roman" w:hAnsi="Times New Roman" w:eastAsia="宋" w:cs="Times New Roman"/>
                <w:color w:val="auto"/>
                <w:kern w:val="0"/>
                <w:sz w:val="21"/>
                <w:szCs w:val="21"/>
                <w:highlight w:val="none"/>
                <w:lang w:val="en-US" w:eastAsia="zh-CN" w:bidi="ar-SA"/>
              </w:rPr>
            </w:pPr>
            <w:r>
              <w:rPr>
                <w:rFonts w:hint="eastAsia"/>
                <w:color w:val="auto"/>
                <w:highlight w:val="none"/>
                <w:lang w:eastAsia="zh-CN"/>
              </w:rPr>
              <w:t>林地</w:t>
            </w:r>
          </w:p>
        </w:tc>
      </w:tr>
    </w:tbl>
    <w:p>
      <w:pPr>
        <w:bidi w:val="0"/>
        <w:ind w:firstLine="480" w:firstLineChars="200"/>
        <w:rPr>
          <w:color w:val="auto"/>
          <w:highlight w:val="none"/>
        </w:rPr>
      </w:pPr>
      <w:r>
        <w:rPr>
          <w:color w:val="auto"/>
          <w:highlight w:val="none"/>
        </w:rPr>
        <w:t>经现场查勘及遥感制图判别，占用植被类型主要为</w:t>
      </w:r>
      <w:r>
        <w:rPr>
          <w:rFonts w:hint="eastAsia"/>
          <w:color w:val="auto"/>
          <w:highlight w:val="none"/>
          <w:lang w:eastAsia="zh-CN"/>
        </w:rPr>
        <w:t>林地</w:t>
      </w:r>
      <w:r>
        <w:rPr>
          <w:color w:val="auto"/>
          <w:highlight w:val="none"/>
        </w:rPr>
        <w:t>。渣场占地会造成一定植被资源的损失，但占地不涉及基本农田、公益林和生态敏感区；根据元谋县自然资源局出具的本工程生态保护红线查询结果，本工程弃渣场不涉及生态保护红线。本工程弃渣场占地为临时占地，弃渣结束后采用复垦及植被恢复措施后不会造成植被及耕地资源的减少，不会对当地居民的生活水平及陆生生态造成明显影响。经现场调查，弃渣场占地范围内未发现珍稀濒危保护动、植物及古树名木，占地范围内弃渣的堆放对生态的影响较小。渣场也不涉及风景名胜区和水源保护区，对生态保护红线、风景名胜区和水源保护区的影响较小。</w:t>
      </w:r>
    </w:p>
    <w:p>
      <w:pPr>
        <w:bidi w:val="0"/>
        <w:ind w:firstLine="480" w:firstLineChars="200"/>
        <w:rPr>
          <w:color w:val="auto"/>
          <w:highlight w:val="none"/>
        </w:rPr>
      </w:pPr>
      <w:r>
        <w:rPr>
          <w:color w:val="auto"/>
          <w:highlight w:val="none"/>
        </w:rPr>
        <w:t>综上所述，本工程弃渣场从环保的角度看选址是合理的。</w:t>
      </w:r>
    </w:p>
    <w:p>
      <w:pPr>
        <w:bidi w:val="0"/>
        <w:rPr>
          <w:color w:val="auto"/>
          <w:highlight w:val="none"/>
        </w:rPr>
      </w:pPr>
      <w:r>
        <w:rPr>
          <w:rFonts w:hint="eastAsia"/>
          <w:color w:val="auto"/>
          <w:highlight w:val="none"/>
          <w:lang w:val="en-US" w:eastAsia="zh-CN"/>
        </w:rPr>
        <w:t>（2）</w:t>
      </w:r>
      <w:r>
        <w:rPr>
          <w:color w:val="auto"/>
          <w:highlight w:val="none"/>
        </w:rPr>
        <w:t>表土堆存场选址合理性分析</w:t>
      </w:r>
    </w:p>
    <w:p>
      <w:pPr>
        <w:bidi w:val="0"/>
        <w:ind w:firstLine="480" w:firstLineChars="200"/>
        <w:rPr>
          <w:rFonts w:hint="eastAsia"/>
          <w:color w:val="auto"/>
          <w:highlight w:val="none"/>
          <w:lang w:eastAsia="zh-CN"/>
        </w:rPr>
      </w:pPr>
      <w:r>
        <w:rPr>
          <w:rFonts w:hint="eastAsia"/>
          <w:color w:val="auto"/>
          <w:highlight w:val="none"/>
          <w:lang w:eastAsia="zh-CN"/>
        </w:rPr>
        <w:t>为了有利于对工程扰动地表进行植被恢复，在施工准备期对各临时占地区进行表土剥离，各区表土临时堆存于各工程区内，不另设临时堆土场，用于各区的植被恢复措施覆土，共设置15个临时表土堆土场，占地面积4.089hm</w:t>
      </w:r>
      <w:r>
        <w:rPr>
          <w:rFonts w:hint="eastAsia"/>
          <w:color w:val="auto"/>
          <w:highlight w:val="none"/>
          <w:vertAlign w:val="superscript"/>
          <w:lang w:eastAsia="zh-CN"/>
        </w:rPr>
        <w:t>2</w:t>
      </w:r>
      <w:r>
        <w:rPr>
          <w:rFonts w:hint="eastAsia"/>
          <w:color w:val="auto"/>
          <w:highlight w:val="none"/>
          <w:lang w:eastAsia="zh-CN"/>
        </w:rPr>
        <w:t>，均位于项目区占地范围内，表土临时堆存不新增临时占地，主要环境影响为新增水土流失，因此，对临时堆放的表土应采取临时拦挡措施，有效减免新增水土流失。综上所述，从环境保护的角度出发，本工程采取表土堆放方式在落实水保措施后是合理的。</w:t>
      </w:r>
    </w:p>
    <w:p>
      <w:pPr>
        <w:bidi w:val="0"/>
        <w:rPr>
          <w:rFonts w:hint="eastAsia"/>
          <w:color w:val="auto"/>
          <w:highlight w:val="none"/>
          <w:lang w:val="en-US" w:eastAsia="zh-CN"/>
        </w:rPr>
      </w:pPr>
      <w:r>
        <w:rPr>
          <w:rFonts w:hint="eastAsia"/>
          <w:color w:val="auto"/>
          <w:highlight w:val="none"/>
          <w:lang w:val="en-US" w:eastAsia="zh-CN"/>
        </w:rPr>
        <w:t>（3）料场选址的合理性分析</w:t>
      </w:r>
    </w:p>
    <w:p>
      <w:pPr>
        <w:bidi w:val="0"/>
        <w:ind w:firstLine="480" w:firstLineChars="200"/>
        <w:rPr>
          <w:rFonts w:hint="default"/>
          <w:color w:val="auto"/>
          <w:highlight w:val="none"/>
          <w:lang w:val="en-US" w:eastAsia="zh-CN"/>
        </w:rPr>
      </w:pPr>
      <w:r>
        <w:rPr>
          <w:rFonts w:hint="eastAsia"/>
          <w:color w:val="auto"/>
          <w:highlight w:val="none"/>
          <w:lang w:val="en-US" w:eastAsia="zh-CN"/>
        </w:rPr>
        <w:t>本工程输水线路较长，用料较为分散，工程所需的砂石骨料和块石料从周边砂石料场购买。</w:t>
      </w:r>
    </w:p>
    <w:p>
      <w:pPr>
        <w:pStyle w:val="5"/>
        <w:numPr>
          <w:ilvl w:val="3"/>
          <w:numId w:val="2"/>
        </w:numPr>
        <w:bidi w:val="0"/>
        <w:ind w:left="480" w:leftChars="0" w:firstLineChars="0"/>
        <w:rPr>
          <w:rFonts w:hint="eastAsia"/>
          <w:color w:val="auto"/>
          <w:highlight w:val="none"/>
          <w:lang w:eastAsia="zh-CN"/>
        </w:rPr>
      </w:pPr>
      <w:r>
        <w:rPr>
          <w:rFonts w:hint="eastAsia"/>
          <w:color w:val="auto"/>
          <w:highlight w:val="none"/>
          <w:lang w:eastAsia="zh-CN"/>
        </w:rPr>
        <w:t>施工便道选址合理性分析</w:t>
      </w:r>
    </w:p>
    <w:p>
      <w:pPr>
        <w:pStyle w:val="37"/>
        <w:ind w:firstLine="480" w:firstLineChars="200"/>
        <w:rPr>
          <w:rFonts w:hint="eastAsia"/>
          <w:color w:val="auto"/>
          <w:highlight w:val="none"/>
          <w:lang w:eastAsia="zh-CN"/>
        </w:rPr>
      </w:pPr>
      <w:r>
        <w:rPr>
          <w:rFonts w:hint="eastAsia"/>
          <w:color w:val="auto"/>
          <w:highlight w:val="none"/>
          <w:lang w:eastAsia="zh-CN"/>
        </w:rPr>
        <w:t>经统计，输水工程施工需修建临时道路</w:t>
      </w:r>
      <w:r>
        <w:rPr>
          <w:rFonts w:hint="eastAsia"/>
          <w:color w:val="auto"/>
          <w:highlight w:val="none"/>
          <w:lang w:val="en-US" w:eastAsia="zh-CN"/>
        </w:rPr>
        <w:t>16</w:t>
      </w:r>
      <w:r>
        <w:rPr>
          <w:rFonts w:hint="eastAsia"/>
          <w:color w:val="auto"/>
          <w:highlight w:val="none"/>
          <w:lang w:eastAsia="zh-CN"/>
        </w:rPr>
        <w:t>条，新建临时道路总长</w:t>
      </w:r>
      <w:r>
        <w:rPr>
          <w:rFonts w:hint="eastAsia"/>
          <w:color w:val="auto"/>
          <w:highlight w:val="none"/>
          <w:lang w:val="en-US" w:eastAsia="zh-CN"/>
        </w:rPr>
        <w:t>1920</w:t>
      </w:r>
      <w:r>
        <w:rPr>
          <w:rFonts w:hint="eastAsia"/>
          <w:color w:val="auto"/>
          <w:highlight w:val="none"/>
          <w:lang w:eastAsia="zh-CN"/>
        </w:rPr>
        <w:t>m，需扩建临时道路</w:t>
      </w:r>
      <w:r>
        <w:rPr>
          <w:rFonts w:hint="eastAsia"/>
          <w:color w:val="auto"/>
          <w:highlight w:val="none"/>
          <w:lang w:val="en-US" w:eastAsia="zh-CN"/>
        </w:rPr>
        <w:t>7</w:t>
      </w:r>
      <w:r>
        <w:rPr>
          <w:rFonts w:hint="eastAsia"/>
          <w:color w:val="auto"/>
          <w:highlight w:val="none"/>
          <w:lang w:eastAsia="zh-CN"/>
        </w:rPr>
        <w:t>条，扩建临时道路总长</w:t>
      </w:r>
      <w:r>
        <w:rPr>
          <w:rFonts w:hint="eastAsia"/>
          <w:color w:val="auto"/>
          <w:highlight w:val="none"/>
          <w:lang w:val="en-US" w:eastAsia="zh-CN"/>
        </w:rPr>
        <w:t>7020</w:t>
      </w:r>
      <w:r>
        <w:rPr>
          <w:rFonts w:hint="eastAsia"/>
          <w:color w:val="auto"/>
          <w:highlight w:val="none"/>
          <w:lang w:eastAsia="zh-CN"/>
        </w:rPr>
        <w:t>m，道路宽度4.5m。</w:t>
      </w:r>
    </w:p>
    <w:p>
      <w:pPr>
        <w:pStyle w:val="37"/>
        <w:ind w:firstLine="480" w:firstLineChars="200"/>
        <w:rPr>
          <w:rFonts w:hint="eastAsia"/>
          <w:color w:val="auto"/>
          <w:highlight w:val="none"/>
          <w:lang w:eastAsia="zh-CN"/>
        </w:rPr>
      </w:pPr>
      <w:r>
        <w:rPr>
          <w:rFonts w:hint="eastAsia"/>
          <w:color w:val="auto"/>
          <w:highlight w:val="none"/>
          <w:lang w:eastAsia="zh-CN"/>
        </w:rPr>
        <w:t>根据工程实际情况，输水工程施工过程临时交通部分直接利用原有道路，部分改造原有道路，部分区段沿管道轴线旁新修临时道路，结合连接管线施工区和原有道路的临时道路，形成路网系统，可以最大程度满足施工要求和不新增占地。同时输水工程施工便道多为沿管线施工区布置，汽车运输等行为不可避免的会对周边村庄产生粉尘和噪声影响。运输粉尘属于流动源，村庄周边的施工便道均已硬化，产生的粉尘较小，且位于村寨附近的管线段施工工期相对较短，而周围的环境容量较大，大气扩散条件较好，经过定期洒水降尘后，对周围居民的影响较小。</w:t>
      </w:r>
    </w:p>
    <w:p>
      <w:pPr>
        <w:pStyle w:val="5"/>
        <w:numPr>
          <w:ilvl w:val="3"/>
          <w:numId w:val="2"/>
        </w:numPr>
        <w:bidi w:val="0"/>
        <w:ind w:left="480" w:leftChars="0" w:firstLineChars="0"/>
        <w:rPr>
          <w:rFonts w:hint="eastAsia"/>
          <w:color w:val="auto"/>
          <w:highlight w:val="none"/>
          <w:lang w:eastAsia="zh-CN"/>
        </w:rPr>
      </w:pPr>
      <w:r>
        <w:rPr>
          <w:rFonts w:hint="eastAsia"/>
          <w:color w:val="auto"/>
          <w:highlight w:val="none"/>
          <w:lang w:eastAsia="zh-CN"/>
        </w:rPr>
        <w:t>生产生活区选址环境合理性分析</w:t>
      </w:r>
    </w:p>
    <w:p>
      <w:pPr>
        <w:bidi w:val="0"/>
        <w:ind w:firstLine="480" w:firstLineChars="200"/>
        <w:rPr>
          <w:rFonts w:hint="default"/>
          <w:color w:val="auto"/>
          <w:lang w:val="en-US" w:eastAsia="zh-CN"/>
        </w:rPr>
      </w:pPr>
      <w:r>
        <w:rPr>
          <w:rFonts w:hint="eastAsia"/>
          <w:color w:val="auto"/>
          <w:highlight w:val="none"/>
          <w:lang w:val="en-US" w:eastAsia="zh-CN"/>
        </w:rPr>
        <w:t>本项目共设置两处生产生活区，分别是石榴生产生活区、阿洒姑生产生活区，</w:t>
      </w:r>
      <w:r>
        <w:rPr>
          <w:rFonts w:hint="default"/>
          <w:color w:val="auto"/>
          <w:lang w:val="en-US" w:eastAsia="zh-CN"/>
        </w:rPr>
        <w:t>总体而言，</w:t>
      </w:r>
      <w:r>
        <w:rPr>
          <w:rFonts w:hint="eastAsia"/>
          <w:color w:val="auto"/>
          <w:lang w:val="en-US" w:eastAsia="zh-CN"/>
        </w:rPr>
        <w:t>两处生产生活区的</w:t>
      </w:r>
      <w:r>
        <w:rPr>
          <w:rFonts w:hint="default"/>
          <w:color w:val="auto"/>
          <w:lang w:val="en-US" w:eastAsia="zh-CN"/>
        </w:rPr>
        <w:t>选择无环境制约因素，没有涉及到重要植被类型，没有涉及到国家级、云南省级重点保护植物。</w:t>
      </w:r>
      <w:r>
        <w:rPr>
          <w:rFonts w:hint="eastAsia"/>
          <w:color w:val="auto"/>
          <w:lang w:val="en-US" w:eastAsia="zh-CN"/>
        </w:rPr>
        <w:t>生产生活区</w:t>
      </w:r>
      <w:r>
        <w:rPr>
          <w:rFonts w:hint="default"/>
          <w:color w:val="auto"/>
          <w:lang w:val="en-US" w:eastAsia="zh-CN"/>
        </w:rPr>
        <w:t>的选择基本满足环境保护的要求。</w:t>
      </w:r>
    </w:p>
    <w:p>
      <w:pPr>
        <w:pStyle w:val="5"/>
        <w:numPr>
          <w:ilvl w:val="3"/>
          <w:numId w:val="2"/>
        </w:numPr>
        <w:bidi w:val="0"/>
        <w:ind w:left="480" w:leftChars="0" w:firstLineChars="0"/>
        <w:rPr>
          <w:rFonts w:hint="eastAsia"/>
          <w:color w:val="auto"/>
          <w:highlight w:val="none"/>
          <w:lang w:eastAsia="zh-CN"/>
        </w:rPr>
      </w:pPr>
      <w:r>
        <w:rPr>
          <w:rFonts w:hint="eastAsia"/>
          <w:color w:val="auto"/>
          <w:highlight w:val="none"/>
          <w:lang w:eastAsia="zh-CN"/>
        </w:rPr>
        <w:t>选址合理性小结</w:t>
      </w:r>
    </w:p>
    <w:p>
      <w:pPr>
        <w:pStyle w:val="37"/>
        <w:ind w:firstLine="480" w:firstLineChars="200"/>
        <w:rPr>
          <w:rFonts w:hint="eastAsia"/>
          <w:color w:val="auto"/>
          <w:highlight w:val="none"/>
          <w:lang w:eastAsia="zh-CN"/>
        </w:rPr>
      </w:pPr>
      <w:r>
        <w:rPr>
          <w:rFonts w:hint="eastAsia"/>
          <w:color w:val="auto"/>
          <w:highlight w:val="none"/>
          <w:lang w:eastAsia="zh-CN"/>
        </w:rPr>
        <w:t>元谋县姜驿中型灌区续建配套与节水改造项目涉及元谋风景名胜区金沙江景区，涉及工程内容有高位调节水池、北干管，高位调节水池为永久占地，北干管为埋管，为临时占地。工程在风景内永久占地1.831hm</w:t>
      </w:r>
      <w:r>
        <w:rPr>
          <w:rFonts w:hint="eastAsia"/>
          <w:color w:val="auto"/>
          <w:highlight w:val="none"/>
          <w:vertAlign w:val="superscript"/>
          <w:lang w:eastAsia="zh-CN"/>
        </w:rPr>
        <w:t>2</w:t>
      </w:r>
      <w:r>
        <w:rPr>
          <w:rFonts w:hint="eastAsia"/>
          <w:color w:val="auto"/>
          <w:highlight w:val="none"/>
          <w:lang w:eastAsia="zh-CN"/>
        </w:rPr>
        <w:t>，临时占地0.98hm</w:t>
      </w:r>
      <w:r>
        <w:rPr>
          <w:rFonts w:hint="eastAsia"/>
          <w:color w:val="auto"/>
          <w:highlight w:val="none"/>
          <w:vertAlign w:val="superscript"/>
          <w:lang w:eastAsia="zh-CN"/>
        </w:rPr>
        <w:t>2</w:t>
      </w:r>
      <w:r>
        <w:rPr>
          <w:rFonts w:hint="eastAsia"/>
          <w:color w:val="auto"/>
          <w:highlight w:val="none"/>
          <w:lang w:eastAsia="zh-CN"/>
        </w:rPr>
        <w:t>。经论证项目选址选线方案不可避让风景名胜区。</w:t>
      </w:r>
    </w:p>
    <w:p>
      <w:pPr>
        <w:pStyle w:val="37"/>
        <w:ind w:firstLine="480" w:firstLineChars="200"/>
        <w:rPr>
          <w:rFonts w:hint="eastAsia"/>
          <w:color w:val="auto"/>
          <w:highlight w:val="none"/>
          <w:lang w:eastAsia="zh-CN"/>
        </w:rPr>
      </w:pPr>
      <w:r>
        <w:rPr>
          <w:rFonts w:hint="eastAsia"/>
          <w:color w:val="auto"/>
          <w:highlight w:val="none"/>
          <w:lang w:eastAsia="zh-CN"/>
        </w:rPr>
        <w:t>本项目输水管道采取浅埋的方式无害化穿越。不占用元谋风景名胜区植被。同时也不占用元谋风景名胜区动物过境通道。施工期较短，对周边生态环境的影响范围及程度方式较小，本方案最大程度保护了元谋风景名胜区的生态环境。总体属于无害化穿越。</w:t>
      </w:r>
    </w:p>
    <w:p>
      <w:pPr>
        <w:pStyle w:val="37"/>
        <w:ind w:firstLine="480" w:firstLineChars="200"/>
        <w:rPr>
          <w:rFonts w:hint="eastAsia"/>
          <w:color w:val="auto"/>
          <w:highlight w:val="none"/>
          <w:lang w:eastAsia="zh-CN"/>
        </w:rPr>
      </w:pPr>
      <w:r>
        <w:rPr>
          <w:rFonts w:hint="eastAsia"/>
          <w:color w:val="auto"/>
          <w:highlight w:val="none"/>
          <w:lang w:eastAsia="zh-CN"/>
        </w:rPr>
        <w:t>经分析，本项目涉保护地段建设符合《元谋县元谋风景名胜区总体规划》及《元谋风景名胜区总体规划（2015-2030）》相关要求。目前本项目选址已取得</w:t>
      </w:r>
    </w:p>
    <w:p>
      <w:pPr>
        <w:pStyle w:val="37"/>
        <w:rPr>
          <w:rFonts w:hint="eastAsia"/>
          <w:color w:val="auto"/>
          <w:highlight w:val="none"/>
          <w:lang w:eastAsia="zh-CN"/>
        </w:rPr>
      </w:pPr>
      <w:r>
        <w:rPr>
          <w:rFonts w:hint="eastAsia"/>
          <w:color w:val="auto"/>
          <w:highlight w:val="none"/>
          <w:lang w:eastAsia="zh-CN"/>
        </w:rPr>
        <w:t>楚雄州林草局《选址意见》，明确同意项目涉风景名胜区段建设。</w:t>
      </w:r>
    </w:p>
    <w:p>
      <w:pPr>
        <w:bidi w:val="0"/>
        <w:ind w:firstLine="480" w:firstLineChars="200"/>
        <w:rPr>
          <w:rFonts w:hint="default"/>
          <w:color w:val="auto"/>
          <w:highlight w:val="none"/>
          <w:lang w:val="en-US" w:eastAsia="zh-CN"/>
        </w:rPr>
      </w:pPr>
      <w:r>
        <w:rPr>
          <w:rFonts w:hint="eastAsia"/>
          <w:color w:val="auto"/>
          <w:highlight w:val="none"/>
          <w:lang w:eastAsia="zh-CN"/>
        </w:rPr>
        <w:t>综上，从实际生态影响分析、法律法规及规划符合性分析、主管部门选址意见以及涉保护地项目审批要求规定等，本项目的选址是合理可行的。</w:t>
      </w:r>
    </w:p>
    <w:p>
      <w:pPr>
        <w:numPr>
          <w:ilvl w:val="0"/>
          <w:numId w:val="0"/>
        </w:numPr>
        <w:tabs>
          <w:tab w:val="left" w:pos="0"/>
        </w:tabs>
        <w:bidi w:val="0"/>
        <w:ind w:leftChars="0"/>
        <w:jc w:val="both"/>
        <w:outlineLvl w:val="9"/>
        <w:rPr>
          <w:color w:val="auto"/>
          <w:highlight w:val="none"/>
        </w:rPr>
        <w:sectPr>
          <w:pgSz w:w="11906" w:h="16838"/>
          <w:pgMar w:top="1440" w:right="1800" w:bottom="1440" w:left="1800" w:header="851" w:footer="992" w:gutter="0"/>
          <w:pgNumType w:fmt="decimal"/>
          <w:cols w:space="720" w:num="1"/>
          <w:docGrid w:type="lines" w:linePitch="312" w:charSpace="0"/>
        </w:sectPr>
      </w:pPr>
    </w:p>
    <w:p>
      <w:pPr>
        <w:pStyle w:val="2"/>
        <w:numPr>
          <w:ilvl w:val="0"/>
          <w:numId w:val="2"/>
        </w:numPr>
        <w:tabs>
          <w:tab w:val="left" w:pos="420"/>
        </w:tabs>
        <w:bidi w:val="0"/>
        <w:rPr>
          <w:rFonts w:hint="default"/>
          <w:color w:val="auto"/>
          <w:highlight w:val="none"/>
          <w:lang w:val="en-US" w:eastAsia="zh-CN"/>
        </w:rPr>
      </w:pPr>
      <w:bookmarkStart w:id="970" w:name="_Toc27907"/>
      <w:bookmarkStart w:id="971" w:name="_Toc811"/>
      <w:bookmarkStart w:id="972" w:name="_Toc28602"/>
      <w:bookmarkStart w:id="973" w:name="_Toc9134"/>
      <w:r>
        <w:rPr>
          <w:color w:val="auto"/>
          <w:highlight w:val="none"/>
        </w:rPr>
        <w:t>结论</w:t>
      </w:r>
      <w:r>
        <w:rPr>
          <w:rFonts w:hint="eastAsia"/>
          <w:color w:val="auto"/>
          <w:highlight w:val="none"/>
          <w:lang w:val="en-US" w:eastAsia="zh-CN"/>
        </w:rPr>
        <w:t>与建议</w:t>
      </w:r>
      <w:bookmarkEnd w:id="970"/>
      <w:bookmarkEnd w:id="971"/>
      <w:bookmarkEnd w:id="972"/>
      <w:bookmarkEnd w:id="973"/>
    </w:p>
    <w:p>
      <w:pPr>
        <w:pStyle w:val="3"/>
        <w:numPr>
          <w:ilvl w:val="1"/>
          <w:numId w:val="2"/>
        </w:numPr>
        <w:tabs>
          <w:tab w:val="left" w:pos="420"/>
        </w:tabs>
        <w:bidi w:val="0"/>
        <w:rPr>
          <w:color w:val="auto"/>
        </w:rPr>
      </w:pPr>
      <w:bookmarkStart w:id="974" w:name="_Toc12843"/>
      <w:bookmarkStart w:id="975" w:name="_Toc15331"/>
      <w:bookmarkStart w:id="976" w:name="_Toc27506"/>
      <w:bookmarkStart w:id="977" w:name="_Toc3546"/>
      <w:r>
        <w:rPr>
          <w:color w:val="auto"/>
        </w:rPr>
        <w:t>与产业政策、规划、法规的符合性及选址合理性</w:t>
      </w:r>
      <w:bookmarkEnd w:id="974"/>
      <w:bookmarkEnd w:id="975"/>
      <w:bookmarkEnd w:id="976"/>
      <w:bookmarkEnd w:id="977"/>
    </w:p>
    <w:p>
      <w:pPr>
        <w:bidi w:val="0"/>
        <w:ind w:firstLine="480" w:firstLineChars="200"/>
        <w:rPr>
          <w:color w:val="auto"/>
          <w:highlight w:val="none"/>
        </w:rPr>
      </w:pPr>
      <w:r>
        <w:rPr>
          <w:color w:val="auto"/>
          <w:highlight w:val="none"/>
        </w:rPr>
        <w:t>本项目建设性质属新建引水工程项目，对照国家发展和改革委员会《产业结构调整指导目录（2019年本）》（2021修改），项目属于鼓励类</w:t>
      </w:r>
      <w:r>
        <w:rPr>
          <w:rFonts w:hint="eastAsia"/>
          <w:color w:val="auto"/>
          <w:highlight w:val="none"/>
          <w:lang w:eastAsia="zh-CN"/>
        </w:rPr>
        <w:t>“</w:t>
      </w:r>
      <w:r>
        <w:rPr>
          <w:color w:val="auto"/>
          <w:highlight w:val="none"/>
        </w:rPr>
        <w:t xml:space="preserve"> 高效输配水、节水灌溉技术推广应用</w:t>
      </w:r>
      <w:r>
        <w:rPr>
          <w:rFonts w:hint="eastAsia"/>
          <w:color w:val="auto"/>
          <w:highlight w:val="none"/>
          <w:lang w:eastAsia="zh-CN"/>
        </w:rPr>
        <w:t>”</w:t>
      </w:r>
      <w:r>
        <w:rPr>
          <w:color w:val="auto"/>
          <w:highlight w:val="none"/>
        </w:rPr>
        <w:t>，符合国家产业政策。项目位于元谋县姜驿乡、江边乡，地处农村地区，距离元谋县城较远，不在城市规划范围区内；项目符合《云南省主体功能区划》和《云南省生态功能区划》、《元谋县水利十三五重点专项规划中期评估报告》的有关要求。本项目符合《中国生物多样性保护战略与行动计划（2011-2030 年）》、《云南省生物多样性保护战略与行动计划（2012-2030年）》、《风景名胜区条例》、《云南省风景名胜区条例（2021年修正）》、《元谋风景名胜区总体规划（2015-2030 年）》、</w:t>
      </w:r>
      <w:r>
        <w:rPr>
          <w:rFonts w:hint="eastAsia" w:ascii="Times New Roman" w:hAnsi="Times New Roman" w:eastAsia="宋体" w:cs="Times New Roman"/>
          <w:color w:val="auto"/>
          <w:lang w:val="en-US" w:eastAsia="zh-CN"/>
        </w:rPr>
        <w:t>《云南省自然资源厅云南省生态环境厅云南省林业和草原局关于加强生态保护红线管理工作的通知》(云自然资(2023）98号)</w:t>
      </w:r>
      <w:r>
        <w:rPr>
          <w:color w:val="auto"/>
          <w:highlight w:val="none"/>
        </w:rPr>
        <w:t>、《楚雄州人民政府关于印发楚雄州</w:t>
      </w:r>
      <w:r>
        <w:rPr>
          <w:rFonts w:hint="eastAsia"/>
          <w:color w:val="auto"/>
          <w:highlight w:val="none"/>
          <w:lang w:eastAsia="zh-CN"/>
        </w:rPr>
        <w:t>“</w:t>
      </w:r>
      <w:r>
        <w:rPr>
          <w:color w:val="auto"/>
          <w:highlight w:val="none"/>
        </w:rPr>
        <w:t>三线一单</w:t>
      </w:r>
      <w:r>
        <w:rPr>
          <w:rFonts w:hint="eastAsia"/>
          <w:color w:val="auto"/>
          <w:highlight w:val="none"/>
          <w:lang w:eastAsia="zh-CN"/>
        </w:rPr>
        <w:t>”</w:t>
      </w:r>
      <w:r>
        <w:rPr>
          <w:color w:val="auto"/>
          <w:highlight w:val="none"/>
        </w:rPr>
        <w:t>生态环境分区管控实施方案》、《关于在国土空间规划中统筹划定落实三条控制线的指导意见》相关要求。</w:t>
      </w:r>
    </w:p>
    <w:p>
      <w:pPr>
        <w:pStyle w:val="3"/>
        <w:numPr>
          <w:ilvl w:val="1"/>
          <w:numId w:val="2"/>
        </w:numPr>
        <w:tabs>
          <w:tab w:val="left" w:pos="420"/>
        </w:tabs>
        <w:bidi w:val="0"/>
        <w:rPr>
          <w:color w:val="auto"/>
        </w:rPr>
      </w:pPr>
      <w:bookmarkStart w:id="978" w:name="bookmark92"/>
      <w:bookmarkEnd w:id="978"/>
      <w:bookmarkStart w:id="979" w:name="_Toc10710"/>
      <w:bookmarkStart w:id="980" w:name="_Toc24143"/>
      <w:bookmarkStart w:id="981" w:name="_Toc30343"/>
      <w:bookmarkStart w:id="982" w:name="_Toc18"/>
      <w:r>
        <w:rPr>
          <w:color w:val="auto"/>
        </w:rPr>
        <w:t>环境质量现状</w:t>
      </w:r>
      <w:bookmarkEnd w:id="979"/>
      <w:bookmarkEnd w:id="980"/>
      <w:bookmarkEnd w:id="981"/>
      <w:bookmarkEnd w:id="982"/>
    </w:p>
    <w:p>
      <w:pPr>
        <w:bidi w:val="0"/>
        <w:rPr>
          <w:color w:val="auto"/>
        </w:rPr>
      </w:pPr>
      <w:r>
        <w:rPr>
          <w:color w:val="auto"/>
        </w:rPr>
        <w:t>（1）环境空气</w:t>
      </w:r>
    </w:p>
    <w:p>
      <w:pPr>
        <w:bidi w:val="0"/>
        <w:rPr>
          <w:color w:val="auto"/>
        </w:rPr>
      </w:pPr>
      <w:r>
        <w:rPr>
          <w:color w:val="auto"/>
        </w:rPr>
        <w:t>根据202</w:t>
      </w:r>
      <w:r>
        <w:rPr>
          <w:rFonts w:hint="eastAsia"/>
          <w:color w:val="auto"/>
          <w:lang w:val="en-US" w:eastAsia="zh-CN"/>
        </w:rPr>
        <w:t>2</w:t>
      </w:r>
      <w:r>
        <w:rPr>
          <w:color w:val="auto"/>
        </w:rPr>
        <w:t>年元谋县环境空气年报表以及补充监测结果表明，评价区环境空气质量均能满足《环境空气质量标准》（GB3095-2012）中二级标准。</w:t>
      </w:r>
      <w:r>
        <w:rPr>
          <w:rFonts w:hint="eastAsia"/>
          <w:color w:val="auto"/>
          <w:lang w:val="en-US" w:eastAsia="zh-CN"/>
        </w:rPr>
        <w:t>根据引用的TSP监测，项目位于</w:t>
      </w:r>
      <w:r>
        <w:rPr>
          <w:color w:val="auto"/>
        </w:rPr>
        <w:t>元谋风景名胜区</w:t>
      </w:r>
      <w:r>
        <w:rPr>
          <w:rFonts w:hint="eastAsia"/>
          <w:color w:val="auto"/>
          <w:lang w:val="en-US" w:eastAsia="zh-CN"/>
        </w:rPr>
        <w:t>内的工程</w:t>
      </w:r>
      <w:r>
        <w:rPr>
          <w:color w:val="auto"/>
        </w:rPr>
        <w:t>环境空气质量能满足《环境空气质量标准》（GB3095-2012）中一级标准。</w:t>
      </w:r>
    </w:p>
    <w:p>
      <w:pPr>
        <w:bidi w:val="0"/>
        <w:rPr>
          <w:rFonts w:hint="eastAsia"/>
          <w:color w:val="auto"/>
          <w:lang w:val="en-US" w:eastAsia="zh-CN"/>
        </w:rPr>
      </w:pPr>
      <w:r>
        <w:rPr>
          <w:color w:val="auto"/>
        </w:rPr>
        <w:t>（2）声环境</w:t>
      </w:r>
    </w:p>
    <w:p>
      <w:pPr>
        <w:bidi w:val="0"/>
        <w:rPr>
          <w:color w:val="auto"/>
        </w:rPr>
      </w:pPr>
      <w:r>
        <w:rPr>
          <w:rFonts w:hint="eastAsia" w:ascii="Times New Roman" w:hAnsi="Times New Roman" w:cs="Times New Roman"/>
          <w:color w:val="auto"/>
          <w:kern w:val="0"/>
          <w:sz w:val="24"/>
          <w:szCs w:val="24"/>
          <w:highlight w:val="none"/>
          <w:lang w:val="en-US" w:eastAsia="zh-CN"/>
        </w:rPr>
        <w:t>根据</w:t>
      </w:r>
      <w:r>
        <w:rPr>
          <w:rFonts w:hint="eastAsia"/>
          <w:color w:val="auto"/>
          <w:highlight w:val="none"/>
          <w:lang w:val="en-US" w:eastAsia="zh-CN"/>
        </w:rPr>
        <w:t>云南天倪检测有限公司2023</w:t>
      </w:r>
      <w:r>
        <w:rPr>
          <w:rFonts w:hint="default"/>
          <w:color w:val="auto"/>
          <w:highlight w:val="none"/>
        </w:rPr>
        <w:t>年</w:t>
      </w:r>
      <w:r>
        <w:rPr>
          <w:rFonts w:hint="eastAsia"/>
          <w:color w:val="auto"/>
          <w:highlight w:val="none"/>
          <w:lang w:val="en-US" w:eastAsia="zh-CN"/>
        </w:rPr>
        <w:t>12</w:t>
      </w:r>
      <w:r>
        <w:rPr>
          <w:rFonts w:hint="default"/>
          <w:color w:val="auto"/>
          <w:highlight w:val="none"/>
        </w:rPr>
        <w:t>月</w:t>
      </w:r>
      <w:r>
        <w:rPr>
          <w:rFonts w:hint="eastAsia"/>
          <w:color w:val="auto"/>
          <w:highlight w:val="none"/>
          <w:lang w:val="en-US" w:eastAsia="zh-CN"/>
        </w:rPr>
        <w:t>28</w:t>
      </w:r>
      <w:r>
        <w:rPr>
          <w:rFonts w:hint="default"/>
          <w:color w:val="auto"/>
          <w:highlight w:val="none"/>
        </w:rPr>
        <w:t>日</w:t>
      </w:r>
      <w:r>
        <w:rPr>
          <w:rFonts w:hint="eastAsia"/>
          <w:color w:val="auto"/>
          <w:highlight w:val="none"/>
          <w:lang w:val="en-US" w:eastAsia="zh-CN"/>
        </w:rPr>
        <w:t>~2023年12月29日的现状检测结果：</w:t>
      </w:r>
      <w:r>
        <w:rPr>
          <w:rFonts w:hint="eastAsia" w:ascii="Times New Roman" w:hAnsi="Times New Roman" w:cs="Times New Roman"/>
          <w:color w:val="auto"/>
          <w:kern w:val="0"/>
          <w:sz w:val="24"/>
          <w:szCs w:val="24"/>
          <w:highlight w:val="none"/>
          <w:lang w:val="en-US" w:eastAsia="zh-CN"/>
        </w:rPr>
        <w:t>1#金马村；2#阿洒姑村；3#</w:t>
      </w:r>
      <w:r>
        <w:rPr>
          <w:rFonts w:hint="eastAsia" w:cs="Times New Roman"/>
          <w:color w:val="auto"/>
          <w:kern w:val="0"/>
          <w:sz w:val="24"/>
          <w:szCs w:val="24"/>
          <w:highlight w:val="none"/>
          <w:lang w:val="en-US" w:eastAsia="zh-CN"/>
        </w:rPr>
        <w:t>华峰</w:t>
      </w:r>
      <w:r>
        <w:rPr>
          <w:rFonts w:hint="eastAsia" w:ascii="Times New Roman" w:hAnsi="Times New Roman" w:cs="Times New Roman"/>
          <w:color w:val="auto"/>
          <w:kern w:val="0"/>
          <w:sz w:val="24"/>
          <w:szCs w:val="24"/>
          <w:highlight w:val="none"/>
          <w:lang w:val="en-US" w:eastAsia="zh-CN"/>
        </w:rPr>
        <w:t>村；4#羊拉昔村；5#姜驿乡；6#红坡村；7#姜驿大村；8#拉黑沟村；9#白秧树村</w:t>
      </w:r>
      <w:r>
        <w:rPr>
          <w:rFonts w:hint="eastAsia"/>
          <w:color w:val="auto"/>
          <w:lang w:val="en-US" w:eastAsia="zh-CN"/>
        </w:rPr>
        <w:t>均</w:t>
      </w:r>
      <w:r>
        <w:rPr>
          <w:color w:val="auto"/>
        </w:rPr>
        <w:t>可达</w:t>
      </w:r>
      <w:r>
        <w:rPr>
          <w:rFonts w:hint="default" w:ascii="Times New Roman" w:hAnsi="Times New Roman" w:cs="Times New Roman"/>
          <w:color w:val="auto"/>
          <w:highlight w:val="none"/>
          <w:lang w:val="en-US" w:eastAsia="zh-CN"/>
        </w:rPr>
        <w:t>《声环境质量标准》</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GB3096-2008</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en-US" w:eastAsia="zh-CN"/>
        </w:rPr>
        <w:t>类区标准</w:t>
      </w:r>
      <w:r>
        <w:rPr>
          <w:color w:val="auto"/>
        </w:rPr>
        <w:t>。</w:t>
      </w:r>
    </w:p>
    <w:p>
      <w:pPr>
        <w:bidi w:val="0"/>
        <w:rPr>
          <w:color w:val="0000FF"/>
        </w:rPr>
      </w:pPr>
      <w:r>
        <w:rPr>
          <w:color w:val="0000FF"/>
        </w:rPr>
        <w:t>（3）地表水环境</w:t>
      </w:r>
    </w:p>
    <w:p>
      <w:pPr>
        <w:ind w:firstLine="480" w:firstLineChars="200"/>
        <w:rPr>
          <w:rFonts w:hint="default" w:eastAsia="宋体"/>
          <w:color w:val="0000FF"/>
          <w:highlight w:val="none"/>
          <w:lang w:val="en-US" w:eastAsia="zh-CN"/>
        </w:rPr>
      </w:pPr>
      <w:r>
        <w:rPr>
          <w:rFonts w:hint="eastAsia"/>
          <w:color w:val="0000FF"/>
          <w:lang w:val="en-US" w:eastAsia="zh-CN"/>
        </w:rPr>
        <w:t>根据云南浩辰环保科技有限公司2024年4月11日-13日现状检测结果：水平石水库、姜中水库、李官坟水库、界牌箐水库（高锰酸盐指数、化学需氧量、五日生化需氧量、氨氮、总磷</w:t>
      </w:r>
      <w:r>
        <w:rPr>
          <w:rFonts w:hint="eastAsia"/>
          <w:color w:val="0000FF"/>
          <w:highlight w:val="none"/>
          <w:lang w:val="en-US" w:eastAsia="zh-CN"/>
        </w:rPr>
        <w:t>、总氮</w:t>
      </w:r>
      <w:r>
        <w:rPr>
          <w:rFonts w:hint="eastAsia" w:cs="Times New Roman"/>
          <w:color w:val="0000FF"/>
          <w:szCs w:val="23"/>
          <w:highlight w:val="none"/>
          <w:lang w:val="en-US" w:eastAsia="zh-CN"/>
        </w:rPr>
        <w:t>外</w:t>
      </w:r>
      <w:r>
        <w:rPr>
          <w:rFonts w:hint="eastAsia"/>
          <w:color w:val="0000FF"/>
          <w:highlight w:val="none"/>
          <w:lang w:val="en-US" w:eastAsia="zh-CN"/>
        </w:rPr>
        <w:t>）水质均可以满足</w:t>
      </w:r>
      <w:r>
        <w:rPr>
          <w:rFonts w:hint="default" w:ascii="Times New Roman" w:hAnsi="Times New Roman" w:cs="Times New Roman"/>
          <w:color w:val="0000FF"/>
          <w:szCs w:val="23"/>
          <w:highlight w:val="none"/>
        </w:rPr>
        <w:t>《地表水环境质量标准》（GB3838-2002）</w:t>
      </w:r>
      <w:r>
        <w:rPr>
          <w:rFonts w:hint="eastAsia" w:ascii="Times New Roman" w:hAnsi="Times New Roman" w:cs="Times New Roman"/>
          <w:color w:val="0000FF"/>
          <w:szCs w:val="23"/>
          <w:highlight w:val="none"/>
          <w:lang w:val="en-US" w:eastAsia="zh-CN"/>
        </w:rPr>
        <w:t>Ⅲ类水质标准</w:t>
      </w:r>
      <w:r>
        <w:rPr>
          <w:rFonts w:hint="eastAsia" w:cs="Times New Roman"/>
          <w:color w:val="0000FF"/>
          <w:szCs w:val="23"/>
          <w:highlight w:val="none"/>
          <w:lang w:val="en-US" w:eastAsia="zh-CN"/>
        </w:rPr>
        <w:t>；界牌箐水库高锰酸盐指数、化学需氧量、五日生化需氧量、氨氮、总磷、总氮超标指数分别为：0.63、1.02、1.52、1.4、0.2、4.82。超标原因可能是农村、农业面源污染造成的。</w:t>
      </w:r>
    </w:p>
    <w:p>
      <w:pPr>
        <w:outlineLvl w:val="9"/>
        <w:rPr>
          <w:rFonts w:hint="eastAsia"/>
          <w:color w:val="0000FF"/>
          <w:highlight w:val="none"/>
          <w:vertAlign w:val="baseline"/>
          <w:lang w:val="en-US" w:eastAsia="zh-CN"/>
        </w:rPr>
      </w:pPr>
      <w:r>
        <w:rPr>
          <w:rFonts w:hint="eastAsia"/>
          <w:color w:val="0000FF"/>
          <w:highlight w:val="none"/>
        </w:rPr>
        <w:t>云南省生态环境厅驻楚雄州生态环境监测站出具的《2022 年楚雄州环境质量状况报告》，元谋 县姜驿乡抗旱应急供水工程饮用水（阿咪拉取水点饮用水水源地）水质监测结果能够满足Ⅱ类水质标准及集中式生活饮用水地表水源地补充项目限值</w:t>
      </w:r>
      <w:r>
        <w:rPr>
          <w:rFonts w:hint="eastAsia"/>
          <w:color w:val="0000FF"/>
          <w:highlight w:val="none"/>
          <w:vertAlign w:val="baseline"/>
          <w:lang w:val="en-US" w:eastAsia="zh-CN"/>
        </w:rPr>
        <w:t>。</w:t>
      </w:r>
    </w:p>
    <w:p>
      <w:pPr>
        <w:numPr>
          <w:ilvl w:val="0"/>
          <w:numId w:val="25"/>
        </w:numPr>
        <w:ind w:left="0" w:leftChars="0" w:firstLine="480" w:firstLineChars="200"/>
        <w:outlineLvl w:val="9"/>
        <w:rPr>
          <w:rFonts w:hint="eastAsia"/>
          <w:color w:val="0000FF"/>
          <w:highlight w:val="none"/>
          <w:vertAlign w:val="baseline"/>
          <w:lang w:val="en-US" w:eastAsia="zh-CN"/>
        </w:rPr>
      </w:pPr>
      <w:r>
        <w:rPr>
          <w:rFonts w:hint="eastAsia"/>
          <w:color w:val="0000FF"/>
          <w:highlight w:val="none"/>
          <w:vertAlign w:val="baseline"/>
          <w:lang w:val="en-US" w:eastAsia="zh-CN"/>
        </w:rPr>
        <w:t>地下水环境</w:t>
      </w:r>
    </w:p>
    <w:p>
      <w:pPr>
        <w:ind w:firstLine="480"/>
        <w:rPr>
          <w:rFonts w:hint="eastAsia" w:cs="Times New Roman"/>
          <w:color w:val="0000FF"/>
          <w:highlight w:val="none"/>
          <w:lang w:val="en-US" w:eastAsia="zh-CN"/>
        </w:rPr>
      </w:pPr>
      <w:r>
        <w:rPr>
          <w:rFonts w:hint="default" w:ascii="Times New Roman" w:hAnsi="Times New Roman" w:cs="Times New Roman"/>
          <w:color w:val="0000FF"/>
          <w:highlight w:val="none"/>
        </w:rPr>
        <w:t>根据监测结果可看出，</w:t>
      </w:r>
      <w:r>
        <w:rPr>
          <w:rFonts w:hint="eastAsia" w:cs="Times New Roman"/>
          <w:color w:val="0000FF"/>
          <w:highlight w:val="none"/>
          <w:lang w:val="en-US" w:eastAsia="zh-CN"/>
        </w:rPr>
        <w:t>现状检测的</w:t>
      </w:r>
      <w:r>
        <w:rPr>
          <w:rFonts w:hint="eastAsia" w:ascii="Times New Roman" w:hAnsi="Times New Roman" w:cs="Times New Roman"/>
          <w:color w:val="0000FF"/>
          <w:highlight w:val="none"/>
          <w:lang w:val="en-US" w:eastAsia="zh-CN"/>
        </w:rPr>
        <w:t>沙沟箐村机井能达到</w:t>
      </w:r>
      <w:r>
        <w:rPr>
          <w:rFonts w:hint="default" w:ascii="Times New Roman" w:hAnsi="Times New Roman" w:cs="Times New Roman"/>
          <w:color w:val="0000FF"/>
          <w:highlight w:val="none"/>
        </w:rPr>
        <w:t>《地下水质量标准》（GB/T14848-2017）Ⅲ类标准限值要求。</w:t>
      </w:r>
      <w:r>
        <w:rPr>
          <w:rFonts w:hint="eastAsia" w:ascii="Times New Roman" w:hAnsi="Times New Roman" w:cs="Times New Roman"/>
          <w:color w:val="0000FF"/>
          <w:highlight w:val="none"/>
          <w:lang w:val="en-US" w:eastAsia="zh-CN"/>
        </w:rPr>
        <w:t>引用：1#旧村水井、引用：2#阿拉益村水井除总大肠菌群外，其余均能达到</w:t>
      </w:r>
      <w:r>
        <w:rPr>
          <w:rFonts w:hint="default" w:ascii="Times New Roman" w:hAnsi="Times New Roman" w:cs="Times New Roman"/>
          <w:color w:val="0000FF"/>
          <w:highlight w:val="none"/>
        </w:rPr>
        <w:t>《地下水质量标准》（GB/T14848-2017）Ⅲ类标准限值要求</w:t>
      </w:r>
      <w:r>
        <w:rPr>
          <w:rFonts w:hint="eastAsia" w:cs="Times New Roman"/>
          <w:color w:val="0000FF"/>
          <w:highlight w:val="none"/>
          <w:lang w:eastAsia="zh-CN"/>
        </w:rPr>
        <w:t>，</w:t>
      </w:r>
      <w:r>
        <w:rPr>
          <w:rFonts w:hint="eastAsia" w:cs="Times New Roman"/>
          <w:color w:val="0000FF"/>
          <w:highlight w:val="none"/>
          <w:lang w:val="en-US" w:eastAsia="zh-CN"/>
        </w:rPr>
        <w:t>总大肠菌群最大超标倍数分别为：32.33、28倍，超标原因可能是农村生活面源导致。</w:t>
      </w:r>
    </w:p>
    <w:p>
      <w:pPr>
        <w:ind w:firstLine="480"/>
        <w:rPr>
          <w:rFonts w:hint="default"/>
          <w:color w:val="0000FF"/>
        </w:rPr>
      </w:pPr>
      <w:r>
        <w:rPr>
          <w:rFonts w:hint="default" w:ascii="Times New Roman" w:hAnsi="Times New Roman" w:cs="Times New Roman"/>
          <w:color w:val="0000FF"/>
          <w:highlight w:val="none"/>
        </w:rPr>
        <w:t>八大离子结果分析：</w:t>
      </w:r>
      <w:r>
        <w:rPr>
          <w:rFonts w:hint="eastAsia"/>
          <w:color w:val="0000FF"/>
          <w:lang w:val="en-US" w:eastAsia="zh-CN"/>
        </w:rPr>
        <w:t>沙沟箐村机井、</w:t>
      </w:r>
      <w:r>
        <w:rPr>
          <w:rFonts w:hint="default"/>
          <w:color w:val="0000FF"/>
          <w:lang w:val="en-US" w:eastAsia="zh-CN"/>
        </w:rPr>
        <w:t>引用检测：</w:t>
      </w:r>
      <w:r>
        <w:rPr>
          <w:rFonts w:hint="default"/>
          <w:color w:val="0000FF"/>
        </w:rPr>
        <w:t>1#旧村水井</w:t>
      </w:r>
      <w:r>
        <w:rPr>
          <w:rFonts w:hint="eastAsia"/>
          <w:color w:val="0000FF"/>
          <w:lang w:val="en-US" w:eastAsia="zh-CN"/>
        </w:rPr>
        <w:t>、</w:t>
      </w:r>
      <w:r>
        <w:rPr>
          <w:rFonts w:hint="default"/>
          <w:color w:val="0000FF"/>
        </w:rPr>
        <w:t>引用检测：2#阿拉益村水井</w:t>
      </w:r>
      <w:r>
        <w:rPr>
          <w:rFonts w:hint="default"/>
          <w:color w:val="0000FF"/>
          <w:lang w:val="en-US" w:eastAsia="zh-CN"/>
        </w:rPr>
        <w:t>E值</w:t>
      </w:r>
      <w:r>
        <w:rPr>
          <w:rFonts w:hint="default"/>
          <w:color w:val="0000FF"/>
        </w:rPr>
        <w:t>均小于正负5%，说明地下水监测结果合理。</w:t>
      </w:r>
    </w:p>
    <w:p>
      <w:pPr>
        <w:ind w:firstLine="480"/>
        <w:rPr>
          <w:rFonts w:hint="default" w:eastAsia="宋体"/>
          <w:color w:val="0000FF"/>
          <w:lang w:val="en-US" w:eastAsia="zh-CN"/>
        </w:rPr>
      </w:pPr>
      <w:r>
        <w:rPr>
          <w:rFonts w:hint="eastAsia"/>
          <w:color w:val="0000FF"/>
          <w:lang w:eastAsia="zh-CN"/>
        </w:rPr>
        <w:t>（</w:t>
      </w:r>
      <w:r>
        <w:rPr>
          <w:rFonts w:hint="eastAsia"/>
          <w:color w:val="0000FF"/>
          <w:lang w:val="en-US" w:eastAsia="zh-CN"/>
        </w:rPr>
        <w:t>3</w:t>
      </w:r>
      <w:r>
        <w:rPr>
          <w:rFonts w:hint="eastAsia"/>
          <w:color w:val="0000FF"/>
          <w:lang w:eastAsia="zh-CN"/>
        </w:rPr>
        <w:t>）</w:t>
      </w:r>
      <w:r>
        <w:rPr>
          <w:rFonts w:hint="eastAsia"/>
          <w:color w:val="0000FF"/>
          <w:lang w:val="en-US" w:eastAsia="zh-CN"/>
        </w:rPr>
        <w:t>土壤环境</w:t>
      </w:r>
    </w:p>
    <w:p>
      <w:pPr>
        <w:ind w:firstLine="480"/>
        <w:rPr>
          <w:rFonts w:hint="eastAsia" w:eastAsia="宋体"/>
          <w:color w:val="0000FF"/>
          <w:lang w:eastAsia="zh-CN"/>
        </w:rPr>
      </w:pPr>
      <w:r>
        <w:rPr>
          <w:rFonts w:hint="default"/>
          <w:color w:val="0000FF"/>
        </w:rPr>
        <w:t>为了解区域土壤环境现状，委托云南浩辰环保科技有限公司于2024年4月13日进行一次采样</w:t>
      </w:r>
      <w:r>
        <w:rPr>
          <w:rFonts w:hint="eastAsia"/>
          <w:color w:val="0000FF"/>
          <w:lang w:eastAsia="zh-CN"/>
        </w:rPr>
        <w:t>：</w:t>
      </w:r>
    </w:p>
    <w:p>
      <w:pPr>
        <w:spacing w:line="360" w:lineRule="auto"/>
        <w:jc w:val="both"/>
        <w:rPr>
          <w:rFonts w:hint="default" w:ascii="Times New Roman" w:hAnsi="Times New Roman" w:cs="Times New Roman"/>
          <w:b w:val="0"/>
          <w:bCs w:val="0"/>
          <w:color w:val="0000FF"/>
          <w:sz w:val="24"/>
          <w:szCs w:val="24"/>
          <w:highlight w:val="none"/>
          <w:lang w:val="en-US" w:eastAsia="zh-CN"/>
        </w:rPr>
      </w:pPr>
      <w:r>
        <w:rPr>
          <w:rFonts w:hint="eastAsia" w:ascii="Times New Roman" w:hAnsi="Times New Roman" w:cs="Times New Roman"/>
          <w:b w:val="0"/>
          <w:bCs w:val="0"/>
          <w:color w:val="0000FF"/>
          <w:sz w:val="24"/>
          <w:szCs w:val="24"/>
          <w:highlight w:val="none"/>
          <w:lang w:val="en-US" w:eastAsia="zh-CN"/>
        </w:rPr>
        <w:t>工程占地范围内土壤</w:t>
      </w:r>
      <w:r>
        <w:rPr>
          <w:rFonts w:hint="eastAsia" w:cs="Times New Roman"/>
          <w:b w:val="0"/>
          <w:bCs w:val="0"/>
          <w:color w:val="0000FF"/>
          <w:sz w:val="24"/>
          <w:szCs w:val="24"/>
          <w:highlight w:val="none"/>
          <w:lang w:val="en-US" w:eastAsia="zh-CN"/>
        </w:rPr>
        <w:t>指标</w:t>
      </w:r>
      <w:r>
        <w:rPr>
          <w:rFonts w:hint="eastAsia" w:ascii="Times New Roman" w:hAnsi="Times New Roman" w:cs="Times New Roman"/>
          <w:b w:val="0"/>
          <w:bCs w:val="0"/>
          <w:color w:val="0000FF"/>
          <w:sz w:val="24"/>
          <w:szCs w:val="24"/>
          <w:highlight w:val="none"/>
          <w:lang w:val="en-US" w:eastAsia="zh-CN"/>
        </w:rPr>
        <w:t>可满足《土壤环境质量标准-建设用地土壤污染风险管控标准》（GB36600-2018）第二类项目筛选值。</w:t>
      </w:r>
    </w:p>
    <w:p>
      <w:pPr>
        <w:ind w:firstLine="480"/>
        <w:rPr>
          <w:rFonts w:hint="default"/>
          <w:color w:val="0000FF"/>
        </w:rPr>
      </w:pPr>
      <w:r>
        <w:rPr>
          <w:rFonts w:hint="eastAsia"/>
          <w:color w:val="0000FF"/>
          <w:highlight w:val="none"/>
          <w:lang w:val="en-US" w:eastAsia="zh-CN"/>
        </w:rPr>
        <w:t>工程占地范围外两个土壤检测点pH、铜、镉、总铬、砷、汞、铅、镍、锌、均可达到《土壤环境质量-农用地土壤污染风险管控标准》（GB15618-218）其他筛选值。</w:t>
      </w:r>
    </w:p>
    <w:p>
      <w:pPr>
        <w:pStyle w:val="3"/>
        <w:numPr>
          <w:ilvl w:val="1"/>
          <w:numId w:val="2"/>
        </w:numPr>
        <w:tabs>
          <w:tab w:val="left" w:pos="420"/>
        </w:tabs>
        <w:bidi w:val="0"/>
        <w:rPr>
          <w:color w:val="auto"/>
        </w:rPr>
      </w:pPr>
      <w:bookmarkStart w:id="983" w:name="bookmark93"/>
      <w:bookmarkEnd w:id="983"/>
      <w:bookmarkStart w:id="984" w:name="_Toc7544"/>
      <w:bookmarkStart w:id="985" w:name="_Toc23603"/>
      <w:bookmarkStart w:id="986" w:name="_Toc1768"/>
      <w:bookmarkStart w:id="987" w:name="_Toc26709"/>
      <w:r>
        <w:rPr>
          <w:color w:val="auto"/>
        </w:rPr>
        <w:t>环境影响评价结论</w:t>
      </w:r>
      <w:bookmarkEnd w:id="984"/>
      <w:bookmarkEnd w:id="985"/>
      <w:bookmarkEnd w:id="986"/>
      <w:bookmarkEnd w:id="987"/>
    </w:p>
    <w:p>
      <w:pPr>
        <w:pStyle w:val="4"/>
        <w:numPr>
          <w:ilvl w:val="2"/>
          <w:numId w:val="2"/>
        </w:numPr>
        <w:tabs>
          <w:tab w:val="left" w:pos="420"/>
        </w:tabs>
        <w:bidi w:val="0"/>
        <w:rPr>
          <w:rFonts w:hint="eastAsia"/>
          <w:color w:val="auto"/>
          <w:lang w:val="en-US" w:eastAsia="zh-CN"/>
        </w:rPr>
      </w:pPr>
      <w:r>
        <w:rPr>
          <w:rFonts w:hint="eastAsia"/>
          <w:color w:val="auto"/>
          <w:lang w:val="en-US" w:eastAsia="zh-CN"/>
        </w:rPr>
        <w:t>地表水环境影响分析结论</w:t>
      </w:r>
    </w:p>
    <w:p>
      <w:pPr>
        <w:outlineLvl w:val="9"/>
        <w:rPr>
          <w:rFonts w:hint="default" w:eastAsia="宋体"/>
          <w:b/>
          <w:bCs/>
          <w:color w:val="auto"/>
          <w:highlight w:val="none"/>
          <w:lang w:val="en-US" w:eastAsia="zh-CN"/>
        </w:rPr>
      </w:pPr>
      <w:r>
        <w:rPr>
          <w:rFonts w:hint="eastAsia"/>
          <w:b/>
          <w:bCs/>
          <w:color w:val="auto"/>
          <w:highlight w:val="none"/>
          <w:lang w:val="en-US" w:eastAsia="zh-CN"/>
        </w:rPr>
        <w:t>1、施工期</w:t>
      </w:r>
    </w:p>
    <w:p>
      <w:pPr>
        <w:pStyle w:val="37"/>
        <w:ind w:firstLine="480" w:firstLineChars="200"/>
        <w:rPr>
          <w:rFonts w:hint="default"/>
          <w:color w:val="auto"/>
          <w:lang w:val="en-US"/>
        </w:rPr>
      </w:pPr>
      <w:r>
        <w:rPr>
          <w:rFonts w:hint="eastAsia" w:cs="Times New Roman"/>
          <w:color w:val="0000FF"/>
          <w:highlight w:val="none"/>
          <w:lang w:val="en-US" w:eastAsia="zh-CN"/>
        </w:rPr>
        <w:t>粪便污水设置设置2座移动式无害化厕所处理后清掏用于附近农田施肥；其余生活污水2个容积为1m</w:t>
      </w:r>
      <w:r>
        <w:rPr>
          <w:rFonts w:hint="eastAsia" w:cs="Times New Roman"/>
          <w:color w:val="0000FF"/>
          <w:highlight w:val="none"/>
          <w:vertAlign w:val="superscript"/>
          <w:lang w:val="en-US" w:eastAsia="zh-CN"/>
        </w:rPr>
        <w:t>3</w:t>
      </w:r>
      <w:r>
        <w:rPr>
          <w:rFonts w:hint="eastAsia" w:cs="Times New Roman"/>
          <w:color w:val="0000FF"/>
          <w:highlight w:val="none"/>
          <w:lang w:val="en-US" w:eastAsia="zh-CN"/>
        </w:rPr>
        <w:t>移动式的沉淀池处理后用于场地洒水降尘</w:t>
      </w:r>
      <w:r>
        <w:rPr>
          <w:rFonts w:hint="eastAsia"/>
          <w:color w:val="auto"/>
          <w:highlight w:val="none"/>
          <w:lang w:eastAsia="zh-CN"/>
        </w:rPr>
        <w:t>；</w:t>
      </w:r>
      <w:r>
        <w:rPr>
          <w:color w:val="auto"/>
          <w:highlight w:val="none"/>
        </w:rPr>
        <w:t>施工期移动式混凝土搅拌</w:t>
      </w:r>
      <w:r>
        <w:rPr>
          <w:rFonts w:hint="eastAsia"/>
          <w:color w:val="auto"/>
          <w:highlight w:val="none"/>
          <w:lang w:val="en-US" w:eastAsia="zh-CN"/>
        </w:rPr>
        <w:t>机</w:t>
      </w:r>
      <w:r>
        <w:rPr>
          <w:color w:val="auto"/>
          <w:highlight w:val="none"/>
        </w:rPr>
        <w:t>冲洗废水可就地采用</w:t>
      </w:r>
      <w:r>
        <w:rPr>
          <w:rFonts w:hint="eastAsia"/>
          <w:color w:val="auto"/>
          <w:highlight w:val="none"/>
          <w:lang w:eastAsia="zh-CN"/>
        </w:rPr>
        <w:t>移动式沉淀池</w:t>
      </w:r>
      <w:r>
        <w:rPr>
          <w:color w:val="auto"/>
          <w:highlight w:val="none"/>
        </w:rPr>
        <w:t>收集，</w:t>
      </w:r>
      <w:r>
        <w:rPr>
          <w:rFonts w:hint="eastAsia"/>
          <w:color w:val="auto"/>
          <w:highlight w:val="none"/>
          <w:lang w:eastAsia="zh-CN"/>
        </w:rPr>
        <w:t>移动式沉淀池</w:t>
      </w:r>
      <w:r>
        <w:rPr>
          <w:color w:val="auto"/>
          <w:highlight w:val="none"/>
        </w:rPr>
        <w:t>大小为</w:t>
      </w:r>
      <w:r>
        <w:rPr>
          <w:rFonts w:hint="eastAsia"/>
          <w:color w:val="auto"/>
          <w:highlight w:val="none"/>
          <w:lang w:val="en-US" w:eastAsia="zh-CN"/>
        </w:rPr>
        <w:t>2</w:t>
      </w:r>
      <w:r>
        <w:rPr>
          <w:color w:val="auto"/>
          <w:highlight w:val="none"/>
        </w:rPr>
        <w:t>m</w:t>
      </w:r>
      <w:r>
        <w:rPr>
          <w:color w:val="auto"/>
          <w:highlight w:val="none"/>
          <w:vertAlign w:val="superscript"/>
        </w:rPr>
        <w:t>3</w:t>
      </w:r>
      <w:r>
        <w:rPr>
          <w:color w:val="auto"/>
          <w:highlight w:val="none"/>
        </w:rPr>
        <w:t>，</w:t>
      </w:r>
      <w:r>
        <w:rPr>
          <w:rFonts w:hint="eastAsia"/>
          <w:color w:val="auto"/>
          <w:highlight w:val="none"/>
          <w:lang w:val="en-US" w:eastAsia="zh-CN"/>
        </w:rPr>
        <w:t>沉淀后回用于施工</w:t>
      </w:r>
      <w:r>
        <w:rPr>
          <w:rFonts w:hint="eastAsia"/>
          <w:color w:val="auto"/>
          <w:highlight w:val="none"/>
          <w:lang w:eastAsia="zh-CN"/>
        </w:rPr>
        <w:t>；</w:t>
      </w:r>
      <w:r>
        <w:rPr>
          <w:rFonts w:hint="default" w:ascii="Times New Roman" w:hAnsi="Times New Roman" w:cs="Times New Roman"/>
          <w:color w:val="auto"/>
          <w:highlight w:val="none"/>
          <w:lang w:val="en-US" w:eastAsia="zh-CN"/>
        </w:rPr>
        <w:t>施工机械</w:t>
      </w:r>
      <w:r>
        <w:rPr>
          <w:rFonts w:hint="eastAsia" w:cs="Times New Roman"/>
          <w:color w:val="auto"/>
          <w:highlight w:val="none"/>
          <w:lang w:val="en-US" w:eastAsia="zh-CN"/>
        </w:rPr>
        <w:t>冲洗</w:t>
      </w:r>
      <w:r>
        <w:rPr>
          <w:rFonts w:hint="default" w:ascii="Times New Roman" w:hAnsi="Times New Roman" w:cs="Times New Roman"/>
          <w:color w:val="auto"/>
          <w:highlight w:val="none"/>
          <w:lang w:val="en-US" w:eastAsia="zh-CN"/>
        </w:rPr>
        <w:t>废水产生量为</w:t>
      </w:r>
      <w:r>
        <w:rPr>
          <w:rFonts w:hint="eastAsia" w:cs="Times New Roman"/>
          <w:color w:val="auto"/>
          <w:highlight w:val="none"/>
          <w:lang w:val="en-US" w:eastAsia="zh-CN"/>
        </w:rPr>
        <w:t>3.2</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w:t>
      </w:r>
      <w:r>
        <w:rPr>
          <w:rFonts w:hint="eastAsia" w:cs="Times New Roman"/>
          <w:color w:val="auto"/>
          <w:highlight w:val="none"/>
          <w:lang w:val="en-US" w:eastAsia="zh-CN"/>
        </w:rPr>
        <w:t>2304</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/工期（</w:t>
      </w:r>
      <w:r>
        <w:rPr>
          <w:rFonts w:hint="eastAsia" w:cs="Times New Roman"/>
          <w:color w:val="auto"/>
          <w:highlight w:val="none"/>
          <w:lang w:val="en-US" w:eastAsia="zh-CN"/>
        </w:rPr>
        <w:t>24</w:t>
      </w:r>
      <w:r>
        <w:rPr>
          <w:rFonts w:hint="default" w:ascii="Times New Roman" w:hAnsi="Times New Roman" w:cs="Times New Roman"/>
          <w:color w:val="auto"/>
          <w:highlight w:val="none"/>
          <w:lang w:val="en-US" w:eastAsia="zh-CN"/>
        </w:rPr>
        <w:t>个月，约</w:t>
      </w:r>
      <w:r>
        <w:rPr>
          <w:rFonts w:hint="eastAsia" w:cs="Times New Roman"/>
          <w:color w:val="auto"/>
          <w:highlight w:val="none"/>
          <w:lang w:val="en-US" w:eastAsia="zh-CN"/>
        </w:rPr>
        <w:t>720</w:t>
      </w:r>
      <w:r>
        <w:rPr>
          <w:rFonts w:hint="default" w:ascii="Times New Roman" w:hAnsi="Times New Roman" w:cs="Times New Roman"/>
          <w:color w:val="auto"/>
          <w:highlight w:val="none"/>
          <w:lang w:val="en-US" w:eastAsia="zh-CN"/>
        </w:rPr>
        <w:t>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环评要求在</w:t>
      </w:r>
      <w:r>
        <w:rPr>
          <w:rFonts w:hint="eastAsia" w:cs="Times New Roman"/>
          <w:color w:val="auto"/>
          <w:highlight w:val="none"/>
          <w:lang w:val="en-US" w:eastAsia="zh-CN"/>
        </w:rPr>
        <w:t>施工</w:t>
      </w:r>
      <w:r>
        <w:rPr>
          <w:rFonts w:hint="default" w:ascii="Times New Roman" w:hAnsi="Times New Roman" w:cs="Times New Roman"/>
          <w:color w:val="auto"/>
          <w:highlight w:val="none"/>
          <w:lang w:val="en-US" w:eastAsia="zh-CN"/>
        </w:rPr>
        <w:t>场地设置1个隔油池（容积为</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）和1个沉淀池（容积为</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）处理机修含油废水，经处理后</w:t>
      </w:r>
      <w:r>
        <w:rPr>
          <w:rFonts w:hint="eastAsia" w:cs="Times New Roman"/>
          <w:color w:val="auto"/>
          <w:highlight w:val="none"/>
          <w:lang w:val="en-US" w:eastAsia="zh-CN"/>
        </w:rPr>
        <w:t>用于场地洒水降尘；</w:t>
      </w:r>
      <w:r>
        <w:rPr>
          <w:rFonts w:hint="eastAsia" w:ascii="Times New Roman" w:hAnsi="Times New Roman" w:cs="Times New Roman"/>
          <w:color w:val="auto"/>
          <w:lang w:val="en-US" w:eastAsia="zh-CN"/>
        </w:rPr>
        <w:t>管道试压废水约1000m³，主要污染物为SS，可回用于</w:t>
      </w:r>
      <w:r>
        <w:rPr>
          <w:rFonts w:hint="eastAsia" w:cs="Times New Roman"/>
          <w:color w:val="auto"/>
          <w:lang w:val="en-US" w:eastAsia="zh-CN"/>
        </w:rPr>
        <w:t>场地洒水降尘</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施工期无废水外排，对水环境影响较小。</w:t>
      </w:r>
    </w:p>
    <w:p>
      <w:pPr>
        <w:numPr>
          <w:ilvl w:val="0"/>
          <w:numId w:val="37"/>
        </w:numPr>
        <w:rPr>
          <w:rFonts w:hint="default"/>
          <w:b/>
          <w:bCs/>
          <w:color w:val="auto"/>
          <w:lang w:val="en-US" w:eastAsia="zh-CN"/>
        </w:rPr>
      </w:pPr>
      <w:r>
        <w:rPr>
          <w:rFonts w:hint="eastAsia"/>
          <w:b/>
          <w:bCs/>
          <w:color w:val="auto"/>
          <w:lang w:val="en-US" w:eastAsia="zh-CN"/>
        </w:rPr>
        <w:t>运营期</w:t>
      </w:r>
    </w:p>
    <w:p>
      <w:pPr>
        <w:pStyle w:val="35"/>
        <w:ind w:firstLine="643"/>
        <w:rPr>
          <w:rFonts w:hint="default" w:ascii="Times New Roman" w:hAnsi="Times New Roman" w:cs="Times New Roman"/>
          <w:b w:val="0"/>
          <w:bCs w:val="0"/>
          <w:color w:val="0000FF"/>
          <w:lang w:val="en-US" w:eastAsia="zh-CN"/>
        </w:rPr>
      </w:pPr>
      <w:r>
        <w:rPr>
          <w:rFonts w:hint="eastAsia" w:cs="Times New Roman"/>
          <w:b w:val="0"/>
          <w:bCs w:val="0"/>
          <w:color w:val="0000FF"/>
          <w:lang w:val="en-US" w:eastAsia="zh-CN"/>
        </w:rPr>
        <w:t>90％保证率下</w:t>
      </w:r>
      <w:r>
        <w:rPr>
          <w:rFonts w:hint="default" w:ascii="Times New Roman" w:hAnsi="Times New Roman" w:cs="Times New Roman"/>
          <w:b w:val="0"/>
          <w:bCs w:val="0"/>
          <w:color w:val="0000FF"/>
          <w:lang w:val="en-US" w:eastAsia="zh-CN"/>
        </w:rPr>
        <w:t>本工程供水量入库后界牌箐水库水量变幅为</w:t>
      </w:r>
      <w:r>
        <w:rPr>
          <w:rFonts w:hint="eastAsia" w:cs="Times New Roman"/>
          <w:b w:val="0"/>
          <w:bCs w:val="0"/>
          <w:color w:val="0000FF"/>
          <w:lang w:val="en-US" w:eastAsia="zh-CN"/>
        </w:rPr>
        <w:t>18.99</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61.11</w:t>
      </w:r>
      <w:r>
        <w:rPr>
          <w:rFonts w:hint="default" w:ascii="Times New Roman" w:hAnsi="Times New Roman" w:cs="Times New Roman"/>
          <w:b w:val="0"/>
          <w:bCs w:val="0"/>
          <w:color w:val="0000FF"/>
          <w:lang w:val="en-US" w:eastAsia="zh-CN"/>
        </w:rPr>
        <w:t>％；水平石水库水量变幅为</w:t>
      </w:r>
      <w:r>
        <w:rPr>
          <w:rFonts w:hint="eastAsia" w:cs="Times New Roman"/>
          <w:b w:val="0"/>
          <w:bCs w:val="0"/>
          <w:color w:val="0000FF"/>
          <w:lang w:val="en-US" w:eastAsia="zh-CN"/>
        </w:rPr>
        <w:t>20.94</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64.23</w:t>
      </w:r>
      <w:r>
        <w:rPr>
          <w:rFonts w:hint="default" w:ascii="Times New Roman" w:hAnsi="Times New Roman" w:cs="Times New Roman"/>
          <w:b w:val="0"/>
          <w:bCs w:val="0"/>
          <w:color w:val="0000FF"/>
          <w:lang w:val="en-US" w:eastAsia="zh-CN"/>
        </w:rPr>
        <w:t>％；姜中水库水量变幅为</w:t>
      </w:r>
      <w:r>
        <w:rPr>
          <w:rFonts w:hint="eastAsia" w:cs="Times New Roman"/>
          <w:b w:val="0"/>
          <w:bCs w:val="0"/>
          <w:color w:val="0000FF"/>
          <w:lang w:val="en-US" w:eastAsia="zh-CN"/>
        </w:rPr>
        <w:t>18.45</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~60.91</w:t>
      </w:r>
      <w:r>
        <w:rPr>
          <w:rFonts w:hint="default" w:ascii="Times New Roman" w:hAnsi="Times New Roman" w:cs="Times New Roman"/>
          <w:b w:val="0"/>
          <w:bCs w:val="0"/>
          <w:color w:val="0000FF"/>
          <w:lang w:val="en-US" w:eastAsia="zh-CN"/>
        </w:rPr>
        <w:t>％；李官坟水库水量变幅为</w:t>
      </w:r>
      <w:r>
        <w:rPr>
          <w:rFonts w:hint="eastAsia" w:cs="Times New Roman"/>
          <w:b w:val="0"/>
          <w:bCs w:val="0"/>
          <w:color w:val="0000FF"/>
          <w:lang w:val="en-US" w:eastAsia="zh-CN"/>
        </w:rPr>
        <w:t>15.69</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63.64</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75％保证率下</w:t>
      </w:r>
      <w:r>
        <w:rPr>
          <w:rFonts w:hint="default" w:ascii="Times New Roman" w:hAnsi="Times New Roman" w:cs="Times New Roman"/>
          <w:b w:val="0"/>
          <w:bCs w:val="0"/>
          <w:color w:val="0000FF"/>
          <w:lang w:val="en-US" w:eastAsia="zh-CN"/>
        </w:rPr>
        <w:t>本工程供水量入库后界牌箐水库水量变幅为</w:t>
      </w:r>
      <w:r>
        <w:rPr>
          <w:rFonts w:hint="eastAsia" w:cs="Times New Roman"/>
          <w:b w:val="0"/>
          <w:bCs w:val="0"/>
          <w:color w:val="0000FF"/>
          <w:lang w:val="en-US" w:eastAsia="zh-CN"/>
        </w:rPr>
        <w:t>18.99</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61.11</w:t>
      </w:r>
      <w:r>
        <w:rPr>
          <w:rFonts w:hint="default" w:ascii="Times New Roman" w:hAnsi="Times New Roman" w:cs="Times New Roman"/>
          <w:b w:val="0"/>
          <w:bCs w:val="0"/>
          <w:color w:val="0000FF"/>
          <w:lang w:val="en-US" w:eastAsia="zh-CN"/>
        </w:rPr>
        <w:t>％；水平石水库水量变幅为</w:t>
      </w:r>
      <w:r>
        <w:rPr>
          <w:rFonts w:hint="eastAsia" w:cs="Times New Roman"/>
          <w:b w:val="0"/>
          <w:bCs w:val="0"/>
          <w:color w:val="0000FF"/>
          <w:lang w:val="en-US" w:eastAsia="zh-CN"/>
        </w:rPr>
        <w:t>20.94</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64.23</w:t>
      </w:r>
      <w:r>
        <w:rPr>
          <w:rFonts w:hint="default" w:ascii="Times New Roman" w:hAnsi="Times New Roman" w:cs="Times New Roman"/>
          <w:b w:val="0"/>
          <w:bCs w:val="0"/>
          <w:color w:val="0000FF"/>
          <w:lang w:val="en-US" w:eastAsia="zh-CN"/>
        </w:rPr>
        <w:t>％；姜中水库水量变幅为</w:t>
      </w:r>
      <w:r>
        <w:rPr>
          <w:rFonts w:hint="eastAsia" w:cs="Times New Roman"/>
          <w:b w:val="0"/>
          <w:bCs w:val="0"/>
          <w:color w:val="0000FF"/>
          <w:lang w:val="en-US" w:eastAsia="zh-CN"/>
        </w:rPr>
        <w:t>18.45</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~60.91</w:t>
      </w:r>
      <w:r>
        <w:rPr>
          <w:rFonts w:hint="default" w:ascii="Times New Roman" w:hAnsi="Times New Roman" w:cs="Times New Roman"/>
          <w:b w:val="0"/>
          <w:bCs w:val="0"/>
          <w:color w:val="0000FF"/>
          <w:lang w:val="en-US" w:eastAsia="zh-CN"/>
        </w:rPr>
        <w:t>％；李官坟水库水量变幅为</w:t>
      </w:r>
      <w:r>
        <w:rPr>
          <w:rFonts w:hint="eastAsia" w:cs="Times New Roman"/>
          <w:b w:val="0"/>
          <w:bCs w:val="0"/>
          <w:color w:val="0000FF"/>
          <w:lang w:val="en-US" w:eastAsia="zh-CN"/>
        </w:rPr>
        <w:t>15.69</w:t>
      </w:r>
      <w:r>
        <w:rPr>
          <w:rFonts w:hint="default" w:ascii="Times New Roman" w:hAnsi="Times New Roman" w:cs="Times New Roman"/>
          <w:b w:val="0"/>
          <w:bCs w:val="0"/>
          <w:color w:val="0000FF"/>
          <w:lang w:val="en-US" w:eastAsia="zh-CN"/>
        </w:rPr>
        <w:t>%~</w:t>
      </w:r>
      <w:r>
        <w:rPr>
          <w:rFonts w:hint="eastAsia" w:cs="Times New Roman"/>
          <w:b w:val="0"/>
          <w:bCs w:val="0"/>
          <w:color w:val="0000FF"/>
          <w:lang w:val="en-US" w:eastAsia="zh-CN"/>
        </w:rPr>
        <w:t>63.64</w:t>
      </w:r>
      <w:r>
        <w:rPr>
          <w:rFonts w:hint="default" w:ascii="Times New Roman" w:hAnsi="Times New Roman" w:cs="Times New Roman"/>
          <w:b w:val="0"/>
          <w:bCs w:val="0"/>
          <w:color w:val="0000FF"/>
          <w:lang w:val="en-US" w:eastAsia="zh-CN"/>
        </w:rPr>
        <w:t>%。</w:t>
      </w:r>
    </w:p>
    <w:p>
      <w:pPr>
        <w:pStyle w:val="35"/>
        <w:ind w:firstLine="643"/>
        <w:rPr>
          <w:rFonts w:hint="default"/>
          <w:b w:val="0"/>
          <w:bCs w:val="0"/>
          <w:color w:val="auto"/>
          <w:lang w:val="en-US" w:eastAsia="zh-CN"/>
        </w:rPr>
      </w:pPr>
      <w:r>
        <w:rPr>
          <w:rFonts w:hint="eastAsia"/>
          <w:b w:val="0"/>
          <w:bCs w:val="0"/>
          <w:color w:val="0000FF"/>
          <w:lang w:val="en-US" w:eastAsia="zh-CN"/>
        </w:rPr>
        <w:t>受水区水库水资源有限，为进行生态流量下放。本次环评提出受水区水库按坝址处多年平均径流量10％下泄生态流量。本项目运行后，受水区水资源量增加，更有利益保障下游生态用水。</w:t>
      </w:r>
    </w:p>
    <w:p>
      <w:pPr>
        <w:bidi w:val="0"/>
        <w:ind w:firstLine="480" w:firstLineChars="200"/>
        <w:rPr>
          <w:rFonts w:hint="default"/>
          <w:color w:val="0000FF"/>
          <w:lang w:val="en-US"/>
        </w:rPr>
      </w:pPr>
      <w:r>
        <w:rPr>
          <w:rFonts w:hint="eastAsia"/>
          <w:color w:val="0000FF"/>
          <w:highlight w:val="none"/>
          <w:lang w:val="en-US" w:eastAsia="zh-CN"/>
        </w:rPr>
        <w:t>灌区管理所工作人及平时到访人员以10人计，</w:t>
      </w:r>
      <w:r>
        <w:rPr>
          <w:rFonts w:hint="default" w:ascii="Times New Roman" w:hAnsi="Times New Roman" w:cs="Times New Roman"/>
          <w:color w:val="0000FF"/>
          <w:highlight w:val="none"/>
          <w:lang w:val="en-US" w:eastAsia="zh-CN"/>
        </w:rPr>
        <w:t>环评提出设置容积</w:t>
      </w:r>
      <w:r>
        <w:rPr>
          <w:rFonts w:hint="default" w:ascii="Times New Roman" w:hAnsi="Times New Roman" w:cs="Times New Roman"/>
          <w:color w:val="0000FF"/>
          <w:highlight w:val="none"/>
          <w:shd w:val="clear"/>
          <w:lang w:val="en-US" w:eastAsia="zh-CN"/>
        </w:rPr>
        <w:t>为</w:t>
      </w:r>
      <w:r>
        <w:rPr>
          <w:rFonts w:hint="eastAsia" w:cs="Times New Roman"/>
          <w:color w:val="0000FF"/>
          <w:highlight w:val="none"/>
          <w:shd w:val="clear"/>
          <w:lang w:val="en-US" w:eastAsia="zh-CN"/>
        </w:rPr>
        <w:t>1</w:t>
      </w:r>
      <w:r>
        <w:rPr>
          <w:rFonts w:hint="default" w:ascii="Times New Roman" w:hAnsi="Times New Roman" w:cs="Times New Roman"/>
          <w:color w:val="0000FF"/>
          <w:highlight w:val="none"/>
          <w:shd w:val="clear"/>
          <w:lang w:val="en-US" w:eastAsia="zh-CN"/>
        </w:rPr>
        <w:t>m</w:t>
      </w:r>
      <w:r>
        <w:rPr>
          <w:rFonts w:hint="default" w:ascii="Times New Roman" w:hAnsi="Times New Roman" w:cs="Times New Roman"/>
          <w:color w:val="0000FF"/>
          <w:highlight w:val="none"/>
          <w:shd w:val="clear"/>
          <w:vertAlign w:val="superscript"/>
          <w:lang w:val="en-US" w:eastAsia="zh-CN"/>
        </w:rPr>
        <w:t>3</w:t>
      </w:r>
      <w:r>
        <w:rPr>
          <w:rFonts w:hint="default" w:ascii="Times New Roman" w:hAnsi="Times New Roman" w:cs="Times New Roman"/>
          <w:color w:val="0000FF"/>
          <w:highlight w:val="none"/>
          <w:shd w:val="clear"/>
          <w:lang w:val="en-US" w:eastAsia="zh-CN"/>
        </w:rPr>
        <w:t>的隔油池处理食堂废水，设置容积为</w:t>
      </w:r>
      <w:r>
        <w:rPr>
          <w:rFonts w:hint="eastAsia" w:cs="Times New Roman"/>
          <w:color w:val="0000FF"/>
          <w:highlight w:val="none"/>
          <w:shd w:val="clear"/>
          <w:lang w:val="en-US" w:eastAsia="zh-CN"/>
        </w:rPr>
        <w:t>1.5</w:t>
      </w:r>
      <w:r>
        <w:rPr>
          <w:rFonts w:hint="default" w:ascii="Times New Roman" w:hAnsi="Times New Roman" w:cs="Times New Roman"/>
          <w:color w:val="0000FF"/>
          <w:highlight w:val="none"/>
          <w:shd w:val="clear"/>
          <w:lang w:val="en-US" w:eastAsia="zh-CN"/>
        </w:rPr>
        <w:t>m</w:t>
      </w:r>
      <w:r>
        <w:rPr>
          <w:rFonts w:hint="eastAsia"/>
          <w:color w:val="0000FF"/>
          <w:highlight w:val="none"/>
          <w:shd w:val="clear"/>
          <w:vertAlign w:val="superscript"/>
          <w:lang w:val="en-US" w:eastAsia="zh-CN"/>
        </w:rPr>
        <w:t>3</w:t>
      </w:r>
      <w:r>
        <w:rPr>
          <w:rFonts w:hint="eastAsia"/>
          <w:color w:val="0000FF"/>
          <w:highlight w:val="none"/>
          <w:lang w:val="en-US" w:eastAsia="zh-CN"/>
        </w:rPr>
        <w:t>的化粪池收集生活污水（含经隔油池处理的餐饮废水）</w:t>
      </w:r>
      <w:r>
        <w:rPr>
          <w:rFonts w:hint="eastAsia" w:ascii="Times New Roman" w:hAnsi="Times New Roman" w:eastAsia="宋体" w:cs="Times New Roman"/>
          <w:color w:val="0000FF"/>
          <w:kern w:val="0"/>
          <w:sz w:val="24"/>
          <w:lang w:val="en-US" w:eastAsia="zh-CN" w:bidi="ar"/>
        </w:rPr>
        <w:t>后</w:t>
      </w:r>
      <w:r>
        <w:rPr>
          <w:rFonts w:hint="eastAsia" w:ascii="Times New Roman" w:hAnsi="Times New Roman" w:eastAsia="宋体" w:cs="Times New Roman"/>
          <w:color w:val="0000FF"/>
          <w:kern w:val="0"/>
          <w:sz w:val="24"/>
          <w:lang w:eastAsia="zh-CN" w:bidi="ar"/>
        </w:rPr>
        <w:t>委托当地村民定期清掏用于农田施肥。</w:t>
      </w:r>
    </w:p>
    <w:p>
      <w:pPr>
        <w:pStyle w:val="4"/>
        <w:numPr>
          <w:ilvl w:val="2"/>
          <w:numId w:val="2"/>
        </w:numPr>
        <w:tabs>
          <w:tab w:val="left" w:pos="420"/>
        </w:tabs>
        <w:bidi w:val="0"/>
        <w:rPr>
          <w:rFonts w:hint="default"/>
          <w:color w:val="auto"/>
          <w:lang w:val="en-US" w:eastAsia="zh-CN"/>
        </w:rPr>
      </w:pPr>
      <w:r>
        <w:rPr>
          <w:rFonts w:hint="eastAsia"/>
          <w:color w:val="auto"/>
          <w:lang w:val="en-US" w:eastAsia="zh-CN"/>
        </w:rPr>
        <w:t>大气环境影响分析结论</w:t>
      </w:r>
    </w:p>
    <w:p>
      <w:pPr>
        <w:bidi w:val="0"/>
        <w:ind w:firstLine="480" w:firstLineChars="200"/>
        <w:rPr>
          <w:rFonts w:hint="eastAsia"/>
          <w:color w:val="auto"/>
          <w:lang w:val="en-US" w:eastAsia="zh-CN"/>
        </w:rPr>
      </w:pPr>
      <w:r>
        <w:rPr>
          <w:rFonts w:hint="eastAsia"/>
          <w:color w:val="auto"/>
          <w:lang w:val="en-US" w:eastAsia="zh-CN"/>
        </w:rPr>
        <w:t>选用符合国家有关卫生标准的施工机械和运输工具；采取洒水降尘、篷布遮盖等措施后，施工期扬尘、汽车尾气对大气环境的影响较小。</w:t>
      </w:r>
    </w:p>
    <w:p>
      <w:pPr>
        <w:bidi w:val="0"/>
        <w:rPr>
          <w:rFonts w:hint="default"/>
          <w:color w:val="auto"/>
          <w:highlight w:val="none"/>
          <w:lang w:val="en-US"/>
        </w:rPr>
      </w:pPr>
      <w:r>
        <w:rPr>
          <w:rFonts w:hint="eastAsia"/>
          <w:color w:val="auto"/>
          <w:lang w:val="en-US" w:eastAsia="zh-CN"/>
        </w:rPr>
        <w:t>运营期管理所食堂</w:t>
      </w:r>
      <w:r>
        <w:rPr>
          <w:rFonts w:hint="default"/>
          <w:color w:val="auto"/>
          <w:lang w:eastAsia="zh-CN"/>
        </w:rPr>
        <w:t>油烟采用抽油烟机处理，处理效率为40%，</w:t>
      </w:r>
      <w:r>
        <w:rPr>
          <w:rFonts w:hint="default"/>
          <w:color w:val="0000FF"/>
          <w:lang w:eastAsia="zh-CN"/>
        </w:rPr>
        <w:t>油烟产生速率为</w:t>
      </w:r>
      <w:r>
        <w:rPr>
          <w:rFonts w:hint="eastAsia"/>
          <w:color w:val="0000FF"/>
          <w:lang w:val="en-US" w:eastAsia="zh-CN"/>
        </w:rPr>
        <w:t>0.0011</w:t>
      </w:r>
      <w:r>
        <w:rPr>
          <w:rFonts w:hint="default"/>
          <w:color w:val="0000FF"/>
          <w:lang w:eastAsia="zh-CN"/>
        </w:rPr>
        <w:t>kg/h，产生浓度为</w:t>
      </w:r>
      <w:r>
        <w:rPr>
          <w:rFonts w:hint="eastAsia"/>
          <w:color w:val="0000FF"/>
          <w:lang w:val="en-US" w:eastAsia="zh-CN"/>
        </w:rPr>
        <w:t>0.275</w:t>
      </w:r>
      <w:r>
        <w:rPr>
          <w:rFonts w:hint="default"/>
          <w:color w:val="0000FF"/>
          <w:lang w:eastAsia="zh-CN"/>
        </w:rPr>
        <w:t>mg/m</w:t>
      </w:r>
      <w:r>
        <w:rPr>
          <w:rFonts w:hint="default"/>
          <w:color w:val="0000FF"/>
          <w:vertAlign w:val="superscript"/>
          <w:lang w:eastAsia="zh-CN"/>
        </w:rPr>
        <w:t>3</w:t>
      </w:r>
      <w:r>
        <w:rPr>
          <w:rFonts w:hint="default"/>
          <w:color w:val="0000FF"/>
          <w:lang w:eastAsia="zh-CN"/>
        </w:rPr>
        <w:t>（风量为</w:t>
      </w:r>
      <w:r>
        <w:rPr>
          <w:rFonts w:hint="eastAsia"/>
          <w:color w:val="0000FF"/>
          <w:lang w:val="en-US" w:eastAsia="zh-CN"/>
        </w:rPr>
        <w:t>4</w:t>
      </w:r>
      <w:r>
        <w:rPr>
          <w:rFonts w:hint="default"/>
          <w:color w:val="0000FF"/>
          <w:lang w:eastAsia="zh-CN"/>
        </w:rPr>
        <w:t>000m</w:t>
      </w:r>
      <w:r>
        <w:rPr>
          <w:rFonts w:hint="default"/>
          <w:color w:val="0000FF"/>
          <w:vertAlign w:val="superscript"/>
          <w:lang w:eastAsia="zh-CN"/>
        </w:rPr>
        <w:t>3</w:t>
      </w:r>
      <w:r>
        <w:rPr>
          <w:rFonts w:hint="default"/>
          <w:color w:val="0000FF"/>
          <w:lang w:eastAsia="zh-CN"/>
        </w:rPr>
        <w:t>/h）。本项目运营期食堂拟采用抽油烟机处理，处理效率为40%，油烟排放量约为0.000</w:t>
      </w:r>
      <w:r>
        <w:rPr>
          <w:rFonts w:hint="eastAsia"/>
          <w:color w:val="0000FF"/>
          <w:lang w:val="en-US" w:eastAsia="zh-CN"/>
        </w:rPr>
        <w:t>7</w:t>
      </w:r>
      <w:r>
        <w:rPr>
          <w:rFonts w:hint="default"/>
          <w:color w:val="0000FF"/>
          <w:lang w:eastAsia="zh-CN"/>
        </w:rPr>
        <w:t>kg/h，食堂油烟排放浓度约为0.</w:t>
      </w:r>
      <w:r>
        <w:rPr>
          <w:rFonts w:hint="eastAsia"/>
          <w:color w:val="0000FF"/>
          <w:lang w:val="en-US" w:eastAsia="zh-CN"/>
        </w:rPr>
        <w:t>165</w:t>
      </w:r>
      <w:r>
        <w:rPr>
          <w:rFonts w:hint="default"/>
          <w:color w:val="0000FF"/>
          <w:lang w:eastAsia="zh-CN"/>
        </w:rPr>
        <w:t>mg/m</w:t>
      </w:r>
      <w:r>
        <w:rPr>
          <w:rFonts w:hint="default"/>
          <w:color w:val="0000FF"/>
          <w:vertAlign w:val="superscript"/>
          <w:lang w:eastAsia="zh-CN"/>
        </w:rPr>
        <w:t>3</w:t>
      </w:r>
      <w:r>
        <w:rPr>
          <w:rFonts w:hint="default"/>
          <w:color w:val="0000FF"/>
          <w:lang w:eastAsia="zh-CN"/>
        </w:rPr>
        <w:t>。</w:t>
      </w:r>
      <w:r>
        <w:rPr>
          <w:rFonts w:hint="eastAsia"/>
          <w:color w:val="auto"/>
          <w:lang w:val="en-US" w:eastAsia="zh-CN"/>
        </w:rPr>
        <w:t>油烟浓度排放较低，对大气环境影响较小。</w:t>
      </w:r>
    </w:p>
    <w:p>
      <w:pPr>
        <w:pStyle w:val="4"/>
        <w:numPr>
          <w:ilvl w:val="2"/>
          <w:numId w:val="2"/>
        </w:numPr>
        <w:tabs>
          <w:tab w:val="left" w:pos="420"/>
        </w:tabs>
        <w:bidi w:val="0"/>
        <w:rPr>
          <w:rFonts w:hint="eastAsia"/>
          <w:color w:val="auto"/>
          <w:lang w:val="en-US" w:eastAsia="zh-CN"/>
        </w:rPr>
      </w:pPr>
      <w:r>
        <w:rPr>
          <w:rFonts w:hint="eastAsia"/>
          <w:color w:val="auto"/>
          <w:lang w:val="en-US" w:eastAsia="zh-CN"/>
        </w:rPr>
        <w:t>声环境影响分析结论</w:t>
      </w:r>
    </w:p>
    <w:p>
      <w:pPr>
        <w:keepNext w:val="0"/>
        <w:keepLines w:val="0"/>
        <w:pageBreakBefore w:val="0"/>
        <w:widowControl w:val="0"/>
        <w:kinsoku/>
        <w:wordWrap/>
        <w:overflowPunct/>
        <w:topLinePunct w:val="0"/>
        <w:autoSpaceDE/>
        <w:autoSpaceDN/>
        <w:bidi w:val="0"/>
        <w:adjustRightInd/>
        <w:snapToGrid w:val="0"/>
        <w:ind w:firstLine="482" w:firstLineChars="200"/>
        <w:textAlignment w:val="auto"/>
        <w:rPr>
          <w:rFonts w:hint="eastAsia"/>
          <w:b/>
          <w:bCs/>
          <w:color w:val="auto"/>
          <w:lang w:val="en-US" w:eastAsia="zh-CN"/>
        </w:rPr>
      </w:pPr>
      <w:r>
        <w:rPr>
          <w:rFonts w:hint="eastAsia"/>
          <w:b/>
          <w:bCs/>
          <w:color w:val="auto"/>
          <w:lang w:val="en-US" w:eastAsia="zh-CN"/>
        </w:rPr>
        <w:t>1、施工期</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cs="Times New Roman"/>
          <w:color w:val="auto"/>
          <w:highlight w:val="none"/>
        </w:rPr>
      </w:pPr>
      <w:r>
        <w:rPr>
          <w:rFonts w:hint="eastAsia"/>
          <w:color w:val="auto"/>
          <w:lang w:val="en-US" w:eastAsia="zh-CN"/>
        </w:rPr>
        <w:t>施工过程中对施工区管道两侧的敏感点</w:t>
      </w:r>
      <w:r>
        <w:rPr>
          <w:rFonts w:hint="default" w:ascii="Times New Roman" w:hAnsi="Times New Roman" w:cs="Times New Roman"/>
          <w:color w:val="auto"/>
          <w:highlight w:val="none"/>
        </w:rPr>
        <w:t>敏感居民点的影响较大，本次评价</w:t>
      </w:r>
      <w:r>
        <w:rPr>
          <w:rFonts w:hint="eastAsia" w:cs="Times New Roman"/>
          <w:color w:val="auto"/>
          <w:highlight w:val="none"/>
          <w:lang w:val="en-US" w:eastAsia="zh-CN"/>
        </w:rPr>
        <w:t>提出</w:t>
      </w:r>
      <w:r>
        <w:rPr>
          <w:rFonts w:hint="default" w:ascii="Times New Roman" w:hAnsi="Times New Roman" w:cs="Times New Roman"/>
          <w:color w:val="auto"/>
          <w:highlight w:val="none"/>
        </w:rPr>
        <w:t>施工过程中应提前张贴施工告知声明，在施工区</w:t>
      </w:r>
      <w:r>
        <w:rPr>
          <w:rFonts w:hint="eastAsia" w:cs="Times New Roman"/>
          <w:color w:val="auto"/>
          <w:highlight w:val="none"/>
          <w:lang w:val="en-US" w:eastAsia="zh-CN"/>
        </w:rPr>
        <w:t>靠近敏感点一侧</w:t>
      </w:r>
      <w:r>
        <w:rPr>
          <w:rFonts w:hint="default" w:ascii="Times New Roman" w:hAnsi="Times New Roman" w:cs="Times New Roman"/>
          <w:color w:val="auto"/>
          <w:highlight w:val="none"/>
        </w:rPr>
        <w:t>设置隔声挡板，同时应避开昼间午休和夜间时段施工。由于本项目施工过程是临时的，在施工期结束后这部分影响将随之消失。</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工程施工交通流动噪声源昼间和夜间影响范围均小于10m。据现有施工道路两侧居民点距离道路中心线距离5</w:t>
      </w:r>
      <w:r>
        <w:rPr>
          <w:rFonts w:hint="eastAsia" w:cs="Times New Roman"/>
          <w:color w:val="auto"/>
          <w:kern w:val="0"/>
          <w:highlight w:val="none"/>
          <w:lang w:val="en-US" w:eastAsia="zh-CN"/>
        </w:rPr>
        <w:t>0</w:t>
      </w:r>
      <w:r>
        <w:rPr>
          <w:rFonts w:hint="default" w:ascii="Times New Roman" w:hAnsi="Times New Roman" w:cs="Times New Roman"/>
          <w:color w:val="auto"/>
          <w:kern w:val="0"/>
          <w:highlight w:val="none"/>
        </w:rPr>
        <w:t>～60m，因此昼夜间对其均有一定影响。但由于运输车辆少、运输时间短，且施工噪声对声环境的影响属于暂时、短期行为，随着工程竣工，施工噪声影响将不复存在，因此本工程施工交通流动噪声源产生的影响不大。</w:t>
      </w:r>
    </w:p>
    <w:p>
      <w:pPr>
        <w:keepNext w:val="0"/>
        <w:keepLines w:val="0"/>
        <w:pageBreakBefore w:val="0"/>
        <w:widowControl w:val="0"/>
        <w:numPr>
          <w:ilvl w:val="0"/>
          <w:numId w:val="0"/>
        </w:numPr>
        <w:kinsoku/>
        <w:wordWrap/>
        <w:overflowPunct/>
        <w:topLinePunct w:val="0"/>
        <w:autoSpaceDE/>
        <w:autoSpaceDN/>
        <w:bidi w:val="0"/>
        <w:adjustRightInd/>
        <w:snapToGrid w:val="0"/>
        <w:ind w:firstLine="482" w:firstLineChars="200"/>
        <w:textAlignment w:val="auto"/>
        <w:rPr>
          <w:rFonts w:hint="default"/>
          <w:b/>
          <w:bCs/>
          <w:color w:val="auto"/>
          <w:lang w:val="en-US" w:eastAsia="zh-CN"/>
        </w:rPr>
      </w:pPr>
      <w:r>
        <w:rPr>
          <w:rFonts w:hint="eastAsia"/>
          <w:b/>
          <w:bCs/>
          <w:color w:val="auto"/>
          <w:lang w:val="en-US" w:eastAsia="zh-CN"/>
        </w:rPr>
        <w:t>2、运营期</w:t>
      </w:r>
    </w:p>
    <w:p>
      <w:pPr>
        <w:pStyle w:val="28"/>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color w:val="auto"/>
          <w:sz w:val="24"/>
          <w:szCs w:val="24"/>
          <w:highlight w:val="none"/>
        </w:rPr>
      </w:pPr>
      <w:r>
        <w:rPr>
          <w:color w:val="auto"/>
          <w:sz w:val="24"/>
          <w:szCs w:val="24"/>
          <w:highlight w:val="none"/>
        </w:rPr>
        <w:t>根据预测结果表明，</w:t>
      </w:r>
      <w:r>
        <w:rPr>
          <w:color w:val="auto"/>
          <w:sz w:val="24"/>
          <w:szCs w:val="24"/>
          <w:highlight w:val="none"/>
          <w:lang w:val="zh-CN"/>
        </w:rPr>
        <w:t>项目运营后，</w:t>
      </w:r>
      <w:r>
        <w:rPr>
          <w:rFonts w:hint="eastAsia"/>
          <w:color w:val="auto"/>
          <w:sz w:val="24"/>
          <w:szCs w:val="24"/>
          <w:highlight w:val="none"/>
          <w:lang w:val="en-US" w:eastAsia="zh-CN"/>
        </w:rPr>
        <w:t>泵站</w:t>
      </w:r>
      <w:r>
        <w:rPr>
          <w:color w:val="auto"/>
          <w:sz w:val="24"/>
          <w:szCs w:val="24"/>
          <w:highlight w:val="none"/>
        </w:rPr>
        <w:t>厂界噪声昼间、夜间噪声值均可满足</w:t>
      </w:r>
      <w:r>
        <w:rPr>
          <w:rFonts w:hint="default" w:ascii="Times New Roman" w:hAnsi="Times New Roman" w:cs="Times New Roman"/>
          <w:color w:val="auto"/>
          <w:sz w:val="24"/>
          <w:szCs w:val="24"/>
          <w:highlight w:val="none"/>
        </w:rPr>
        <w:t>《工业企业厂界环境噪声排放标准》（GB12348-2008）中</w:t>
      </w:r>
      <w:r>
        <w:rPr>
          <w:rFonts w:hint="eastAsia"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类标准要求。项目周边200m范围内无敏感点，对周围环境的影响较小。本环评建议厂区加强厂界周围绿化，</w:t>
      </w:r>
      <w:r>
        <w:rPr>
          <w:rFonts w:hint="eastAsia" w:ascii="Times New Roman" w:hAnsi="Times New Roman" w:cs="Times New Roman"/>
          <w:color w:val="auto"/>
          <w:sz w:val="24"/>
          <w:szCs w:val="24"/>
          <w:highlight w:val="none"/>
          <w:lang w:eastAsia="zh-CN"/>
        </w:rPr>
        <w:t>可</w:t>
      </w:r>
      <w:r>
        <w:rPr>
          <w:rFonts w:hint="default" w:ascii="Times New Roman" w:hAnsi="Times New Roman" w:cs="Times New Roman"/>
          <w:color w:val="auto"/>
          <w:sz w:val="24"/>
          <w:szCs w:val="24"/>
          <w:highlight w:val="none"/>
        </w:rPr>
        <w:t>进一步减少项目噪声对外环境的影响。</w:t>
      </w:r>
    </w:p>
    <w:p>
      <w:pPr>
        <w:pStyle w:val="4"/>
        <w:numPr>
          <w:ilvl w:val="2"/>
          <w:numId w:val="2"/>
        </w:numPr>
        <w:tabs>
          <w:tab w:val="left" w:pos="420"/>
        </w:tabs>
        <w:bidi w:val="0"/>
        <w:rPr>
          <w:rFonts w:hint="eastAsia"/>
          <w:color w:val="auto"/>
          <w:lang w:val="en-US" w:eastAsia="zh-CN"/>
        </w:rPr>
      </w:pPr>
      <w:r>
        <w:rPr>
          <w:rFonts w:hint="eastAsia"/>
          <w:color w:val="auto"/>
          <w:lang w:val="en-US" w:eastAsia="zh-CN"/>
        </w:rPr>
        <w:t>固体废物影响分析结论</w:t>
      </w:r>
    </w:p>
    <w:p>
      <w:pPr>
        <w:numPr>
          <w:ilvl w:val="0"/>
          <w:numId w:val="38"/>
        </w:numPr>
        <w:rPr>
          <w:rFonts w:hint="eastAsia"/>
          <w:b/>
          <w:bCs/>
          <w:color w:val="auto"/>
          <w:lang w:val="en-US" w:eastAsia="zh-CN"/>
        </w:rPr>
      </w:pPr>
      <w:r>
        <w:rPr>
          <w:rFonts w:hint="eastAsia"/>
          <w:b/>
          <w:bCs/>
          <w:color w:val="auto"/>
          <w:lang w:val="en-US" w:eastAsia="zh-CN"/>
        </w:rPr>
        <w:t xml:space="preserve">施工期 </w:t>
      </w:r>
    </w:p>
    <w:p>
      <w:pPr>
        <w:outlineLvl w:val="9"/>
        <w:rPr>
          <w:rFonts w:hint="eastAsia"/>
          <w:color w:val="auto"/>
          <w:lang w:val="en-US" w:eastAsia="zh-CN"/>
        </w:rPr>
      </w:pPr>
      <w:r>
        <w:rPr>
          <w:color w:val="auto"/>
          <w:highlight w:val="none"/>
        </w:rPr>
        <w:t>施工期间共开挖土石方35.56万m³</w:t>
      </w:r>
      <w:r>
        <w:rPr>
          <w:rFonts w:hint="eastAsia" w:ascii="宋体" w:hAnsi="宋体" w:eastAsia="宋体" w:cs="宋体"/>
          <w:color w:val="auto"/>
          <w:highlight w:val="none"/>
        </w:rPr>
        <w:t>,</w:t>
      </w:r>
      <w:r>
        <w:rPr>
          <w:color w:val="auto"/>
          <w:highlight w:val="none"/>
        </w:rPr>
        <w:t>回填土石方31.07万m³</w:t>
      </w:r>
      <w:r>
        <w:rPr>
          <w:rFonts w:hint="eastAsia" w:ascii="宋体" w:hAnsi="宋体" w:eastAsia="宋体" w:cs="宋体"/>
          <w:color w:val="auto"/>
          <w:highlight w:val="none"/>
        </w:rPr>
        <w:t>,</w:t>
      </w:r>
      <w:r>
        <w:rPr>
          <w:color w:val="auto"/>
          <w:highlight w:val="none"/>
        </w:rPr>
        <w:t>产生弃渣4.49万m³</w:t>
      </w:r>
      <w:r>
        <w:rPr>
          <w:rFonts w:hint="eastAsia" w:ascii="宋体" w:hAnsi="宋体" w:eastAsia="宋体" w:cs="宋体"/>
          <w:color w:val="auto"/>
          <w:highlight w:val="none"/>
        </w:rPr>
        <w:t>,</w:t>
      </w:r>
      <w:r>
        <w:rPr>
          <w:color w:val="auto"/>
          <w:highlight w:val="none"/>
        </w:rPr>
        <w:t>以上均为自然方。弃渣运输至弃渣场堆存。</w:t>
      </w:r>
    </w:p>
    <w:p>
      <w:pPr>
        <w:outlineLvl w:val="9"/>
        <w:rPr>
          <w:rFonts w:hint="eastAsia"/>
          <w:color w:val="auto"/>
          <w:highlight w:val="none"/>
          <w:lang w:eastAsia="zh-CN"/>
        </w:rPr>
      </w:pPr>
      <w:r>
        <w:rPr>
          <w:rFonts w:hint="eastAsia"/>
          <w:color w:val="auto"/>
          <w:highlight w:val="none"/>
          <w:lang w:eastAsia="zh-CN"/>
        </w:rPr>
        <w:t>筑垃圾及各种杂物堆放在施工区，影响施工区环境卫生，且影响周边空气质量，破坏景观等不利影响。建筑垃圾中的砼垃圾通过处理后作为管道沿线浆砌石挡土墙填料使用，钢筋边角料、废木材可以回收再利用等；无法进行利用的按当地管理部门要求运至指定地点。</w:t>
      </w:r>
    </w:p>
    <w:p>
      <w:pPr>
        <w:outlineLvl w:val="9"/>
        <w:rPr>
          <w:color w:val="auto"/>
          <w:highlight w:val="none"/>
        </w:rPr>
      </w:pPr>
      <w:r>
        <w:rPr>
          <w:color w:val="auto"/>
          <w:highlight w:val="none"/>
        </w:rPr>
        <w:t>根据工程分析，施工期共产生生活垃圾</w:t>
      </w:r>
      <w:r>
        <w:rPr>
          <w:rFonts w:hint="eastAsia"/>
          <w:color w:val="auto"/>
          <w:highlight w:val="none"/>
          <w:lang w:val="en-US" w:eastAsia="zh-CN"/>
        </w:rPr>
        <w:t>18</w:t>
      </w:r>
      <w:r>
        <w:rPr>
          <w:color w:val="auto"/>
          <w:highlight w:val="none"/>
        </w:rPr>
        <w:t>t，施工生活垃圾集中收集运到各乡镇生活垃圾收集点后由当地环卫部门统一清运。</w:t>
      </w:r>
    </w:p>
    <w:p>
      <w:pPr>
        <w:outlineLvl w:val="9"/>
        <w:rPr>
          <w:rFonts w:hint="default"/>
          <w:color w:val="auto"/>
          <w:lang w:val="en-US" w:eastAsia="zh-CN"/>
        </w:rPr>
      </w:pPr>
      <w:r>
        <w:rPr>
          <w:rFonts w:hint="eastAsia"/>
          <w:color w:val="auto"/>
          <w:lang w:val="en-US" w:eastAsia="zh-CN"/>
        </w:rPr>
        <w:t>施工期固废处置率100％，不会对外环境造成影响。</w:t>
      </w:r>
    </w:p>
    <w:p>
      <w:pPr>
        <w:numPr>
          <w:ilvl w:val="0"/>
          <w:numId w:val="38"/>
        </w:numPr>
        <w:rPr>
          <w:rFonts w:hint="default"/>
          <w:b/>
          <w:bCs/>
          <w:color w:val="auto"/>
          <w:lang w:val="en-US" w:eastAsia="zh-CN"/>
        </w:rPr>
      </w:pPr>
      <w:r>
        <w:rPr>
          <w:rFonts w:hint="eastAsia"/>
          <w:b/>
          <w:bCs/>
          <w:color w:val="auto"/>
          <w:lang w:val="en-US" w:eastAsia="zh-CN"/>
        </w:rPr>
        <w:t>运营期</w:t>
      </w:r>
    </w:p>
    <w:p>
      <w:pPr>
        <w:ind w:firstLine="480" w:firstLineChars="200"/>
        <w:rPr>
          <w:rFonts w:hint="eastAsia"/>
          <w:color w:val="auto"/>
          <w:sz w:val="24"/>
          <w:szCs w:val="24"/>
          <w:lang w:eastAsia="zh-CN"/>
        </w:rPr>
      </w:pPr>
      <w:r>
        <w:rPr>
          <w:rFonts w:hint="eastAsia"/>
          <w:color w:val="auto"/>
          <w:sz w:val="24"/>
          <w:szCs w:val="24"/>
          <w:lang w:eastAsia="zh-CN"/>
        </w:rPr>
        <w:t>运营期固体废物为</w:t>
      </w:r>
      <w:r>
        <w:rPr>
          <w:rFonts w:hint="eastAsia"/>
          <w:color w:val="auto"/>
          <w:sz w:val="24"/>
          <w:szCs w:val="24"/>
          <w:lang w:val="en-US" w:eastAsia="zh-CN"/>
        </w:rPr>
        <w:t>管理所工作人员</w:t>
      </w:r>
      <w:r>
        <w:rPr>
          <w:rFonts w:hint="eastAsia"/>
          <w:color w:val="auto"/>
          <w:sz w:val="24"/>
          <w:szCs w:val="24"/>
          <w:lang w:eastAsia="zh-CN"/>
        </w:rPr>
        <w:t>生活垃圾，产生量</w:t>
      </w:r>
      <w:r>
        <w:rPr>
          <w:rFonts w:hint="eastAsia"/>
          <w:color w:val="auto"/>
          <w:sz w:val="24"/>
          <w:szCs w:val="24"/>
          <w:lang w:val="en-US" w:eastAsia="zh-CN"/>
        </w:rPr>
        <w:t>10</w:t>
      </w:r>
      <w:r>
        <w:rPr>
          <w:rFonts w:hint="eastAsia"/>
          <w:color w:val="auto"/>
          <w:sz w:val="24"/>
          <w:szCs w:val="24"/>
          <w:lang w:eastAsia="zh-CN"/>
        </w:rPr>
        <w:t>kg/d，自行清理至集镇集中处置点处置，对外环境影响较小。</w:t>
      </w:r>
    </w:p>
    <w:p>
      <w:pPr>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eastAsia="zh-CN"/>
        </w:rPr>
        <w:t>泵站水泵在产生故障或例行检修时会产生一定的机修废油，产生量约为0.005t/a，</w:t>
      </w:r>
      <w:r>
        <w:rPr>
          <w:rFonts w:hint="default" w:ascii="Times New Roman" w:hAnsi="Times New Roman" w:cs="Times New Roman"/>
          <w:color w:val="auto"/>
          <w:sz w:val="24"/>
          <w:szCs w:val="24"/>
          <w:highlight w:val="none"/>
          <w:lang w:eastAsia="zh-CN"/>
        </w:rPr>
        <w:t>属于《国家危险废物名录（2021年版）》中的HW08废矿物油与含矿物油废物，废物代码为900-214-08，</w:t>
      </w:r>
      <w:r>
        <w:rPr>
          <w:rFonts w:hint="eastAsia" w:ascii="Times New Roman" w:hAnsi="Times New Roman" w:cs="Times New Roman"/>
          <w:color w:val="auto"/>
          <w:sz w:val="24"/>
          <w:szCs w:val="24"/>
          <w:highlight w:val="none"/>
          <w:lang w:val="en-US" w:eastAsia="zh-CN"/>
        </w:rPr>
        <w:t>于两个泵站各设置1个5㎡的危废暂存间，废矿物油</w:t>
      </w:r>
      <w:r>
        <w:rPr>
          <w:rFonts w:hint="default" w:ascii="Times New Roman" w:hAnsi="Times New Roman" w:cs="Times New Roman"/>
          <w:color w:val="auto"/>
          <w:sz w:val="24"/>
          <w:szCs w:val="24"/>
          <w:highlight w:val="none"/>
          <w:lang w:eastAsia="zh-CN"/>
        </w:rPr>
        <w:t>暂存于危废暂存间，定期交由有资质单</w:t>
      </w:r>
      <w:r>
        <w:rPr>
          <w:rFonts w:hint="default" w:ascii="Times New Roman" w:hAnsi="Times New Roman" w:eastAsia="宋体" w:cs="Times New Roman"/>
          <w:color w:val="auto"/>
          <w:sz w:val="24"/>
          <w:szCs w:val="24"/>
          <w:lang w:eastAsia="zh-CN"/>
        </w:rPr>
        <w:t>位处置。</w:t>
      </w:r>
    </w:p>
    <w:p>
      <w:pPr>
        <w:ind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运营期固废处置率100％，不会对外环境造成影响。</w:t>
      </w:r>
    </w:p>
    <w:p>
      <w:pPr>
        <w:pStyle w:val="4"/>
        <w:numPr>
          <w:ilvl w:val="2"/>
          <w:numId w:val="2"/>
        </w:numPr>
        <w:tabs>
          <w:tab w:val="left" w:pos="420"/>
        </w:tabs>
        <w:bidi w:val="0"/>
        <w:rPr>
          <w:rFonts w:hint="default"/>
          <w:color w:val="auto"/>
          <w:lang w:val="en-US" w:eastAsia="zh-CN"/>
        </w:rPr>
      </w:pPr>
      <w:r>
        <w:rPr>
          <w:rFonts w:hint="eastAsia"/>
          <w:color w:val="auto"/>
          <w:lang w:val="en-US" w:eastAsia="zh-CN"/>
        </w:rPr>
        <w:t>生态环境影响分析结论</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color w:val="auto"/>
        </w:rPr>
      </w:pPr>
      <w:r>
        <w:rPr>
          <w:rFonts w:hint="eastAsia" w:ascii="宋体" w:hAnsi="宋体" w:eastAsia="宋体" w:cs="宋体"/>
          <w:color w:val="auto"/>
          <w:kern w:val="0"/>
          <w:sz w:val="24"/>
          <w:szCs w:val="24"/>
          <w:lang w:val="en-US" w:eastAsia="zh-CN" w:bidi="ar"/>
        </w:rPr>
        <w:t>从整个区域来讲，占地影响不大，临时占用耕地采取管道深埋以及复垦的方式，恢复原有利用；临时占用林地采取植被恢复；临时用交通设施用地恢复原有交通使用功能，永久占用的区域主要影响路肩及边缘区域。随着施工结束，恢复措施完成后，对土地利用功能的影响大部分得以恢复，永久用地等地通过补偿等方式替代其原有价值。总体而言，采取补偿措施的前提下，项目对土地利用的影响有限；鉴于管道沿线地区土壤与气候利于农田植物生长，被施工直接扰动区域若非冬季将很快被浅根系植物覆盖，生物量虽然比建设前有一定程度减少，但从整体来看对区域生态环境的影响不大；工程施工将对陆生动物生存造成一定不利影响，不会导致其物种灭绝.临时征地区域的植被恢复后，陆生动物生活栖息等活动将不会受到干扰。</w:t>
      </w:r>
    </w:p>
    <w:p>
      <w:pPr>
        <w:pStyle w:val="4"/>
        <w:numPr>
          <w:ilvl w:val="2"/>
          <w:numId w:val="2"/>
        </w:numPr>
        <w:tabs>
          <w:tab w:val="left" w:pos="420"/>
        </w:tabs>
        <w:bidi w:val="0"/>
        <w:rPr>
          <w:rFonts w:hint="default" w:ascii="宋体" w:hAnsi="宋体" w:eastAsia="宋体" w:cs="宋体"/>
          <w:color w:val="auto"/>
          <w:spacing w:val="-4"/>
          <w:szCs w:val="24"/>
          <w:highlight w:val="none"/>
          <w:lang w:val="en-US" w:eastAsia="zh-CN"/>
        </w:rPr>
      </w:pPr>
      <w:r>
        <w:rPr>
          <w:rFonts w:hint="eastAsia"/>
          <w:color w:val="auto"/>
          <w:lang w:val="en-US" w:eastAsia="zh-CN"/>
        </w:rPr>
        <w:t>地下水及土壤环境影响分析结论</w:t>
      </w:r>
    </w:p>
    <w:p>
      <w:pPr>
        <w:keepNext w:val="0"/>
        <w:keepLines w:val="0"/>
        <w:pageBreakBefore w:val="0"/>
        <w:widowControl/>
        <w:suppressLineNumbers w:val="0"/>
        <w:kinsoku/>
        <w:wordWrap/>
        <w:overflowPunct/>
        <w:topLinePunct w:val="0"/>
        <w:autoSpaceDE/>
        <w:autoSpaceDN/>
        <w:bidi w:val="0"/>
        <w:adjustRightInd/>
        <w:snapToGrid w:val="0"/>
        <w:ind w:firstLine="480" w:firstLineChars="200"/>
        <w:jc w:val="left"/>
        <w:textAlignment w:val="auto"/>
        <w:rPr>
          <w:color w:val="auto"/>
          <w:highlight w:val="none"/>
        </w:rPr>
      </w:pPr>
      <w:r>
        <w:rPr>
          <w:rFonts w:hint="eastAsia" w:ascii="宋体" w:hAnsi="宋体" w:eastAsia="宋体" w:cs="宋体"/>
          <w:color w:val="auto"/>
          <w:kern w:val="0"/>
          <w:sz w:val="24"/>
          <w:szCs w:val="24"/>
          <w:lang w:val="en-US" w:eastAsia="zh-CN" w:bidi="ar"/>
        </w:rPr>
        <w:t>工程建设对对工程区周边村庄灌溉、牲畜用水地下水水源无影响；建设产生的导水裂隙带不会导通地表，对地表植被生长用水产生的影响较小，地表可维持原有生境及景观；在采取防渗措施的前提下，可防止泵站及废机油间跑冒滴漏或泄露污染地下水；从灌溉水量以及受水区地下水排泄条件分析，项目受水区农业灌溉对地下水水位的影响较小；农业灌溉会引起地下水中氮和磷含量的增加，与农肥、农药使用方式及量有较大关系，可通过合理施肥及规范农药使用的措施减缓其影响，同时本引调水工程的建设对现有大水漫灌形成的归回水污染起到遏制作用，总体可缓解灌区灌溉对地下水的污染。</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由于项目灌溉的灌区大部分地处山区，存在一定的地形高差，一般情况下，灌溉时间短、而排水快，经初步分析对于灌区内的地下水水位影响不大，不会产生盐渍化、沼泽化等环境地质问题；本项目灌溉的灌区所在区地形高差使其灌溉时间短而蒸发快，因此不存在对土壤潜育化影响；本项目实施将改善了土壤的理化性质，使土壤水、肥、气、热综合肥力水平平均会得到明显改善，为粮食和经济作物的生产提供优越的土壤条件；建议推广科学施肥等措施，本项目引水灌溉对灌区肥力起到正向作用。经过预测分析，本项目建成后，灌区土壤可能存在轻度盐化的现象。故后期灌区灌溉过程中需要：①科学高效施肥，严格控制氮肥、磷肥等化肥过量使用，推广有机肥的使用；②推广低残留、低度农药的使用，严格控制毒性及残留性较高农药的用量，禁止使用国家淘汰的农药及成分；③推广节水灌溉技术，逐步淘汰大水漫灌等落后的灌溉方式，减小农田退水量。</w:t>
      </w:r>
    </w:p>
    <w:p>
      <w:pPr>
        <w:pStyle w:val="4"/>
        <w:numPr>
          <w:ilvl w:val="2"/>
          <w:numId w:val="2"/>
        </w:numPr>
        <w:tabs>
          <w:tab w:val="left" w:pos="420"/>
        </w:tabs>
        <w:bidi w:val="0"/>
        <w:rPr>
          <w:rFonts w:hint="default"/>
          <w:color w:val="auto"/>
          <w:lang w:val="en-US" w:eastAsia="zh-CN"/>
        </w:rPr>
      </w:pPr>
      <w:r>
        <w:rPr>
          <w:rFonts w:hint="eastAsia"/>
          <w:color w:val="auto"/>
          <w:lang w:val="en-US" w:eastAsia="zh-CN"/>
        </w:rPr>
        <w:t>对环境敏感区的影响分析结论</w:t>
      </w:r>
    </w:p>
    <w:p>
      <w:pPr>
        <w:keepNext w:val="0"/>
        <w:keepLines w:val="0"/>
        <w:widowControl/>
        <w:suppressLineNumbers w:val="0"/>
        <w:jc w:val="left"/>
        <w:rPr>
          <w:color w:val="auto"/>
        </w:rPr>
      </w:pPr>
      <w:r>
        <w:rPr>
          <w:rFonts w:hint="eastAsia" w:ascii="宋体" w:hAnsi="宋体" w:eastAsia="宋体" w:cs="宋体"/>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4</w:t>
      </w:r>
      <w:r>
        <w:rPr>
          <w:rFonts w:hint="eastAsia" w:ascii="宋体" w:hAnsi="宋体" w:eastAsia="宋体" w:cs="宋体"/>
          <w:color w:val="auto"/>
          <w:kern w:val="0"/>
          <w:sz w:val="24"/>
          <w:szCs w:val="24"/>
          <w:lang w:val="en-US" w:eastAsia="zh-CN" w:bidi="ar"/>
        </w:rPr>
        <w:t>）对环境敏感区的影响</w:t>
      </w:r>
    </w:p>
    <w:p>
      <w:pPr>
        <w:rPr>
          <w:rFonts w:hint="eastAsia"/>
          <w:color w:val="auto"/>
          <w:highlight w:val="yellow"/>
          <w:lang w:eastAsia="zh-CN"/>
        </w:rPr>
      </w:pPr>
      <w:r>
        <w:rPr>
          <w:rFonts w:hint="default" w:ascii="Times New Roman" w:hAnsi="Times New Roman" w:cs="Times New Roman"/>
          <w:b w:val="0"/>
          <w:bCs w:val="0"/>
          <w:color w:val="auto"/>
          <w:sz w:val="24"/>
          <w:szCs w:val="24"/>
          <w:highlight w:val="none"/>
          <w:lang w:val="en-US" w:eastAsia="zh-CN"/>
        </w:rPr>
        <w:t>综合考虑地形、地质、高程、</w:t>
      </w:r>
      <w:r>
        <w:rPr>
          <w:rFonts w:hint="eastAsia" w:ascii="Times New Roman" w:hAnsi="Times New Roman" w:cs="Times New Roman"/>
          <w:b w:val="0"/>
          <w:bCs w:val="0"/>
          <w:color w:val="auto"/>
          <w:sz w:val="24"/>
          <w:szCs w:val="24"/>
          <w:highlight w:val="none"/>
          <w:lang w:val="en-US" w:eastAsia="zh-CN"/>
        </w:rPr>
        <w:t>提水负担、工程占地、</w:t>
      </w:r>
      <w:r>
        <w:rPr>
          <w:rFonts w:hint="eastAsia" w:cs="Times New Roman"/>
          <w:b w:val="0"/>
          <w:bCs w:val="0"/>
          <w:color w:val="auto"/>
          <w:sz w:val="24"/>
          <w:szCs w:val="24"/>
          <w:highlight w:val="none"/>
          <w:lang w:val="en-US" w:eastAsia="zh-CN"/>
        </w:rPr>
        <w:t>“</w:t>
      </w:r>
      <w:r>
        <w:rPr>
          <w:rFonts w:hint="default" w:ascii="Times New Roman" w:hAnsi="Times New Roman" w:cs="Times New Roman"/>
          <w:b w:val="0"/>
          <w:bCs w:val="0"/>
          <w:color w:val="auto"/>
          <w:sz w:val="24"/>
          <w:szCs w:val="24"/>
          <w:highlight w:val="none"/>
          <w:lang w:val="en-US" w:eastAsia="zh-CN"/>
        </w:rPr>
        <w:t>三区三线</w:t>
      </w:r>
      <w:r>
        <w:rPr>
          <w:rFonts w:hint="eastAsia" w:cs="Times New Roman"/>
          <w:b w:val="0"/>
          <w:bCs w:val="0"/>
          <w:color w:val="auto"/>
          <w:sz w:val="24"/>
          <w:szCs w:val="24"/>
          <w:highlight w:val="none"/>
          <w:lang w:val="en-US" w:eastAsia="zh-CN"/>
        </w:rPr>
        <w:t>”</w:t>
      </w:r>
      <w:r>
        <w:rPr>
          <w:rFonts w:hint="eastAsia" w:ascii="Times New Roman" w:hAnsi="Times New Roman" w:cs="Times New Roman"/>
          <w:b w:val="0"/>
          <w:bCs w:val="0"/>
          <w:color w:val="auto"/>
          <w:sz w:val="24"/>
          <w:szCs w:val="24"/>
          <w:highlight w:val="none"/>
          <w:lang w:val="en-US" w:eastAsia="zh-CN"/>
        </w:rPr>
        <w:t>以及农田分布</w:t>
      </w:r>
      <w:r>
        <w:rPr>
          <w:rFonts w:hint="default" w:ascii="Times New Roman" w:hAnsi="Times New Roman" w:cs="Times New Roman"/>
          <w:b w:val="0"/>
          <w:bCs w:val="0"/>
          <w:color w:val="auto"/>
          <w:sz w:val="24"/>
          <w:szCs w:val="24"/>
          <w:highlight w:val="none"/>
          <w:lang w:val="en-US" w:eastAsia="zh-CN"/>
        </w:rPr>
        <w:t>等条件</w:t>
      </w:r>
      <w:r>
        <w:rPr>
          <w:rFonts w:hint="eastAsia" w:ascii="Times New Roman" w:hAnsi="Times New Roman" w:cs="Times New Roman"/>
          <w:b w:val="0"/>
          <w:bCs w:val="0"/>
          <w:color w:val="auto"/>
          <w:sz w:val="24"/>
          <w:szCs w:val="24"/>
          <w:highlight w:val="none"/>
          <w:lang w:val="en-US" w:eastAsia="zh-CN"/>
        </w:rPr>
        <w:t>，工程选址不可避免的占用元谋风景名胜区、生态红线、公益林及基本农田。</w:t>
      </w:r>
      <w:r>
        <w:rPr>
          <w:rFonts w:hint="eastAsia"/>
          <w:color w:val="auto"/>
          <w:lang w:val="en-US" w:eastAsia="zh-CN"/>
        </w:rPr>
        <w:t>根据查询及叠图：</w:t>
      </w:r>
      <w:r>
        <w:rPr>
          <w:rFonts w:hint="eastAsia" w:ascii="Times New Roman" w:hAnsi="Times New Roman" w:cs="Times New Roman"/>
          <w:color w:val="auto"/>
          <w:sz w:val="24"/>
          <w:szCs w:val="24"/>
          <w:lang w:val="en-US" w:eastAsia="zh-CN"/>
        </w:rPr>
        <w:t>元谋县姜驿中型灌区续建配套与节水改造项目涉及元谋风景名胜区金沙江景区，涉及工程内容有</w:t>
      </w:r>
      <w:r>
        <w:rPr>
          <w:rFonts w:hint="default" w:ascii="Times New Roman" w:hAnsi="Times New Roman" w:cs="Times New Roman"/>
          <w:color w:val="auto"/>
          <w:sz w:val="24"/>
          <w:szCs w:val="24"/>
          <w:lang w:val="en-US" w:eastAsia="zh-CN"/>
        </w:rPr>
        <w:t>高位调节水池</w:t>
      </w:r>
      <w:r>
        <w:rPr>
          <w:rFonts w:hint="eastAsia" w:ascii="Times New Roman" w:hAnsi="Times New Roman" w:cs="Times New Roman"/>
          <w:color w:val="auto"/>
          <w:sz w:val="24"/>
          <w:szCs w:val="24"/>
          <w:lang w:val="en-US" w:eastAsia="zh-CN"/>
        </w:rPr>
        <w:t>（永久占地1.762hm</w:t>
      </w:r>
      <w:r>
        <w:rPr>
          <w:rFonts w:hint="eastAsia" w:ascii="Times New Roman" w:hAnsi="Times New Roman" w:cs="Times New Roman"/>
          <w:color w:val="auto"/>
          <w:sz w:val="24"/>
          <w:szCs w:val="24"/>
          <w:vertAlign w:val="superscript"/>
          <w:lang w:val="en-US" w:eastAsia="zh-CN"/>
        </w:rPr>
        <w:t>2</w:t>
      </w:r>
      <w:r>
        <w:rPr>
          <w:rFonts w:hint="eastAsia" w:ascii="Times New Roman" w:hAnsi="Times New Roman" w:cs="Times New Roman"/>
          <w:color w:val="auto"/>
          <w:sz w:val="24"/>
          <w:szCs w:val="24"/>
          <w:lang w:val="en-US" w:eastAsia="zh-CN"/>
        </w:rPr>
        <w:t>）、北干管（</w:t>
      </w:r>
      <w:r>
        <w:rPr>
          <w:rFonts w:hint="eastAsia" w:ascii="Times New Roman" w:hAnsi="Times New Roman" w:cs="Times New Roman"/>
          <w:color w:val="auto"/>
          <w:sz w:val="24"/>
          <w:szCs w:val="24"/>
          <w:vertAlign w:val="baseline"/>
          <w:lang w:val="en-US" w:eastAsia="zh-CN"/>
        </w:rPr>
        <w:t>临时占地0.91</w:t>
      </w:r>
      <w:r>
        <w:rPr>
          <w:rFonts w:hint="eastAsia" w:ascii="Times New Roman" w:hAnsi="Times New Roman" w:cs="Times New Roman"/>
          <w:color w:val="auto"/>
          <w:sz w:val="24"/>
          <w:szCs w:val="24"/>
          <w:lang w:val="en-US" w:eastAsia="zh-CN"/>
        </w:rPr>
        <w:t>hm</w:t>
      </w:r>
      <w:r>
        <w:rPr>
          <w:rFonts w:hint="eastAsia" w:ascii="Times New Roman" w:hAnsi="Times New Roman" w:cs="Times New Roman"/>
          <w:color w:val="auto"/>
          <w:sz w:val="24"/>
          <w:szCs w:val="24"/>
          <w:vertAlign w:val="superscript"/>
          <w:lang w:val="en-US" w:eastAsia="zh-CN"/>
        </w:rPr>
        <w:t>2</w:t>
      </w:r>
      <w:r>
        <w:rPr>
          <w:rFonts w:hint="eastAsia" w:ascii="Times New Roman" w:hAnsi="Times New Roman" w:cs="Times New Roman"/>
          <w:color w:val="auto"/>
          <w:sz w:val="24"/>
          <w:szCs w:val="24"/>
          <w:lang w:val="en-US" w:eastAsia="zh-CN"/>
        </w:rPr>
        <w:t>）；</w:t>
      </w:r>
      <w:r>
        <w:rPr>
          <w:rFonts w:hint="eastAsia"/>
          <w:color w:val="auto"/>
          <w:highlight w:val="none"/>
          <w:shd w:val="clear"/>
          <w:lang w:val="en-US" w:eastAsia="zh-CN"/>
        </w:rPr>
        <w:t>输水管道涉及占用元谋县“三区三线”划定的生态保护红线</w:t>
      </w:r>
      <w:r>
        <w:rPr>
          <w:rFonts w:hint="default"/>
          <w:color w:val="auto"/>
          <w:highlight w:val="none"/>
          <w:shd w:val="clear"/>
          <w:lang w:val="en-US" w:eastAsia="zh-CN"/>
        </w:rPr>
        <w:t>28522.94m</w:t>
      </w:r>
      <w:r>
        <w:rPr>
          <w:rFonts w:hint="default"/>
          <w:color w:val="auto"/>
          <w:highlight w:val="none"/>
          <w:shd w:val="clear"/>
          <w:vertAlign w:val="superscript"/>
          <w:lang w:val="en-US" w:eastAsia="zh-CN"/>
        </w:rPr>
        <w:t>2</w:t>
      </w:r>
      <w:r>
        <w:rPr>
          <w:rFonts w:hint="eastAsia"/>
          <w:color w:val="auto"/>
          <w:highlight w:val="none"/>
          <w:shd w:val="clear"/>
          <w:vertAlign w:val="baseline"/>
          <w:lang w:val="en-US" w:eastAsia="zh-CN"/>
        </w:rPr>
        <w:t>；</w:t>
      </w:r>
      <w:r>
        <w:rPr>
          <w:rFonts w:hint="eastAsia"/>
          <w:color w:val="0000FF"/>
          <w:highlight w:val="none"/>
          <w:lang w:val="en-US" w:eastAsia="zh-CN"/>
        </w:rPr>
        <w:t>北干管羊腊席至火焰山段、金马分干管接近沙沟箐段占用省二级公益林5.7437hm</w:t>
      </w:r>
      <w:r>
        <w:rPr>
          <w:rFonts w:hint="eastAsia"/>
          <w:color w:val="0000FF"/>
          <w:highlight w:val="none"/>
          <w:vertAlign w:val="superscript"/>
          <w:lang w:val="en-US" w:eastAsia="zh-CN"/>
        </w:rPr>
        <w:t>2</w:t>
      </w:r>
      <w:r>
        <w:rPr>
          <w:rFonts w:hint="eastAsia"/>
          <w:color w:val="0000FF"/>
          <w:highlight w:val="none"/>
          <w:lang w:val="en-US" w:eastAsia="zh-CN"/>
        </w:rPr>
        <w:t>；金马分干管干海梁子~金马村沿路部分管段占用国家二级公益林0.8939hm</w:t>
      </w:r>
      <w:r>
        <w:rPr>
          <w:rFonts w:hint="eastAsia"/>
          <w:color w:val="0000FF"/>
          <w:highlight w:val="none"/>
          <w:vertAlign w:val="superscript"/>
          <w:lang w:val="en-US" w:eastAsia="zh-CN"/>
        </w:rPr>
        <w:t>2</w:t>
      </w:r>
      <w:r>
        <w:rPr>
          <w:rFonts w:hint="eastAsia"/>
          <w:color w:val="0000FF"/>
          <w:lang w:val="en-US" w:eastAsia="zh-CN"/>
        </w:rPr>
        <w:t>；</w:t>
      </w:r>
      <w:r>
        <w:rPr>
          <w:rFonts w:hint="eastAsia"/>
          <w:color w:val="0000FF"/>
          <w:highlight w:val="none"/>
          <w:lang w:eastAsia="zh-CN"/>
        </w:rPr>
        <w:t>临时施工便道</w:t>
      </w:r>
      <w:r>
        <w:rPr>
          <w:rFonts w:hint="eastAsia"/>
          <w:color w:val="0000FF"/>
          <w:highlight w:val="none"/>
          <w:lang w:val="en-US" w:eastAsia="zh-CN"/>
        </w:rPr>
        <w:t>占用基本农田面积为3967.30m</w:t>
      </w:r>
      <w:r>
        <w:rPr>
          <w:rFonts w:hint="eastAsia"/>
          <w:color w:val="0000FF"/>
          <w:highlight w:val="none"/>
          <w:vertAlign w:val="superscript"/>
          <w:lang w:val="en-US" w:eastAsia="zh-CN"/>
        </w:rPr>
        <w:t>2</w:t>
      </w:r>
      <w:r>
        <w:rPr>
          <w:rFonts w:hint="eastAsia"/>
          <w:color w:val="0000FF"/>
          <w:highlight w:val="none"/>
          <w:lang w:val="en-US" w:eastAsia="zh-CN"/>
        </w:rPr>
        <w:t>，管道临时占用基本农田面积为25500m</w:t>
      </w:r>
      <w:r>
        <w:rPr>
          <w:rFonts w:hint="eastAsia"/>
          <w:color w:val="0000FF"/>
          <w:highlight w:val="none"/>
          <w:vertAlign w:val="superscript"/>
          <w:lang w:val="en-US" w:eastAsia="zh-CN"/>
        </w:rPr>
        <w:t>2</w:t>
      </w:r>
      <w:r>
        <w:rPr>
          <w:rFonts w:hint="eastAsia"/>
          <w:color w:val="0000FF"/>
          <w:highlight w:val="none"/>
          <w:lang w:eastAsia="zh-CN"/>
        </w:rPr>
        <w:t>。</w:t>
      </w:r>
    </w:p>
    <w:p>
      <w:pPr>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以上占用除高位水池对元谋风景名胜区金沙江景区的占用为永久占用外，其余均无临时占用，在施工结束后将进行临时占地的恢复，将基本农田及原有生态环境尽量恢复至施工前。</w:t>
      </w:r>
    </w:p>
    <w:p>
      <w:pPr>
        <w:rPr>
          <w:rFonts w:hint="default"/>
          <w:color w:val="auto"/>
          <w:highlight w:val="none"/>
          <w:lang w:val="en-US" w:eastAsia="zh-CN"/>
        </w:rPr>
      </w:pPr>
      <w:r>
        <w:rPr>
          <w:rFonts w:hint="eastAsia" w:ascii="Times New Roman" w:hAnsi="Times New Roman" w:cs="Times New Roman"/>
          <w:color w:val="auto"/>
          <w:sz w:val="24"/>
          <w:szCs w:val="24"/>
          <w:lang w:val="en-US" w:eastAsia="zh-CN"/>
        </w:rPr>
        <w:t>①占用元谋风景名胜区金沙江景区：建设单位委托第三方单位编制了《元谋县姜驿中型灌区续建配套与节水改造项目涉及元谋风景名胜区方案选址唯一性和不可避让性论证报告》、《元谋县姜驿中型灌区续建配套与节水改造项目涉及元谋风景名胜区方案选址影响评价报告》，并于2024年2月26日取得了《楚雄州林业和草原局关于元谋县姜驿中型灌区续建配套与节水改造项目涉及元谋风景名胜区方案选址的意见》</w:t>
      </w:r>
      <w:r>
        <w:rPr>
          <w:rFonts w:hint="eastAsia" w:ascii="Times New Roman" w:hAnsi="Times New Roman" w:cs="Times New Roman"/>
          <w:color w:val="auto"/>
          <w:sz w:val="24"/>
          <w:szCs w:val="24"/>
          <w:highlight w:val="none"/>
          <w:lang w:val="en-US" w:eastAsia="zh-CN"/>
        </w:rPr>
        <w:t>（附件6）。根据选址意见：项目工程无法完全避让元谋风景名胜区，目工程在空间上对元谋风景名胜区具有不可避让性和唯一性；工程影响区位于风景名胜区金沙江景区的一般景区，建设项目对风景名胜区生态环境影整体可控。</w:t>
      </w:r>
    </w:p>
    <w:p>
      <w:pPr>
        <w:keepNext w:val="0"/>
        <w:keepLines w:val="0"/>
        <w:pageBreakBefore w:val="0"/>
        <w:widowControl w:val="0"/>
        <w:kinsoku/>
        <w:wordWrap/>
        <w:overflowPunct/>
        <w:topLinePunct w:val="0"/>
        <w:autoSpaceDE/>
        <w:autoSpaceDN/>
        <w:bidi w:val="0"/>
        <w:adjustRightInd/>
        <w:snapToGrid w:val="0"/>
        <w:ind w:firstLine="480" w:firstLineChars="200"/>
        <w:textAlignment w:val="auto"/>
        <w:rPr>
          <w:rFonts w:hint="eastAsia"/>
          <w:color w:val="auto"/>
          <w:highlight w:val="none"/>
          <w:shd w:val="clear"/>
          <w:vertAlign w:val="baseline"/>
          <w:lang w:val="en-US" w:eastAsia="zh-CN"/>
        </w:rPr>
      </w:pPr>
      <w:r>
        <w:rPr>
          <w:rFonts w:hint="eastAsia"/>
          <w:color w:val="auto"/>
          <w:highlight w:val="none"/>
          <w:lang w:val="en-US" w:eastAsia="zh-CN"/>
        </w:rPr>
        <w:t>②占用生态红线：</w:t>
      </w:r>
      <w:r>
        <w:rPr>
          <w:rFonts w:hint="eastAsia"/>
          <w:color w:val="auto"/>
          <w:highlight w:val="none"/>
          <w:shd w:val="clear"/>
          <w:vertAlign w:val="baseline"/>
          <w:lang w:val="en-US" w:eastAsia="zh-CN"/>
        </w:rPr>
        <w:t>建设单位于2024年3月8日取得了元谋县人民政府出具的关于项目为有限人为活动的认定（附件5）：“经核实，项目工程施工内容不涉及新增建设用地，属于《云南省自然资源厅云南省生态环境厅云南省林业和草原局关于加强生态保护红线管理工作的通知》(云自然资(2023】98号)中有限人为活动准入目录中必须且无法避让、符合县级以上国土空间规划的线性基础设施。”</w:t>
      </w:r>
    </w:p>
    <w:p>
      <w:pPr>
        <w:keepNext w:val="0"/>
        <w:keepLines w:val="0"/>
        <w:widowControl/>
        <w:suppressLineNumbers w:val="0"/>
        <w:jc w:val="left"/>
        <w:rPr>
          <w:rFonts w:hint="default" w:eastAsia="宋体"/>
          <w:color w:val="auto"/>
          <w:lang w:val="en-US" w:eastAsia="zh-CN"/>
        </w:rPr>
      </w:pPr>
      <w:r>
        <w:rPr>
          <w:rFonts w:hint="eastAsia"/>
          <w:color w:val="auto"/>
          <w:highlight w:val="none"/>
          <w:lang w:val="en-US" w:eastAsia="zh-CN"/>
        </w:rPr>
        <w:t>③占用公益林：根据《国家级公益林管理办法》和《云南省地方公益林管理办法》，</w:t>
      </w:r>
      <w:r>
        <w:rPr>
          <w:rFonts w:hint="eastAsia"/>
          <w:color w:val="auto"/>
          <w:lang w:val="en-US" w:eastAsia="zh-CN"/>
        </w:rPr>
        <w:t>建设单位已委托</w:t>
      </w:r>
      <w:r>
        <w:rPr>
          <w:rFonts w:hint="default"/>
          <w:color w:val="auto"/>
          <w:lang w:val="en-US" w:eastAsia="zh-CN"/>
        </w:rPr>
        <w:t>云南木嵘林业勘察设计有限公司</w:t>
      </w:r>
      <w:r>
        <w:rPr>
          <w:rFonts w:hint="eastAsia"/>
          <w:color w:val="auto"/>
          <w:lang w:val="en-US" w:eastAsia="zh-CN"/>
        </w:rPr>
        <w:t>编制林勘报告，目前正组织报送至楚雄州林业和草原局中</w:t>
      </w:r>
      <w:r>
        <w:rPr>
          <w:rFonts w:hint="eastAsia"/>
          <w:color w:val="auto"/>
          <w:highlight w:val="none"/>
          <w:lang w:val="en-US" w:eastAsia="zh-CN"/>
        </w:rPr>
        <w:t>。建设单位按照《国家级公益林管理办法》和《云南省地方公益林管理办法》的要求，依法办理用地审核和林木采伐审批手续，项目占用公益林就不存在制约因素。</w:t>
      </w:r>
    </w:p>
    <w:p>
      <w:pPr>
        <w:snapToGrid w:val="0"/>
        <w:spacing w:before="0" w:beforeAutospacing="0" w:after="0" w:afterAutospacing="0" w:line="360" w:lineRule="auto"/>
        <w:ind w:firstLine="480" w:firstLineChars="200"/>
        <w:jc w:val="left"/>
        <w:textAlignment w:val="baseline"/>
        <w:rPr>
          <w:rStyle w:val="61"/>
          <w:rFonts w:hint="default" w:ascii="Times New Roman" w:hAnsi="Times New Roman" w:eastAsia="宋体"/>
          <w:b w:val="0"/>
          <w:bCs w:val="0"/>
          <w:i w:val="0"/>
          <w:caps w:val="0"/>
          <w:color w:val="auto"/>
          <w:spacing w:val="0"/>
          <w:w w:val="100"/>
          <w:kern w:val="2"/>
          <w:sz w:val="24"/>
          <w:szCs w:val="24"/>
          <w:lang w:val="en-US" w:eastAsia="zh-CN" w:bidi="ar-SA"/>
        </w:rPr>
      </w:pPr>
      <w:r>
        <w:rPr>
          <w:rStyle w:val="61"/>
          <w:rFonts w:hint="eastAsia" w:ascii="Times New Roman" w:hAnsi="Times New Roman" w:eastAsia="宋体"/>
          <w:b w:val="0"/>
          <w:bCs w:val="0"/>
          <w:i w:val="0"/>
          <w:caps w:val="0"/>
          <w:color w:val="auto"/>
          <w:spacing w:val="0"/>
          <w:w w:val="100"/>
          <w:kern w:val="2"/>
          <w:sz w:val="24"/>
          <w:szCs w:val="24"/>
          <w:lang w:val="en-US" w:eastAsia="zh-CN" w:bidi="ar-SA"/>
        </w:rPr>
        <w:t>④占用基本农田：管道与施工临时道路占用基本农田均为临时占用，</w:t>
      </w:r>
      <w:r>
        <w:rPr>
          <w:rStyle w:val="61"/>
          <w:rFonts w:ascii="Times New Roman" w:hAnsi="Times New Roman" w:eastAsia="宋体"/>
          <w:b w:val="0"/>
          <w:bCs w:val="0"/>
          <w:i w:val="0"/>
          <w:caps w:val="0"/>
          <w:color w:val="auto"/>
          <w:spacing w:val="0"/>
          <w:w w:val="100"/>
          <w:kern w:val="2"/>
          <w:sz w:val="24"/>
          <w:szCs w:val="24"/>
          <w:lang w:val="en-US" w:eastAsia="zh-CN" w:bidi="ar-SA"/>
        </w:rPr>
        <w:t>环评要求建设单位须落实占用基本农田管段埋管敷设，</w:t>
      </w:r>
      <w:r>
        <w:rPr>
          <w:rStyle w:val="61"/>
          <w:rFonts w:hint="eastAsia"/>
          <w:b w:val="0"/>
          <w:bCs w:val="0"/>
          <w:i w:val="0"/>
          <w:caps w:val="0"/>
          <w:color w:val="auto"/>
          <w:spacing w:val="0"/>
          <w:w w:val="100"/>
          <w:kern w:val="2"/>
          <w:sz w:val="24"/>
          <w:szCs w:val="24"/>
          <w:lang w:val="en-US" w:eastAsia="zh-CN" w:bidi="ar-SA"/>
        </w:rPr>
        <w:t>施工结束后恢复耕种条件，可</w:t>
      </w:r>
      <w:r>
        <w:rPr>
          <w:rStyle w:val="61"/>
          <w:rFonts w:ascii="Times New Roman" w:hAnsi="Times New Roman" w:eastAsia="宋体"/>
          <w:b w:val="0"/>
          <w:bCs w:val="0"/>
          <w:i w:val="0"/>
          <w:caps w:val="0"/>
          <w:color w:val="auto"/>
          <w:spacing w:val="0"/>
          <w:w w:val="100"/>
          <w:kern w:val="2"/>
          <w:sz w:val="24"/>
          <w:szCs w:val="24"/>
          <w:lang w:val="en-US" w:eastAsia="zh-CN" w:bidi="ar-SA"/>
        </w:rPr>
        <w:t>减少对基本农田的影响。</w:t>
      </w:r>
      <w:r>
        <w:rPr>
          <w:rStyle w:val="61"/>
          <w:rFonts w:hint="eastAsia" w:ascii="Times New Roman" w:hAnsi="Times New Roman" w:eastAsia="宋体"/>
          <w:b w:val="0"/>
          <w:bCs w:val="0"/>
          <w:i w:val="0"/>
          <w:caps w:val="0"/>
          <w:color w:val="auto"/>
          <w:spacing w:val="0"/>
          <w:w w:val="100"/>
          <w:kern w:val="2"/>
          <w:sz w:val="24"/>
          <w:szCs w:val="24"/>
          <w:lang w:val="en-US" w:eastAsia="zh-CN" w:bidi="ar-SA"/>
        </w:rPr>
        <w:t xml:space="preserve"> </w:t>
      </w:r>
    </w:p>
    <w:p>
      <w:pPr>
        <w:bidi w:val="0"/>
        <w:rPr>
          <w:rFonts w:hint="eastAsia"/>
          <w:color w:val="auto"/>
          <w:lang w:val="en-US" w:eastAsia="zh-CN"/>
        </w:rPr>
      </w:pPr>
      <w:r>
        <w:rPr>
          <w:rFonts w:hint="eastAsia"/>
          <w:color w:val="auto"/>
          <w:lang w:val="en-US" w:eastAsia="zh-CN"/>
        </w:rPr>
        <w:t>综上，本项目建设对敏感区的影响整体可控。</w:t>
      </w:r>
    </w:p>
    <w:p>
      <w:pPr>
        <w:pStyle w:val="3"/>
        <w:numPr>
          <w:ilvl w:val="1"/>
          <w:numId w:val="2"/>
        </w:numPr>
        <w:tabs>
          <w:tab w:val="left" w:pos="420"/>
        </w:tabs>
        <w:rPr>
          <w:rFonts w:hint="eastAsia"/>
          <w:color w:val="auto"/>
          <w:lang w:val="en-US" w:eastAsia="zh-CN"/>
        </w:rPr>
      </w:pPr>
      <w:bookmarkStart w:id="988" w:name="_Toc27136"/>
      <w:r>
        <w:rPr>
          <w:rFonts w:hint="eastAsia"/>
          <w:color w:val="auto"/>
          <w:lang w:val="en-US" w:eastAsia="zh-CN"/>
        </w:rPr>
        <w:t>公众参与评价结论</w:t>
      </w:r>
      <w:bookmarkEnd w:id="988"/>
    </w:p>
    <w:p>
      <w:pPr>
        <w:keepNext w:val="0"/>
        <w:keepLines w:val="0"/>
        <w:pageBreakBefore w:val="0"/>
        <w:widowControl w:val="0"/>
        <w:kinsoku/>
        <w:wordWrap w:val="0"/>
        <w:overflowPunct/>
        <w:topLinePunct w:val="0"/>
        <w:autoSpaceDE/>
        <w:autoSpaceDN/>
        <w:bidi w:val="0"/>
        <w:adjustRightInd/>
        <w:snapToGrid w:val="0"/>
        <w:textAlignment w:val="auto"/>
        <w:outlineLvl w:val="9"/>
        <w:rPr>
          <w:rFonts w:hint="default" w:ascii="Times New Roman" w:hAnsi="Times New Roman" w:cs="Times New Roman"/>
          <w:color w:val="auto"/>
          <w:lang w:val="en-US" w:eastAsia="zh-CN"/>
        </w:rPr>
      </w:pPr>
      <w:r>
        <w:rPr>
          <w:rFonts w:hint="default" w:ascii="Times New Roman" w:hAnsi="Times New Roman" w:cs="Times New Roman"/>
          <w:color w:val="auto"/>
          <w:highlight w:val="none"/>
          <w:lang w:val="en-US" w:eastAsia="zh-CN"/>
        </w:rPr>
        <w:t>建设单位于2023年12月14日在元谋县人民政府进行了第一次环评公示（网址；征求意见完成后，建设单位建设单位采用三种方式进行第二次公示：①2024年1月17日~1月31日</w:t>
      </w:r>
      <w:r>
        <w:rPr>
          <w:rFonts w:hint="default" w:ascii="Times New Roman" w:hAnsi="Times New Roman" w:cs="Times New Roman"/>
          <w:color w:val="auto"/>
          <w:highlight w:val="none"/>
        </w:rPr>
        <w:t>在</w:t>
      </w:r>
      <w:r>
        <w:rPr>
          <w:rFonts w:hint="default" w:ascii="Times New Roman" w:hAnsi="Times New Roman" w:cs="Times New Roman"/>
          <w:color w:val="auto"/>
          <w:highlight w:val="none"/>
          <w:lang w:val="en-US" w:eastAsia="zh-CN"/>
        </w:rPr>
        <w:t>元谋县人民政府网</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http://yncxym.gov.cn/info/1041/53938.htm</w:t>
      </w:r>
      <w:r>
        <w:rPr>
          <w:rFonts w:hint="default" w:ascii="Times New Roman" w:hAnsi="Times New Roman" w:cs="Times New Roman"/>
          <w:color w:val="auto"/>
          <w:highlight w:val="none"/>
        </w:rPr>
        <w:t>）进行网络第二次公示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②</w:t>
      </w:r>
      <w:r>
        <w:rPr>
          <w:rFonts w:hint="default" w:ascii="Times New Roman" w:hAnsi="Times New Roman" w:cs="Times New Roman"/>
          <w:color w:val="auto"/>
          <w:highlight w:val="none"/>
        </w:rPr>
        <w:t>在元谋县姜驿乡人民政府公示栏进行了征求意见稿环评公示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公示内容为：征求意见稿全文网络链接及纸质报告查阅方式、征求公众意见的范围、公众意见表的网络链接、公众提出意见的方式和途径、公众提出意见的起止时间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shd w:val="clear"/>
          <w:lang w:eastAsia="zh-CN"/>
        </w:rPr>
        <w:t>；</w:t>
      </w:r>
      <w:r>
        <w:rPr>
          <w:rFonts w:hint="default" w:ascii="Times New Roman" w:hAnsi="Times New Roman" w:cs="Times New Roman"/>
          <w:color w:val="auto"/>
          <w:highlight w:val="none"/>
          <w:shd w:val="clear"/>
          <w:lang w:val="en-US" w:eastAsia="zh-CN"/>
        </w:rPr>
        <w:t>③分别于</w:t>
      </w:r>
      <w:r>
        <w:rPr>
          <w:rFonts w:hint="default" w:ascii="Times New Roman" w:hAnsi="Times New Roman" w:cs="Times New Roman"/>
          <w:color w:val="auto"/>
          <w:highlight w:val="none"/>
          <w:shd w:val="clear"/>
        </w:rPr>
        <w:t>202</w:t>
      </w:r>
      <w:r>
        <w:rPr>
          <w:rFonts w:hint="default" w:ascii="Times New Roman" w:hAnsi="Times New Roman" w:cs="Times New Roman"/>
          <w:color w:val="auto"/>
          <w:highlight w:val="none"/>
          <w:shd w:val="clear"/>
          <w:lang w:val="en-US" w:eastAsia="zh-CN"/>
        </w:rPr>
        <w:t>4</w:t>
      </w:r>
      <w:r>
        <w:rPr>
          <w:rFonts w:hint="default" w:ascii="Times New Roman" w:hAnsi="Times New Roman" w:cs="Times New Roman"/>
          <w:color w:val="auto"/>
          <w:highlight w:val="none"/>
          <w:shd w:val="clear"/>
        </w:rPr>
        <w:t>年</w:t>
      </w:r>
      <w:r>
        <w:rPr>
          <w:rFonts w:hint="default" w:ascii="Times New Roman" w:hAnsi="Times New Roman" w:cs="Times New Roman"/>
          <w:color w:val="auto"/>
          <w:highlight w:val="none"/>
          <w:shd w:val="clear"/>
          <w:lang w:val="en-US" w:eastAsia="zh-CN"/>
        </w:rPr>
        <w:t>1</w:t>
      </w:r>
      <w:r>
        <w:rPr>
          <w:rFonts w:hint="default" w:ascii="Times New Roman" w:hAnsi="Times New Roman" w:cs="Times New Roman"/>
          <w:color w:val="auto"/>
          <w:highlight w:val="none"/>
          <w:shd w:val="clear"/>
        </w:rPr>
        <w:t>月</w:t>
      </w:r>
      <w:r>
        <w:rPr>
          <w:rFonts w:hint="default" w:ascii="Times New Roman" w:hAnsi="Times New Roman" w:cs="Times New Roman"/>
          <w:color w:val="auto"/>
          <w:highlight w:val="none"/>
          <w:shd w:val="clear"/>
          <w:lang w:val="en-US" w:eastAsia="zh-CN"/>
        </w:rPr>
        <w:t>22</w:t>
      </w:r>
      <w:r>
        <w:rPr>
          <w:rFonts w:hint="default" w:ascii="Times New Roman" w:hAnsi="Times New Roman" w:cs="Times New Roman"/>
          <w:color w:val="auto"/>
          <w:highlight w:val="none"/>
          <w:shd w:val="clear"/>
        </w:rPr>
        <w:t>日</w:t>
      </w:r>
      <w:r>
        <w:rPr>
          <w:rFonts w:hint="default" w:ascii="Times New Roman" w:hAnsi="Times New Roman" w:cs="Times New Roman"/>
          <w:color w:val="auto"/>
          <w:highlight w:val="none"/>
          <w:shd w:val="clear"/>
          <w:lang w:val="en-US" w:eastAsia="zh-CN"/>
        </w:rPr>
        <w:t>、</w:t>
      </w:r>
      <w:r>
        <w:rPr>
          <w:rFonts w:hint="default" w:ascii="Times New Roman" w:hAnsi="Times New Roman" w:cs="Times New Roman"/>
          <w:color w:val="auto"/>
          <w:highlight w:val="none"/>
          <w:shd w:val="clear"/>
        </w:rPr>
        <w:t>202</w:t>
      </w:r>
      <w:r>
        <w:rPr>
          <w:rFonts w:hint="default" w:ascii="Times New Roman" w:hAnsi="Times New Roman" w:cs="Times New Roman"/>
          <w:color w:val="auto"/>
          <w:highlight w:val="none"/>
          <w:shd w:val="clear"/>
          <w:lang w:val="en-US" w:eastAsia="zh-CN"/>
        </w:rPr>
        <w:t>4</w:t>
      </w:r>
      <w:r>
        <w:rPr>
          <w:rFonts w:hint="default" w:ascii="Times New Roman" w:hAnsi="Times New Roman" w:cs="Times New Roman"/>
          <w:color w:val="auto"/>
          <w:highlight w:val="none"/>
          <w:shd w:val="clear"/>
        </w:rPr>
        <w:t>年</w:t>
      </w:r>
      <w:r>
        <w:rPr>
          <w:rFonts w:hint="default" w:ascii="Times New Roman" w:hAnsi="Times New Roman" w:cs="Times New Roman"/>
          <w:color w:val="auto"/>
          <w:highlight w:val="none"/>
          <w:shd w:val="clear"/>
          <w:lang w:val="en-US" w:eastAsia="zh-CN"/>
        </w:rPr>
        <w:t>1</w:t>
      </w:r>
      <w:r>
        <w:rPr>
          <w:rFonts w:hint="default" w:ascii="Times New Roman" w:hAnsi="Times New Roman" w:cs="Times New Roman"/>
          <w:color w:val="auto"/>
          <w:highlight w:val="none"/>
          <w:shd w:val="clear"/>
        </w:rPr>
        <w:t>月</w:t>
      </w:r>
      <w:r>
        <w:rPr>
          <w:rFonts w:hint="default" w:ascii="Times New Roman" w:hAnsi="Times New Roman" w:cs="Times New Roman"/>
          <w:color w:val="auto"/>
          <w:highlight w:val="none"/>
          <w:shd w:val="clear"/>
          <w:lang w:val="en-US" w:eastAsia="zh-CN"/>
        </w:rPr>
        <w:t>23</w:t>
      </w:r>
      <w:r>
        <w:rPr>
          <w:rFonts w:hint="default" w:ascii="Times New Roman" w:hAnsi="Times New Roman" w:cs="Times New Roman"/>
          <w:color w:val="auto"/>
          <w:highlight w:val="none"/>
          <w:shd w:val="clear"/>
        </w:rPr>
        <w:t>日</w:t>
      </w:r>
      <w:r>
        <w:rPr>
          <w:rFonts w:hint="default" w:ascii="Times New Roman" w:hAnsi="Times New Roman" w:cs="Times New Roman"/>
          <w:color w:val="auto"/>
          <w:highlight w:val="none"/>
          <w:shd w:val="clear"/>
          <w:lang w:val="en-US" w:eastAsia="zh-CN"/>
        </w:rPr>
        <w:t>在《环球时报》进行了征求意见稿公示</w:t>
      </w:r>
      <w:r>
        <w:rPr>
          <w:rFonts w:hint="default" w:ascii="Times New Roman" w:hAnsi="Times New Roman" w:cs="Times New Roman"/>
          <w:color w:val="auto"/>
          <w:highlight w:val="none"/>
          <w:shd w:val="clear"/>
        </w:rPr>
        <w:t>。</w:t>
      </w:r>
      <w:r>
        <w:rPr>
          <w:rFonts w:hint="default" w:ascii="Times New Roman" w:hAnsi="Times New Roman" w:cs="Times New Roman"/>
          <w:color w:val="auto"/>
          <w:highlight w:val="none"/>
          <w:lang w:val="en-US" w:eastAsia="zh-CN"/>
        </w:rPr>
        <w:t>公示期间</w:t>
      </w:r>
      <w:r>
        <w:rPr>
          <w:rFonts w:hint="default" w:ascii="Times New Roman" w:hAnsi="Times New Roman" w:cs="Times New Roman"/>
          <w:color w:val="auto"/>
          <w:highlight w:val="none"/>
        </w:rPr>
        <w:t>未收到公众反馈意见。</w:t>
      </w:r>
    </w:p>
    <w:p>
      <w:pPr>
        <w:pStyle w:val="3"/>
        <w:numPr>
          <w:ilvl w:val="1"/>
          <w:numId w:val="2"/>
        </w:numPr>
        <w:tabs>
          <w:tab w:val="left" w:pos="420"/>
          <w:tab w:val="clear" w:pos="0"/>
        </w:tabs>
        <w:bidi w:val="0"/>
        <w:ind w:left="0" w:leftChars="0" w:firstLine="0" w:firstLineChars="0"/>
        <w:rPr>
          <w:rFonts w:hint="default" w:ascii="Times New Roman" w:hAnsi="Times New Roman" w:cs="Times New Roman"/>
          <w:color w:val="auto"/>
          <w:highlight w:val="none"/>
        </w:rPr>
      </w:pPr>
      <w:bookmarkStart w:id="989" w:name="_Toc27517"/>
      <w:bookmarkStart w:id="990" w:name="_Toc2952"/>
      <w:bookmarkStart w:id="991" w:name="_Toc21970"/>
      <w:r>
        <w:rPr>
          <w:rFonts w:hint="default" w:ascii="Times New Roman" w:hAnsi="Times New Roman" w:cs="Times New Roman"/>
          <w:color w:val="auto"/>
          <w:highlight w:val="none"/>
        </w:rPr>
        <w:t>综合评价结论</w:t>
      </w:r>
      <w:bookmarkEnd w:id="989"/>
      <w:bookmarkEnd w:id="990"/>
      <w:bookmarkEnd w:id="991"/>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本次环评报告书主要结论如下：工程符合国家产业政策及相关水资源及生态规划要求，项目建设涉及元谋县风景名胜区和</w:t>
      </w:r>
      <w:r>
        <w:rPr>
          <w:rFonts w:hint="eastAsia" w:cs="Times New Roman"/>
          <w:color w:val="auto"/>
          <w:highlight w:val="none"/>
          <w:lang w:val="en-US" w:eastAsia="zh-CN"/>
        </w:rPr>
        <w:t>云南省生态保护红线</w:t>
      </w:r>
      <w:r>
        <w:rPr>
          <w:rFonts w:hint="default" w:ascii="Times New Roman" w:hAnsi="Times New Roman" w:cs="Times New Roman"/>
          <w:color w:val="auto"/>
          <w:highlight w:val="none"/>
        </w:rPr>
        <w:t>，经论证无法避让，目前已取得林草部门和元谋县人民政府同意，经采取本环评所提环保措施及建议，对风景名胜区、</w:t>
      </w:r>
      <w:r>
        <w:rPr>
          <w:rFonts w:hint="eastAsia" w:cs="Times New Roman"/>
          <w:color w:val="auto"/>
          <w:highlight w:val="none"/>
          <w:lang w:val="en-US" w:eastAsia="zh-CN"/>
        </w:rPr>
        <w:t>生态红线</w:t>
      </w:r>
      <w:r>
        <w:rPr>
          <w:rFonts w:hint="default" w:ascii="Times New Roman" w:hAnsi="Times New Roman" w:cs="Times New Roman"/>
          <w:color w:val="auto"/>
          <w:highlight w:val="none"/>
        </w:rPr>
        <w:t>等区域的生态环境、景观环境影响有限，污染物均可达标排放或得以合理处置，总体不会改变区域环境功能，公众参与未提出反对意见。因此，</w:t>
      </w:r>
      <w:r>
        <w:rPr>
          <w:rFonts w:hint="eastAsia" w:cs="Times New Roman"/>
          <w:color w:val="auto"/>
          <w:highlight w:val="none"/>
          <w:lang w:val="en-US" w:eastAsia="zh-CN"/>
        </w:rPr>
        <w:t>在</w:t>
      </w:r>
      <w:r>
        <w:rPr>
          <w:rFonts w:hint="default" w:ascii="Times New Roman" w:hAnsi="Times New Roman" w:cs="Times New Roman"/>
          <w:color w:val="auto"/>
          <w:highlight w:val="none"/>
        </w:rPr>
        <w:t>贯彻执行国家的环保法律、法规，认真落实本环评提出的污染防治对策，从环保的角度看，元谋县姜驿中型灌区续建配套与节水改造项目是可行的。</w:t>
      </w:r>
    </w:p>
    <w:p>
      <w:pPr>
        <w:pStyle w:val="3"/>
        <w:numPr>
          <w:ilvl w:val="1"/>
          <w:numId w:val="2"/>
        </w:numPr>
        <w:tabs>
          <w:tab w:val="left" w:pos="420"/>
          <w:tab w:val="clear" w:pos="0"/>
        </w:tabs>
        <w:bidi w:val="0"/>
        <w:ind w:left="0" w:leftChars="0" w:firstLine="0" w:firstLineChars="0"/>
        <w:rPr>
          <w:rFonts w:hint="default" w:ascii="Times New Roman" w:hAnsi="Times New Roman" w:cs="Times New Roman"/>
          <w:color w:val="auto"/>
          <w:highlight w:val="none"/>
        </w:rPr>
      </w:pPr>
      <w:bookmarkStart w:id="992" w:name="_Toc3022"/>
      <w:bookmarkStart w:id="993" w:name="_Toc16312"/>
      <w:r>
        <w:rPr>
          <w:rFonts w:hint="default" w:ascii="Times New Roman" w:hAnsi="Times New Roman" w:cs="Times New Roman"/>
          <w:color w:val="auto"/>
          <w:highlight w:val="none"/>
        </w:rPr>
        <w:t>建议</w:t>
      </w:r>
      <w:bookmarkEnd w:id="992"/>
      <w:bookmarkEnd w:id="993"/>
      <w:r>
        <w:rPr>
          <w:rFonts w:hint="eastAsia" w:ascii="Times New Roman" w:hAnsi="Times New Roman" w:cs="Times New Roman"/>
          <w:color w:val="auto"/>
          <w:highlight w:val="none"/>
          <w:lang w:val="en-US" w:eastAsia="zh-CN"/>
        </w:rPr>
        <w:t xml:space="preserve"> </w:t>
      </w:r>
    </w:p>
    <w:p>
      <w:pPr>
        <w:ind w:firstLine="48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（1）工程运行期，进一步优化和制定引水调度方案</w:t>
      </w:r>
      <w:r>
        <w:rPr>
          <w:rFonts w:hint="eastAsia" w:ascii="Times New Roman" w:hAnsi="Times New Roman" w:cs="Times New Roman"/>
          <w:color w:val="auto"/>
          <w:highlight w:val="none"/>
          <w:lang w:eastAsia="zh-CN"/>
        </w:rPr>
        <w:t>；</w:t>
      </w:r>
    </w:p>
    <w:p>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（2）建议结合工程实际进度及时开展环保措施总体设计及专项设计工作，对环保措施进行进一步深入研究和细化设计，严格遵循</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三同时</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制度，并落实相应费用，减免不利影响，确保各项环保措施得以有效实施。</w:t>
      </w:r>
    </w:p>
    <w:p>
      <w:pPr>
        <w:ind w:firstLine="480"/>
        <w:rPr>
          <w:rFonts w:hint="eastAsia" w:eastAsia="宋体"/>
          <w:color w:val="auto"/>
          <w:lang w:val="en-US" w:eastAsia="zh-CN"/>
        </w:rPr>
      </w:pPr>
      <w:r>
        <w:rPr>
          <w:rFonts w:hint="default" w:ascii="Times New Roman" w:hAnsi="Times New Roman" w:cs="Times New Roman"/>
          <w:color w:val="auto"/>
          <w:highlight w:val="none"/>
        </w:rPr>
        <w:t>（3）工程各项建设与开发活动需高度重视环境保护工作，加强施工期环境管理，落实环境专项监理和环境监测。</w:t>
      </w:r>
      <w:r>
        <w:rPr>
          <w:rFonts w:hint="eastAsia" w:cs="Times New Roman"/>
          <w:color w:val="auto"/>
          <w:highlight w:val="none"/>
          <w:lang w:val="en-US" w:eastAsia="zh-CN"/>
        </w:rPr>
        <w:t xml:space="preserve"> </w:t>
      </w:r>
    </w:p>
    <w:sectPr>
      <w:pgSz w:w="11906" w:h="16838"/>
      <w:pgMar w:top="1440" w:right="1800" w:bottom="1440" w:left="1800" w:header="851" w:footer="992" w:gutter="0"/>
      <w:pgNumType w:fmt="decimal"/>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Georgia">
    <w:panose1 w:val="02040502050405020303"/>
    <w:charset w:val="00"/>
    <w:family w:val="roman"/>
    <w:pitch w:val="default"/>
    <w:sig w:usb0="00000287" w:usb1="00000000" w:usb2="00000000" w:usb3="00000000" w:csb0="2000009F" w:csb1="00000000"/>
  </w:font>
  <w:font w:name="Impact">
    <w:panose1 w:val="020B0806030902050204"/>
    <w:charset w:val="00"/>
    <w:family w:val="swiss"/>
    <w:pitch w:val="default"/>
    <w:sig w:usb0="00000287" w:usb1="00000000" w:usb2="00000000" w:usb3="00000000" w:csb0="2000009F" w:csb1="DFD70000"/>
  </w:font>
  <w:font w:name="宋">
    <w:altName w:val="宋体"/>
    <w:panose1 w:val="00000000000000000000"/>
    <w:charset w:val="86"/>
    <w:family w:val="auto"/>
    <w:pitch w:val="default"/>
    <w:sig w:usb0="00000000" w:usb1="00000000" w:usb2="00000000" w:usb3="00000000" w:csb0="00040001" w:csb1="00000000"/>
  </w:font>
  <w:font w:name="瀹嬩綋">
    <w:altName w:val="AMGDT"/>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榛戜綋">
    <w:altName w:val="AMGDT"/>
    <w:panose1 w:val="00000000000000000000"/>
    <w:charset w:val="00"/>
    <w:family w:val="auto"/>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AMGDT">
    <w:panose1 w:val="02000400000000000000"/>
    <w:charset w:val="00"/>
    <w:family w:val="auto"/>
    <w:pitch w:val="default"/>
    <w:sig w:usb0="80000003"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10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pPr>
                            <w:pStyle w:val="20"/>
                          </w:pPr>
                          <w:r>
                            <w:fldChar w:fldCharType="begin"/>
                          </w:r>
                          <w:r>
                            <w:instrText xml:space="preserve"> PAGE  \* MERGEFORMAT </w:instrText>
                          </w:r>
                          <w:r>
                            <w:fldChar w:fldCharType="separate"/>
                          </w:r>
                          <w:r>
                            <w:t>I</w:t>
                          </w:r>
                          <w:r>
                            <w:fldChar w:fldCharType="end"/>
                          </w:r>
                        </w:p>
                      </w:txbxContent>
                    </wps:txbx>
                    <wps:bodyPr wrap="none" lIns="0" tIns="0" rIns="0" bIns="0" upright="0">
                      <a:spAutoFit/>
                    </wps:bodyPr>
                  </wps:wsp>
                </a:graphicData>
              </a:graphic>
            </wp:anchor>
          </w:drawing>
        </mc:Choice>
        <mc:Fallback>
          <w:pict>
            <v:shape id="文本框 1032"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GbXJJXVAQAApwMAAA4AAABkcnMvZTJvRG9jLnhtbK1TzY7TMBC+&#10;I/EOlu80aWEhipquFlWLkBAgLTyA69iNJf/J4zbpC8AbcOLCnefqc+zYSbpouexhL87YM/7m+z5P&#10;1teD0eQoAihnG7pclJQIy12r7L6h37/dvqoogchsy7SzoqEnAfR68/LFuve1WLnO6VYEgiAW6t43&#10;tIvR10UBvBOGwcJ5YTEpXTAs4jbsizawHtGNLlZl+bboXWh9cFwA4Ol2TNIJMTwF0EmpuNg6fjDC&#10;xhE1CM0iSoJOeaCbzFZKweMXKUFEohuKSmNesQnGu7QWmzWr94H5TvGJAnsKhUeaDFMWm16gtiwy&#10;cgjqPyijeHDgZFxwZ4pRSHYEVSzLR97cdcyLrAWtBn8xHZ4Pln8+fg1EtQ19g5ZYZvDFz79+nn//&#10;Pf/5QZbl61WyqPdQY+Wdx9o4vHcDDs58DniYlA8ymPRFTQTziHa6GCyGSHi6VK2qqsQUx9y8Qfzi&#10;4boPED8IZ0gKGhrwBbOx7PgJ4lg6l6Ru1t0qrfMrakt6RL2q3l3lG5cUomuLTZKKkW2K4rAbJmk7&#10;155QWY9j0FCLU0+J/mjRZWQa5yDMwW4ODj6ofZdHKlEBf3OISCezTB1G2Kkxvl/WOc1aGpB/97nq&#10;4f/a3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BoaYJL0wAAAAUBAAAPAAAAAAAAAAEAIAAAACIA&#10;AABkcnMvZG93bnJldi54bWxQSwECFAAUAAAACACHTuJAZtckldUBAACnAwAADgAAAAAAAAABACAA&#10;AAAiAQAAZHJzL2Uyb0RvYy54bWxQSwUGAAAAAAYABgBZAQAAaQUAAAAA&#10;">
              <v:fill on="f" focussize="0,0"/>
              <v:stroke on="f" weight="1.25pt"/>
              <v:imagedata o:title=""/>
              <o:lock v:ext="edit" aspectratio="f"/>
              <v:textbox inset="0mm,0mm,0mm,0mm" style="mso-fit-shape-to-text:t;">
                <w:txbxContent>
                  <w:p>
                    <w:pPr>
                      <w:pStyle w:val="20"/>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jc w:val="cente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10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pPr>
                            <w:pStyle w:val="20"/>
                          </w:pPr>
                          <w:r>
                            <w:fldChar w:fldCharType="begin"/>
                          </w:r>
                          <w:r>
                            <w:instrText xml:space="preserve"> PAGE  \* MERGEFORMAT </w:instrText>
                          </w:r>
                          <w:r>
                            <w:fldChar w:fldCharType="separate"/>
                          </w:r>
                          <w:r>
                            <w:t>I</w:t>
                          </w:r>
                          <w:r>
                            <w:fldChar w:fldCharType="end"/>
                          </w:r>
                        </w:p>
                      </w:txbxContent>
                    </wps:txbx>
                    <wps:bodyPr wrap="none" lIns="0" tIns="0" rIns="0" bIns="0" upright="0">
                      <a:spAutoFit/>
                    </wps:bodyPr>
                  </wps:wsp>
                </a:graphicData>
              </a:graphic>
            </wp:anchor>
          </w:drawing>
        </mc:Choice>
        <mc:Fallback>
          <w:pict>
            <v:shape id="文本框 1032"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FyBBdDUAQAApgMAAA4AAABkcnMvZTJvRG9jLnhtbK1TzY7TMBC+&#10;I/EOlu80adFCiJquQNUiJARICw/gOnZjyX/yuE36AvAGnLhw57n6HDt2ki7avexhL86MZ/zNfN9M&#10;1teD0eQoAihnG7pclJQIy12r7L6hP77fvKoogchsy7SzoqEnAfR68/LFuve1WLnO6VYEgiAW6t43&#10;tIvR10UBvBOGwcJ5YTEoXTAsohv2RRtYj+hGF6uyfFP0LrQ+OC4A8HY7BumEGJ4C6KRUXGwdPxhh&#10;44gahGYRKUGnPNBN7lZKweNXKUFEohuKTGM+sQjau3QWmzWr94H5TvGpBfaUFh5wMkxZLHqB2rLI&#10;yCGoR1BG8eDAybjgzhQjkawIsliWD7S57ZgXmQtKDf4iOjwfLP9y/BaIahv6jhLLDA78/PvX+c+/&#10;89+fZFm+XiWFeg81Jt56TI3DBzfg3sz3gJeJ+CCDSV+kRDCO+p4u+oohEp4eVauqKjHEMTY7iF/c&#10;P/cB4kfhDElGQwMOMOvKjp8hjqlzSqpm3Y3SOg9RW9Ij6lX19iq/uIQQXVsskliM3SYrDrthorZz&#10;7QmZ9bgFDbW49JToTxZFTgszG2E2drNx8EHtu7xRqRXw7w8R28ldpgoj7FQYx5d5TquW9uN/P2fd&#10;/16bO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GhpgkvTAAAABQEAAA8AAAAAAAAAAQAgAAAAIgAA&#10;AGRycy9kb3ducmV2LnhtbFBLAQIUABQAAAAIAIdO4kBcgQXQ1AEAAKYDAAAOAAAAAAAAAAEAIAAA&#10;ACIBAABkcnMvZTJvRG9jLnhtbFBLBQYAAAAABgAGAFkBAABoBQAAAAA=&#10;">
              <v:fill on="f" focussize="0,0"/>
              <v:stroke on="f" weight="1.25pt"/>
              <v:imagedata o:title=""/>
              <o:lock v:ext="edit" aspectratio="f"/>
              <v:textbox inset="0mm,0mm,0mm,0mm" style="mso-fit-shape-to-text:t;">
                <w:txbxContent>
                  <w:p>
                    <w:pPr>
                      <w:pStyle w:val="20"/>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10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pPr>
                            <w:pStyle w:val="20"/>
                          </w:pPr>
                          <w:r>
                            <w:fldChar w:fldCharType="begin"/>
                          </w:r>
                          <w:r>
                            <w:instrText xml:space="preserve"> PAGE  \* MERGEFORMAT </w:instrText>
                          </w:r>
                          <w:r>
                            <w:fldChar w:fldCharType="separate"/>
                          </w:r>
                          <w:r>
                            <w:t>XXII</w:t>
                          </w:r>
                          <w:r>
                            <w:fldChar w:fldCharType="end"/>
                          </w:r>
                        </w:p>
                      </w:txbxContent>
                    </wps:txbx>
                    <wps:bodyPr wrap="none" lIns="0" tIns="0" rIns="0" bIns="0" upright="0">
                      <a:spAutoFit/>
                    </wps:bodyPr>
                  </wps:wsp>
                </a:graphicData>
              </a:graphic>
            </wp:anchor>
          </w:drawing>
        </mc:Choice>
        <mc:Fallback>
          <w:pict>
            <v:shape id="文本框 1033"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GR8uTrVAQAApwMAAA4AAABkcnMvZTJvRG9jLnhtbK1TzY7TMBC+&#10;I/EOlu80aZeFKGq6AlWLkBAgLTyA69iNJf/J4zbpC8AbcOLCnefqczB2ki7avexhL86MZ/zNfN9M&#10;1jeD0eQoAihnG7pclJQIy12r7L6h37/dvqoogchsy7SzoqEnAfRm8/LFuve1WLnO6VYEgiAW6t43&#10;tIvR10UBvBOGwcJ5YTEoXTAsohv2RRtYj+hGF6uyfFP0LrQ+OC4A8HY7BumEGJ4C6KRUXGwdPxhh&#10;44gahGYRKUGnPNBN7lZKweMXKUFEohuKTGM+sQjau3QWmzWr94H5TvGpBfaUFh5wMkxZLHqB2rLI&#10;yCGoR1BG8eDAybjgzhQjkawIsliWD7S565gXmQtKDf4iOjwfLP98/BqIahv6ekmJZQYnfv718/z7&#10;7/nPD7Isr66SRL2HGjPvPObG4b0bcHHme8DLxHyQwaQvciIYR4FPF4HFEAlPj6pVVZUY4hibHcQv&#10;7p/7APGDcIYko6EBJ5iFZcdPEMfUOSVVs+5WaZ2nqC3pEfW6enudX1xCiK4tFkksxm6TFYfdMFHb&#10;ufaEzHpcg4Za3HpK9EeLKqeNmY0wG7vZOPig9l1eqdQK+HeHiO3kLlOFEXYqjPPLPKddSwvyv5+z&#10;7v+vzT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BoaYJL0wAAAAUBAAAPAAAAAAAAAAEAIAAAACIA&#10;AABkcnMvZG93bnJldi54bWxQSwECFAAUAAAACACHTuJAZHy5OtUBAACnAwAADgAAAAAAAAABACAA&#10;AAAiAQAAZHJzL2Uyb0RvYy54bWxQSwUGAAAAAAYABgBZAQAAaQUAAAAA&#10;">
              <v:fill on="f" focussize="0,0"/>
              <v:stroke on="f" weight="1.25pt"/>
              <v:imagedata o:title=""/>
              <o:lock v:ext="edit" aspectratio="f"/>
              <v:textbox inset="0mm,0mm,0mm,0mm" style="mso-fit-shape-to-text:t;">
                <w:txbxContent>
                  <w:p>
                    <w:pPr>
                      <w:pStyle w:val="20"/>
                    </w:pPr>
                    <w:r>
                      <w:fldChar w:fldCharType="begin"/>
                    </w:r>
                    <w:r>
                      <w:instrText xml:space="preserve"> PAGE  \* MERGEFORMAT </w:instrText>
                    </w:r>
                    <w:r>
                      <w:fldChar w:fldCharType="separate"/>
                    </w:r>
                    <w:r>
                      <w:t>XXII</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XXX</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XXX</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spacing w:line="14" w:lineRule="auto"/>
      <w:ind w:firstLine="480"/>
      <w:rPr>
        <w:sz w:val="20"/>
      </w:rPr>
    </w:pPr>
    <w:r>
      <w:rPr>
        <w:sz w:val="20"/>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10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pPr>
                            <w:pStyle w:val="20"/>
                          </w:pPr>
                          <w:r>
                            <w:fldChar w:fldCharType="begin"/>
                          </w:r>
                          <w:r>
                            <w:instrText xml:space="preserve"> PAGE  \* MERGEFORMAT </w:instrText>
                          </w:r>
                          <w:r>
                            <w:fldChar w:fldCharType="separate"/>
                          </w:r>
                          <w:r>
                            <w:t>XLVI</w:t>
                          </w:r>
                          <w:r>
                            <w:fldChar w:fldCharType="end"/>
                          </w:r>
                        </w:p>
                      </w:txbxContent>
                    </wps:txbx>
                    <wps:bodyPr wrap="none" lIns="0" tIns="0" rIns="0" bIns="0" upright="0">
                      <a:spAutoFit/>
                    </wps:bodyPr>
                  </wps:wsp>
                </a:graphicData>
              </a:graphic>
            </wp:anchor>
          </w:drawing>
        </mc:Choice>
        <mc:Fallback>
          <w:pict>
            <v:shape id="文本框 1034"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D3OULHVAQAApwMAAA4AAABkcnMvZTJvRG9jLnhtbK1TzY7TMBC+&#10;I/EOlu80admFKGq6AlWLkBAgLTyA69iNJf/J4zbpC8AbcOLCnefqczB2ki7avexhL86MZ/zNfN9M&#10;1jeD0eQoAihnG7pclJQIy12r7L6h37/dvqoogchsy7SzoqEnAfRm8/LFuve1WLnO6VYEgiAW6t43&#10;tIvR10UBvBOGwcJ5YTEoXTAsohv2RRtYj+hGF6uyfFP0LrQ+OC4A8HY7BumEGJ4C6KRUXGwdPxhh&#10;44gahGYRKUGnPNBN7lZKweMXKUFEohuKTGM+sQjau3QWmzWr94H5TvGpBfaUFh5wMkxZLHqB2rLI&#10;yCGoR1BG8eDAybjgzhQjkawIsliWD7S565gXmQtKDf4iOjwfLP98/BqIaht6taLEMoMTP//6ef79&#10;9/znB1mWr6+SRL2HGjPvPObG4b0bcHHme8DLxHyQwaQvciIYR4FPF4HFEAlPj6pVVZUY4hibHcQv&#10;7p/7APGDcIYko6EBJ5iFZcdPEMfUOSVVs+5WaZ2nqC3pEfW6enudX1xCiK4tFkksxm6TFYfdMFHb&#10;ufaEzHpcg4Za3HpK9EeLKqeNmY0wG7vZOPig9l1eqdQK+HeHiO3kLlOFEXYqjPPLPKddSwvyv5+z&#10;7v+vzT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BoaYJL0wAAAAUBAAAPAAAAAAAAAAEAIAAAACIA&#10;AABkcnMvZG93bnJldi54bWxQSwECFAAUAAAACACHTuJAPc5QsdUBAACnAwAADgAAAAAAAAABACAA&#10;AAAiAQAAZHJzL2Uyb0RvYy54bWxQSwUGAAAAAAYABgBZAQAAaQUAAAAA&#10;">
              <v:fill on="f" focussize="0,0"/>
              <v:stroke on="f" weight="1.25pt"/>
              <v:imagedata o:title=""/>
              <o:lock v:ext="edit" aspectratio="f"/>
              <v:textbox inset="0mm,0mm,0mm,0mm" style="mso-fit-shape-to-text:t;">
                <w:txbxContent>
                  <w:p>
                    <w:pPr>
                      <w:pStyle w:val="20"/>
                    </w:pPr>
                    <w:r>
                      <w:fldChar w:fldCharType="begin"/>
                    </w:r>
                    <w:r>
                      <w:instrText xml:space="preserve"> PAGE  \* MERGEFORMAT </w:instrText>
                    </w:r>
                    <w:r>
                      <w:fldChar w:fldCharType="separate"/>
                    </w:r>
                    <w:r>
                      <w:t>XLVI</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single" w:color="auto" w:sz="4" w:space="0"/>
      </w:pBdr>
      <w:spacing w:line="240" w:lineRule="auto"/>
      <w:jc w:val="center"/>
      <w:rPr>
        <w:sz w:val="18"/>
        <w:szCs w:val="18"/>
        <w:u w:val="none"/>
      </w:rPr>
    </w:pPr>
    <w:r>
      <w:rPr>
        <w:rFonts w:hint="eastAsia"/>
        <w:sz w:val="18"/>
        <w:szCs w:val="18"/>
        <w:u w:val="none"/>
      </w:rPr>
      <w:t>元谋县姜驿中型灌区续建配套与节水改造项目环境影响报告书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single" w:color="auto" w:sz="4" w:space="0"/>
      </w:pBdr>
      <w:spacing w:line="240" w:lineRule="auto"/>
      <w:jc w:val="center"/>
      <w:rPr>
        <w:sz w:val="18"/>
        <w:szCs w:val="18"/>
        <w:u w:val="none"/>
      </w:rPr>
    </w:pPr>
    <w:r>
      <w:rPr>
        <w:rFonts w:hint="eastAsia"/>
        <w:sz w:val="18"/>
        <w:szCs w:val="18"/>
        <w:u w:val="none"/>
      </w:rPr>
      <w:t>元谋县姜驿中型灌区续建配套与节水改造项目环境影响报告书</w:t>
    </w:r>
  </w:p>
  <w:p>
    <w:pPr>
      <w:spacing w:before="12" w:line="20"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1A61C3"/>
    <w:multiLevelType w:val="multilevel"/>
    <w:tmpl w:val="851A61C3"/>
    <w:lvl w:ilvl="0" w:tentative="0">
      <w:start w:val="1"/>
      <w:numFmt w:val="decimal"/>
      <w:pStyle w:val="2"/>
      <w:suff w:val="space"/>
      <w:lvlText w:val="%1"/>
      <w:lvlJc w:val="left"/>
      <w:pPr>
        <w:tabs>
          <w:tab w:val="left" w:pos="420"/>
        </w:tabs>
        <w:ind w:left="0" w:firstLine="0"/>
      </w:pPr>
      <w:rPr>
        <w:rFonts w:hint="default" w:ascii="Times New Roman" w:hAnsi="Times New Roman" w:eastAsia="宋体" w:cs="宋体"/>
      </w:rPr>
    </w:lvl>
    <w:lvl w:ilvl="1" w:tentative="0">
      <w:start w:val="1"/>
      <w:numFmt w:val="decimal"/>
      <w:pStyle w:val="3"/>
      <w:suff w:val="space"/>
      <w:lvlText w:val="%1.%2"/>
      <w:lvlJc w:val="left"/>
      <w:pPr>
        <w:tabs>
          <w:tab w:val="left" w:pos="420"/>
        </w:tabs>
        <w:ind w:left="0" w:firstLine="0"/>
      </w:pPr>
      <w:rPr>
        <w:rFonts w:hint="default" w:ascii="Times New Roman" w:hAnsi="Times New Roman" w:eastAsia="宋体" w:cs="宋体"/>
        <w:sz w:val="32"/>
        <w:szCs w:val="32"/>
      </w:rPr>
    </w:lvl>
    <w:lvl w:ilvl="2" w:tentative="0">
      <w:start w:val="1"/>
      <w:numFmt w:val="decimal"/>
      <w:pStyle w:val="4"/>
      <w:suff w:val="space"/>
      <w:lvlText w:val="%1.%2.%3"/>
      <w:lvlJc w:val="left"/>
      <w:pPr>
        <w:tabs>
          <w:tab w:val="left" w:pos="420"/>
        </w:tabs>
        <w:ind w:left="0" w:firstLine="0"/>
      </w:pPr>
      <w:rPr>
        <w:rFonts w:hint="default" w:ascii="Times New Roman" w:hAnsi="Times New Roman" w:eastAsia="宋体" w:cs="宋体"/>
        <w:lang w:eastAsia="zh-CN"/>
      </w:rPr>
    </w:lvl>
    <w:lvl w:ilvl="3" w:tentative="0">
      <w:start w:val="1"/>
      <w:numFmt w:val="decimal"/>
      <w:lvlRestart w:val="1"/>
      <w:pStyle w:val="5"/>
      <w:suff w:val="nothing"/>
      <w:lvlText w:val="%1.%2.%3.%4"/>
      <w:lvlJc w:val="left"/>
      <w:pPr>
        <w:tabs>
          <w:tab w:val="left" w:pos="420"/>
        </w:tabs>
        <w:ind w:left="480" w:firstLine="0"/>
      </w:pPr>
      <w:rPr>
        <w:rFonts w:hint="default" w:ascii="Times New Roman" w:hAnsi="Times New Roman" w:cs="Times New Roman"/>
      </w:rPr>
    </w:lvl>
    <w:lvl w:ilvl="4" w:tentative="0">
      <w:start w:val="1"/>
      <w:numFmt w:val="decimal"/>
      <w:pStyle w:val="6"/>
      <w:lvlText w:val="%1.%2.%3.%4.%5"/>
      <w:lvlJc w:val="left"/>
      <w:pPr>
        <w:tabs>
          <w:tab w:val="left" w:pos="1008"/>
        </w:tabs>
        <w:ind w:left="1008" w:hanging="1008"/>
      </w:pPr>
      <w:rPr>
        <w:rFonts w:hint="eastAsia"/>
      </w:rPr>
    </w:lvl>
    <w:lvl w:ilvl="5" w:tentative="0">
      <w:start w:val="1"/>
      <w:numFmt w:val="decimal"/>
      <w:pStyle w:val="7"/>
      <w:lvlText w:val="%1.%2.%3.%4.%5.%6"/>
      <w:lvlJc w:val="left"/>
      <w:pPr>
        <w:tabs>
          <w:tab w:val="left" w:pos="1152"/>
        </w:tabs>
        <w:ind w:left="1152" w:hanging="1152"/>
      </w:pPr>
      <w:rPr>
        <w:rFonts w:hint="eastAsia"/>
      </w:rPr>
    </w:lvl>
    <w:lvl w:ilvl="6" w:tentative="0">
      <w:start w:val="1"/>
      <w:numFmt w:val="decimal"/>
      <w:pStyle w:val="8"/>
      <w:lvlText w:val="%1.%2.%3.%4.%5.%6.%7"/>
      <w:lvlJc w:val="left"/>
      <w:pPr>
        <w:tabs>
          <w:tab w:val="left" w:pos="1296"/>
        </w:tabs>
        <w:ind w:left="1296" w:hanging="1296"/>
      </w:pPr>
      <w:rPr>
        <w:rFonts w:hint="eastAsia"/>
      </w:rPr>
    </w:lvl>
    <w:lvl w:ilvl="7" w:tentative="0">
      <w:start w:val="1"/>
      <w:numFmt w:val="decimal"/>
      <w:pStyle w:val="9"/>
      <w:lvlText w:val="%1.%2.%3.%4.%5.%6.%7.%8"/>
      <w:lvlJc w:val="left"/>
      <w:pPr>
        <w:tabs>
          <w:tab w:val="left" w:pos="1440"/>
        </w:tabs>
        <w:ind w:left="1440" w:hanging="1440"/>
      </w:pPr>
      <w:rPr>
        <w:rFonts w:hint="eastAsia"/>
      </w:rPr>
    </w:lvl>
    <w:lvl w:ilvl="8" w:tentative="0">
      <w:start w:val="1"/>
      <w:numFmt w:val="decimal"/>
      <w:pStyle w:val="10"/>
      <w:lvlText w:val="%1.%2.%3.%4.%5.%6.%7.%8.%9"/>
      <w:lvlJc w:val="left"/>
      <w:pPr>
        <w:tabs>
          <w:tab w:val="left" w:pos="1584"/>
        </w:tabs>
        <w:ind w:left="1584" w:hanging="1584"/>
      </w:pPr>
      <w:rPr>
        <w:rFonts w:hint="eastAsia"/>
      </w:rPr>
    </w:lvl>
  </w:abstractNum>
  <w:abstractNum w:abstractNumId="1">
    <w:nsid w:val="8931FF1A"/>
    <w:multiLevelType w:val="singleLevel"/>
    <w:tmpl w:val="8931FF1A"/>
    <w:lvl w:ilvl="0" w:tentative="0">
      <w:start w:val="1"/>
      <w:numFmt w:val="decimal"/>
      <w:suff w:val="nothing"/>
      <w:lvlText w:val="%1）"/>
      <w:lvlJc w:val="left"/>
    </w:lvl>
  </w:abstractNum>
  <w:abstractNum w:abstractNumId="2">
    <w:nsid w:val="97462979"/>
    <w:multiLevelType w:val="multilevel"/>
    <w:tmpl w:val="97462979"/>
    <w:lvl w:ilvl="0" w:tentative="0">
      <w:start w:val="1"/>
      <w:numFmt w:val="decimal"/>
      <w:suff w:val="nothing"/>
      <w:lvlText w:val="（%1）"/>
      <w:lvlJc w:val="left"/>
      <w:pPr>
        <w:tabs>
          <w:tab w:val="left" w:pos="420"/>
        </w:tabs>
        <w:ind w:left="900" w:hanging="420"/>
      </w:pPr>
      <w:rPr>
        <w:rFonts w:hint="default" w:ascii="Times New Roman" w:hAnsi="Times New Roman" w:cs="Times New Roman"/>
        <w:b w:val="0"/>
        <w:sz w:val="24"/>
        <w:szCs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CB9FA668"/>
    <w:multiLevelType w:val="singleLevel"/>
    <w:tmpl w:val="CB9FA668"/>
    <w:lvl w:ilvl="0" w:tentative="0">
      <w:start w:val="3"/>
      <w:numFmt w:val="decimal"/>
      <w:suff w:val="nothing"/>
      <w:lvlText w:val="%1、"/>
      <w:lvlJc w:val="left"/>
    </w:lvl>
  </w:abstractNum>
  <w:abstractNum w:abstractNumId="4">
    <w:nsid w:val="D5EB21E8"/>
    <w:multiLevelType w:val="singleLevel"/>
    <w:tmpl w:val="D5EB21E8"/>
    <w:lvl w:ilvl="0" w:tentative="0">
      <w:start w:val="2"/>
      <w:numFmt w:val="decimal"/>
      <w:suff w:val="nothing"/>
      <w:lvlText w:val="（%1）"/>
      <w:lvlJc w:val="left"/>
    </w:lvl>
  </w:abstractNum>
  <w:abstractNum w:abstractNumId="5">
    <w:nsid w:val="E8AEC32F"/>
    <w:multiLevelType w:val="singleLevel"/>
    <w:tmpl w:val="E8AEC32F"/>
    <w:lvl w:ilvl="0" w:tentative="0">
      <w:start w:val="3"/>
      <w:numFmt w:val="decimal"/>
      <w:suff w:val="nothing"/>
      <w:lvlText w:val="（%1）"/>
      <w:lvlJc w:val="left"/>
      <w:pPr>
        <w:ind w:left="-2"/>
      </w:pPr>
    </w:lvl>
  </w:abstractNum>
  <w:abstractNum w:abstractNumId="6">
    <w:nsid w:val="FA91357B"/>
    <w:multiLevelType w:val="singleLevel"/>
    <w:tmpl w:val="FA91357B"/>
    <w:lvl w:ilvl="0" w:tentative="0">
      <w:start w:val="1"/>
      <w:numFmt w:val="decimal"/>
      <w:suff w:val="nothing"/>
      <w:lvlText w:val="%1、"/>
      <w:lvlJc w:val="left"/>
    </w:lvl>
  </w:abstractNum>
  <w:abstractNum w:abstractNumId="7">
    <w:nsid w:val="FAA9F166"/>
    <w:multiLevelType w:val="singleLevel"/>
    <w:tmpl w:val="FAA9F166"/>
    <w:lvl w:ilvl="0" w:tentative="0">
      <w:start w:val="1"/>
      <w:numFmt w:val="bullet"/>
      <w:pStyle w:val="19"/>
      <w:lvlText w:val=""/>
      <w:lvlJc w:val="left"/>
      <w:pPr>
        <w:tabs>
          <w:tab w:val="left" w:pos="2040"/>
        </w:tabs>
        <w:ind w:left="2040" w:hanging="360"/>
      </w:pPr>
      <w:rPr>
        <w:rFonts w:hint="default" w:ascii="Wingdings" w:hAnsi="Wingdings"/>
      </w:rPr>
    </w:lvl>
  </w:abstractNum>
  <w:abstractNum w:abstractNumId="8">
    <w:nsid w:val="19CADA81"/>
    <w:multiLevelType w:val="singleLevel"/>
    <w:tmpl w:val="19CADA81"/>
    <w:lvl w:ilvl="0" w:tentative="0">
      <w:start w:val="2"/>
      <w:numFmt w:val="decimal"/>
      <w:suff w:val="nothing"/>
      <w:lvlText w:val="%1、"/>
      <w:lvlJc w:val="left"/>
    </w:lvl>
  </w:abstractNum>
  <w:abstractNum w:abstractNumId="9">
    <w:nsid w:val="2ED0BA03"/>
    <w:multiLevelType w:val="singleLevel"/>
    <w:tmpl w:val="2ED0BA03"/>
    <w:lvl w:ilvl="0" w:tentative="0">
      <w:start w:val="4"/>
      <w:numFmt w:val="chineseCounting"/>
      <w:suff w:val="nothing"/>
      <w:lvlText w:val="%1、"/>
      <w:lvlJc w:val="left"/>
      <w:rPr>
        <w:rFonts w:hint="eastAsia"/>
      </w:rPr>
    </w:lvl>
  </w:abstractNum>
  <w:abstractNum w:abstractNumId="10">
    <w:nsid w:val="48A59C4D"/>
    <w:multiLevelType w:val="singleLevel"/>
    <w:tmpl w:val="48A59C4D"/>
    <w:lvl w:ilvl="0" w:tentative="0">
      <w:start w:val="1"/>
      <w:numFmt w:val="decimal"/>
      <w:suff w:val="nothing"/>
      <w:lvlText w:val="%1、"/>
      <w:lvlJc w:val="left"/>
    </w:lvl>
  </w:abstractNum>
  <w:abstractNum w:abstractNumId="11">
    <w:nsid w:val="50B6EBBC"/>
    <w:multiLevelType w:val="singleLevel"/>
    <w:tmpl w:val="50B6EBBC"/>
    <w:lvl w:ilvl="0" w:tentative="0">
      <w:start w:val="1"/>
      <w:numFmt w:val="upperRoman"/>
      <w:suff w:val="nothing"/>
      <w:lvlText w:val="%1、"/>
      <w:lvlJc w:val="left"/>
    </w:lvl>
  </w:abstractNum>
  <w:abstractNum w:abstractNumId="12">
    <w:nsid w:val="733B1396"/>
    <w:multiLevelType w:val="singleLevel"/>
    <w:tmpl w:val="733B1396"/>
    <w:lvl w:ilvl="0" w:tentative="0">
      <w:start w:val="1"/>
      <w:numFmt w:val="decimal"/>
      <w:suff w:val="nothing"/>
      <w:lvlText w:val="%1、"/>
      <w:lvlJc w:val="left"/>
    </w:lvl>
  </w:abstractNum>
  <w:abstractNum w:abstractNumId="13">
    <w:nsid w:val="7FEA0FEE"/>
    <w:multiLevelType w:val="singleLevel"/>
    <w:tmpl w:val="7FEA0FEE"/>
    <w:lvl w:ilvl="0" w:tentative="0">
      <w:start w:val="6"/>
      <w:numFmt w:val="decimal"/>
      <w:suff w:val="nothing"/>
      <w:lvlText w:val="（%1）"/>
      <w:lvlJc w:val="left"/>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2"/>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3"/>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13"/>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4"/>
  </w:num>
  <w:num w:numId="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num>
  <w:num w:numId="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num>
  <w:num w:numId="3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MwMmQ4MDFiMGM3M2ViOWNhNTlmYjliNWVjZjk4MzcifQ=="/>
    <w:docVar w:name="KSO_WPS_MARK_KEY" w:val="fb9ac70b-ab44-4622-9dc1-e2f2be447c6a"/>
  </w:docVars>
  <w:rsids>
    <w:rsidRoot w:val="00000000"/>
    <w:rsid w:val="001077BC"/>
    <w:rsid w:val="01904CF9"/>
    <w:rsid w:val="01BF37C7"/>
    <w:rsid w:val="01D152A8"/>
    <w:rsid w:val="01D8135F"/>
    <w:rsid w:val="028440C8"/>
    <w:rsid w:val="02F05262"/>
    <w:rsid w:val="037F0691"/>
    <w:rsid w:val="03A964DC"/>
    <w:rsid w:val="03F02200"/>
    <w:rsid w:val="04090D29"/>
    <w:rsid w:val="04C94228"/>
    <w:rsid w:val="05163F17"/>
    <w:rsid w:val="05850883"/>
    <w:rsid w:val="05DD6CF1"/>
    <w:rsid w:val="061A4FA2"/>
    <w:rsid w:val="063F110C"/>
    <w:rsid w:val="07293490"/>
    <w:rsid w:val="07465DF0"/>
    <w:rsid w:val="07762B7A"/>
    <w:rsid w:val="077B5AAF"/>
    <w:rsid w:val="079F3753"/>
    <w:rsid w:val="07D569B8"/>
    <w:rsid w:val="08DC64C9"/>
    <w:rsid w:val="09615163"/>
    <w:rsid w:val="0AA479FE"/>
    <w:rsid w:val="0BE04D47"/>
    <w:rsid w:val="0C540850"/>
    <w:rsid w:val="0C925FDA"/>
    <w:rsid w:val="0D0033F3"/>
    <w:rsid w:val="0E932B7A"/>
    <w:rsid w:val="0EA0446C"/>
    <w:rsid w:val="0F6B6D3C"/>
    <w:rsid w:val="0F9329C3"/>
    <w:rsid w:val="108377D6"/>
    <w:rsid w:val="10FD2C30"/>
    <w:rsid w:val="116966D0"/>
    <w:rsid w:val="11817B56"/>
    <w:rsid w:val="12072620"/>
    <w:rsid w:val="12552F8A"/>
    <w:rsid w:val="125E3E11"/>
    <w:rsid w:val="12C119B6"/>
    <w:rsid w:val="134C66DF"/>
    <w:rsid w:val="14355008"/>
    <w:rsid w:val="14666ED1"/>
    <w:rsid w:val="14AB750F"/>
    <w:rsid w:val="154B2C28"/>
    <w:rsid w:val="16842C2F"/>
    <w:rsid w:val="17B7197F"/>
    <w:rsid w:val="17B92294"/>
    <w:rsid w:val="18285146"/>
    <w:rsid w:val="19FF0A96"/>
    <w:rsid w:val="1A467042"/>
    <w:rsid w:val="1BC662D7"/>
    <w:rsid w:val="1BDF7896"/>
    <w:rsid w:val="1BFE66A1"/>
    <w:rsid w:val="1CA132D1"/>
    <w:rsid w:val="1D6A5789"/>
    <w:rsid w:val="1DE779B1"/>
    <w:rsid w:val="1E031B48"/>
    <w:rsid w:val="1E6E5C07"/>
    <w:rsid w:val="1F0E3240"/>
    <w:rsid w:val="207A77DD"/>
    <w:rsid w:val="20CC5E68"/>
    <w:rsid w:val="21900A33"/>
    <w:rsid w:val="227F2866"/>
    <w:rsid w:val="24E54A43"/>
    <w:rsid w:val="25B03A0C"/>
    <w:rsid w:val="25B35148"/>
    <w:rsid w:val="25EC07DB"/>
    <w:rsid w:val="260015A2"/>
    <w:rsid w:val="264659B5"/>
    <w:rsid w:val="275C014C"/>
    <w:rsid w:val="27AB53B3"/>
    <w:rsid w:val="28405301"/>
    <w:rsid w:val="28B135BA"/>
    <w:rsid w:val="299B095F"/>
    <w:rsid w:val="2ACA16FB"/>
    <w:rsid w:val="2B4A399E"/>
    <w:rsid w:val="2C2E6DCA"/>
    <w:rsid w:val="2CFF3809"/>
    <w:rsid w:val="2D1E6D44"/>
    <w:rsid w:val="2DAC49A6"/>
    <w:rsid w:val="2E297AB0"/>
    <w:rsid w:val="2EAA0CE6"/>
    <w:rsid w:val="304D7231"/>
    <w:rsid w:val="30C3032E"/>
    <w:rsid w:val="30F65EFD"/>
    <w:rsid w:val="31264419"/>
    <w:rsid w:val="31500804"/>
    <w:rsid w:val="31BB65F6"/>
    <w:rsid w:val="330A2BDB"/>
    <w:rsid w:val="34117F22"/>
    <w:rsid w:val="346F1531"/>
    <w:rsid w:val="348E3489"/>
    <w:rsid w:val="35A142C0"/>
    <w:rsid w:val="36151357"/>
    <w:rsid w:val="3660230D"/>
    <w:rsid w:val="3880411B"/>
    <w:rsid w:val="38E52E0C"/>
    <w:rsid w:val="390F5162"/>
    <w:rsid w:val="39BD5DFF"/>
    <w:rsid w:val="3C7715BB"/>
    <w:rsid w:val="3CD73A35"/>
    <w:rsid w:val="3DDB0A03"/>
    <w:rsid w:val="3DFD4D3B"/>
    <w:rsid w:val="3E0827DB"/>
    <w:rsid w:val="3E155F41"/>
    <w:rsid w:val="3E9A453D"/>
    <w:rsid w:val="3FD57570"/>
    <w:rsid w:val="3FDD1C8D"/>
    <w:rsid w:val="3FF35E0E"/>
    <w:rsid w:val="40682937"/>
    <w:rsid w:val="41ED443E"/>
    <w:rsid w:val="42E570A0"/>
    <w:rsid w:val="430503CB"/>
    <w:rsid w:val="45597A51"/>
    <w:rsid w:val="458762CD"/>
    <w:rsid w:val="45B4078C"/>
    <w:rsid w:val="462C5BD6"/>
    <w:rsid w:val="46336C3B"/>
    <w:rsid w:val="4642189D"/>
    <w:rsid w:val="46647A66"/>
    <w:rsid w:val="469D06A5"/>
    <w:rsid w:val="46E4103D"/>
    <w:rsid w:val="474A4002"/>
    <w:rsid w:val="4753323F"/>
    <w:rsid w:val="48436C01"/>
    <w:rsid w:val="48B90A25"/>
    <w:rsid w:val="493F0316"/>
    <w:rsid w:val="49804BB7"/>
    <w:rsid w:val="49A00C86"/>
    <w:rsid w:val="4A590F64"/>
    <w:rsid w:val="4A5915A0"/>
    <w:rsid w:val="4AC70B63"/>
    <w:rsid w:val="4AF745EB"/>
    <w:rsid w:val="4AF82718"/>
    <w:rsid w:val="4C1B727C"/>
    <w:rsid w:val="4C4D1FBC"/>
    <w:rsid w:val="4D4A0F9E"/>
    <w:rsid w:val="4DB0786F"/>
    <w:rsid w:val="4E20749A"/>
    <w:rsid w:val="4FC652ED"/>
    <w:rsid w:val="4FEE5FA1"/>
    <w:rsid w:val="504758AB"/>
    <w:rsid w:val="51805F6C"/>
    <w:rsid w:val="51C32146"/>
    <w:rsid w:val="51E67581"/>
    <w:rsid w:val="520774F7"/>
    <w:rsid w:val="52375A62"/>
    <w:rsid w:val="52660932"/>
    <w:rsid w:val="5266474E"/>
    <w:rsid w:val="52B35759"/>
    <w:rsid w:val="531243A6"/>
    <w:rsid w:val="533F163E"/>
    <w:rsid w:val="53406849"/>
    <w:rsid w:val="535F3402"/>
    <w:rsid w:val="54423DA6"/>
    <w:rsid w:val="562B4FF8"/>
    <w:rsid w:val="56643A14"/>
    <w:rsid w:val="56A16D0D"/>
    <w:rsid w:val="5784363D"/>
    <w:rsid w:val="57D749E4"/>
    <w:rsid w:val="58463089"/>
    <w:rsid w:val="58974451"/>
    <w:rsid w:val="595626F6"/>
    <w:rsid w:val="5B474625"/>
    <w:rsid w:val="5BAE0196"/>
    <w:rsid w:val="5BD24D0A"/>
    <w:rsid w:val="5D5961B6"/>
    <w:rsid w:val="5DAA7FFC"/>
    <w:rsid w:val="5F3351A0"/>
    <w:rsid w:val="5F3B12A8"/>
    <w:rsid w:val="5FB463A6"/>
    <w:rsid w:val="609805E0"/>
    <w:rsid w:val="61634A88"/>
    <w:rsid w:val="61D62B39"/>
    <w:rsid w:val="61E6537B"/>
    <w:rsid w:val="623E6320"/>
    <w:rsid w:val="62CE02E9"/>
    <w:rsid w:val="62E96ED1"/>
    <w:rsid w:val="64586A60"/>
    <w:rsid w:val="647A4036"/>
    <w:rsid w:val="65020F68"/>
    <w:rsid w:val="65524785"/>
    <w:rsid w:val="658A00B2"/>
    <w:rsid w:val="658D4B66"/>
    <w:rsid w:val="659E069C"/>
    <w:rsid w:val="663131EE"/>
    <w:rsid w:val="669235B5"/>
    <w:rsid w:val="66FC4AF3"/>
    <w:rsid w:val="66FE192C"/>
    <w:rsid w:val="670C3F0D"/>
    <w:rsid w:val="67D86D23"/>
    <w:rsid w:val="681B0F71"/>
    <w:rsid w:val="682561E5"/>
    <w:rsid w:val="68293AD1"/>
    <w:rsid w:val="68B56B3F"/>
    <w:rsid w:val="6947227B"/>
    <w:rsid w:val="696E36CE"/>
    <w:rsid w:val="698279C4"/>
    <w:rsid w:val="69FE4BF9"/>
    <w:rsid w:val="6A140BA5"/>
    <w:rsid w:val="6ABE0C43"/>
    <w:rsid w:val="6ABF5CD7"/>
    <w:rsid w:val="6AF463F8"/>
    <w:rsid w:val="6B5B6DFD"/>
    <w:rsid w:val="6BE566A3"/>
    <w:rsid w:val="6CA97A3A"/>
    <w:rsid w:val="6CDF30F3"/>
    <w:rsid w:val="6F061339"/>
    <w:rsid w:val="70D803A6"/>
    <w:rsid w:val="71297032"/>
    <w:rsid w:val="71B00CD8"/>
    <w:rsid w:val="71CB3DBB"/>
    <w:rsid w:val="71F25676"/>
    <w:rsid w:val="72371326"/>
    <w:rsid w:val="72C238EC"/>
    <w:rsid w:val="732B5514"/>
    <w:rsid w:val="73370887"/>
    <w:rsid w:val="754477C1"/>
    <w:rsid w:val="75B30421"/>
    <w:rsid w:val="760D4AAF"/>
    <w:rsid w:val="76694D07"/>
    <w:rsid w:val="76D85607"/>
    <w:rsid w:val="76FD6041"/>
    <w:rsid w:val="77130569"/>
    <w:rsid w:val="776C4C7A"/>
    <w:rsid w:val="77F8747D"/>
    <w:rsid w:val="781B191B"/>
    <w:rsid w:val="78961451"/>
    <w:rsid w:val="78A0407E"/>
    <w:rsid w:val="79C572EE"/>
    <w:rsid w:val="79CE4C1B"/>
    <w:rsid w:val="7A312F8A"/>
    <w:rsid w:val="7A5769BE"/>
    <w:rsid w:val="7B22521E"/>
    <w:rsid w:val="7BE268AF"/>
    <w:rsid w:val="7D486221"/>
    <w:rsid w:val="7E1F3C97"/>
    <w:rsid w:val="7EB4263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qFormat="1" w:unhideWhenUsed="0" w:uiPriority="0" w:semiHidden="0" w:name="index heading"/>
    <w:lsdException w:qFormat="1" w:uiPriority="35"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61"/>
    <w:autoRedefine/>
    <w:qFormat/>
    <w:uiPriority w:val="0"/>
    <w:pPr>
      <w:widowControl w:val="0"/>
      <w:snapToGrid w:val="0"/>
      <w:spacing w:line="360" w:lineRule="auto"/>
      <w:ind w:firstLine="480" w:firstLineChars="200"/>
      <w:jc w:val="both"/>
    </w:pPr>
    <w:rPr>
      <w:rFonts w:ascii="Times New Roman" w:hAnsi="Times New Roman" w:eastAsia="宋体" w:cs="Times New Roman"/>
      <w:kern w:val="2"/>
      <w:sz w:val="24"/>
      <w:szCs w:val="21"/>
      <w:lang w:val="en-US" w:eastAsia="zh-CN" w:bidi="ar-SA"/>
    </w:rPr>
  </w:style>
  <w:style w:type="paragraph" w:styleId="2">
    <w:name w:val="heading 1"/>
    <w:basedOn w:val="1"/>
    <w:next w:val="1"/>
    <w:link w:val="55"/>
    <w:qFormat/>
    <w:uiPriority w:val="0"/>
    <w:pPr>
      <w:keepNext/>
      <w:keepLines/>
      <w:numPr>
        <w:ilvl w:val="0"/>
        <w:numId w:val="1"/>
      </w:numPr>
      <w:tabs>
        <w:tab w:val="left" w:pos="0"/>
        <w:tab w:val="clear" w:pos="420"/>
      </w:tabs>
      <w:adjustRightInd w:val="0"/>
      <w:snapToGrid w:val="0"/>
      <w:spacing w:beforeLines="0" w:beforeAutospacing="0" w:afterLines="0" w:afterAutospacing="0" w:line="360" w:lineRule="auto"/>
      <w:ind w:left="432" w:hanging="432"/>
      <w:jc w:val="center"/>
      <w:outlineLvl w:val="0"/>
    </w:pPr>
    <w:rPr>
      <w:rFonts w:eastAsia="黑体"/>
      <w:b/>
      <w:kern w:val="44"/>
      <w:sz w:val="44"/>
    </w:rPr>
  </w:style>
  <w:style w:type="paragraph" w:styleId="3">
    <w:name w:val="heading 2"/>
    <w:basedOn w:val="1"/>
    <w:next w:val="1"/>
    <w:link w:val="38"/>
    <w:unhideWhenUsed/>
    <w:qFormat/>
    <w:uiPriority w:val="0"/>
    <w:pPr>
      <w:keepNext/>
      <w:keepLines/>
      <w:numPr>
        <w:ilvl w:val="1"/>
        <w:numId w:val="1"/>
      </w:numPr>
      <w:tabs>
        <w:tab w:val="left" w:pos="0"/>
        <w:tab w:val="clear" w:pos="420"/>
      </w:tabs>
      <w:spacing w:before="50" w:beforeLines="50" w:beforeAutospacing="0" w:afterLines="0" w:afterAutospacing="0" w:line="360" w:lineRule="auto"/>
      <w:ind w:left="0" w:firstLine="0" w:firstLineChars="0"/>
      <w:outlineLvl w:val="1"/>
    </w:pPr>
    <w:rPr>
      <w:rFonts w:ascii="Arial" w:hAnsi="Arial" w:eastAsia="黑体"/>
      <w:b/>
      <w:sz w:val="32"/>
    </w:rPr>
  </w:style>
  <w:style w:type="paragraph" w:styleId="4">
    <w:name w:val="heading 3"/>
    <w:basedOn w:val="1"/>
    <w:next w:val="1"/>
    <w:link w:val="60"/>
    <w:autoRedefine/>
    <w:unhideWhenUsed/>
    <w:qFormat/>
    <w:uiPriority w:val="0"/>
    <w:pPr>
      <w:keepNext/>
      <w:keepLines/>
      <w:numPr>
        <w:ilvl w:val="2"/>
        <w:numId w:val="1"/>
      </w:numPr>
      <w:tabs>
        <w:tab w:val="left" w:pos="0"/>
        <w:tab w:val="clear" w:pos="420"/>
      </w:tabs>
      <w:spacing w:before="50" w:beforeLines="50" w:beforeAutospacing="0" w:afterLines="0" w:afterAutospacing="0" w:line="360" w:lineRule="auto"/>
      <w:ind w:left="0" w:firstLine="0" w:firstLineChars="0"/>
      <w:outlineLvl w:val="2"/>
    </w:pPr>
    <w:rPr>
      <w:rFonts w:eastAsia="黑体"/>
      <w:b/>
      <w:sz w:val="28"/>
    </w:rPr>
  </w:style>
  <w:style w:type="paragraph" w:styleId="5">
    <w:name w:val="heading 4"/>
    <w:basedOn w:val="1"/>
    <w:next w:val="1"/>
    <w:link w:val="39"/>
    <w:autoRedefine/>
    <w:unhideWhenUsed/>
    <w:qFormat/>
    <w:uiPriority w:val="0"/>
    <w:pPr>
      <w:keepNext/>
      <w:keepLines/>
      <w:numPr>
        <w:ilvl w:val="3"/>
        <w:numId w:val="2"/>
      </w:numPr>
      <w:tabs>
        <w:tab w:val="left" w:pos="0"/>
        <w:tab w:val="left" w:pos="283"/>
        <w:tab w:val="left" w:pos="420"/>
      </w:tabs>
      <w:adjustRightInd/>
      <w:ind w:left="0" w:firstLine="0" w:firstLineChars="0"/>
      <w:jc w:val="left"/>
      <w:outlineLvl w:val="3"/>
    </w:pPr>
    <w:rPr>
      <w:rFonts w:ascii="Times New Roman" w:hAnsi="Times New Roman" w:eastAsia="黑体"/>
      <w:b/>
      <w:snapToGrid w:val="0"/>
      <w:color w:val="auto"/>
      <w:kern w:val="0"/>
      <w:sz w:val="28"/>
      <w:szCs w:val="28"/>
    </w:rPr>
  </w:style>
  <w:style w:type="paragraph" w:styleId="6">
    <w:name w:val="heading 5"/>
    <w:basedOn w:val="1"/>
    <w:next w:val="1"/>
    <w:unhideWhenUsed/>
    <w:qFormat/>
    <w:uiPriority w:val="0"/>
    <w:pPr>
      <w:keepNext/>
      <w:keepLines/>
      <w:numPr>
        <w:ilvl w:val="4"/>
        <w:numId w:val="1"/>
      </w:numPr>
      <w:spacing w:before="280" w:beforeLines="0" w:beforeAutospacing="0" w:after="290" w:afterLines="0" w:afterAutospacing="0" w:line="372" w:lineRule="auto"/>
      <w:ind w:left="1008" w:hanging="1008" w:firstLineChars="0"/>
      <w:outlineLvl w:val="4"/>
    </w:pPr>
    <w:rPr>
      <w:b/>
      <w:sz w:val="28"/>
    </w:rPr>
  </w:style>
  <w:style w:type="paragraph" w:styleId="7">
    <w:name w:val="heading 6"/>
    <w:basedOn w:val="1"/>
    <w:next w:val="1"/>
    <w:autoRedefine/>
    <w:unhideWhenUsed/>
    <w:qFormat/>
    <w:uiPriority w:val="0"/>
    <w:pPr>
      <w:keepNext/>
      <w:keepLines/>
      <w:numPr>
        <w:ilvl w:val="5"/>
        <w:numId w:val="1"/>
      </w:numPr>
      <w:spacing w:before="240" w:beforeLines="0" w:beforeAutospacing="0" w:after="64" w:afterLines="0" w:afterAutospacing="0" w:line="317" w:lineRule="auto"/>
      <w:ind w:left="1152" w:hanging="1152" w:firstLineChars="0"/>
      <w:outlineLvl w:val="5"/>
    </w:pPr>
    <w:rPr>
      <w:rFonts w:ascii="Arial" w:hAnsi="Arial" w:eastAsia="黑体"/>
      <w:b/>
      <w:sz w:val="24"/>
    </w:rPr>
  </w:style>
  <w:style w:type="paragraph" w:styleId="8">
    <w:name w:val="heading 7"/>
    <w:basedOn w:val="1"/>
    <w:next w:val="1"/>
    <w:autoRedefine/>
    <w:unhideWhenUsed/>
    <w:qFormat/>
    <w:uiPriority w:val="0"/>
    <w:pPr>
      <w:keepNext/>
      <w:keepLines/>
      <w:numPr>
        <w:ilvl w:val="6"/>
        <w:numId w:val="1"/>
      </w:numPr>
      <w:spacing w:before="240" w:beforeLines="0" w:beforeAutospacing="0" w:after="64" w:afterLines="0" w:afterAutospacing="0" w:line="317" w:lineRule="auto"/>
      <w:ind w:left="1296" w:hanging="1296" w:firstLineChars="0"/>
      <w:outlineLvl w:val="6"/>
    </w:pPr>
    <w:rPr>
      <w:b/>
      <w:sz w:val="24"/>
    </w:rPr>
  </w:style>
  <w:style w:type="paragraph" w:styleId="9">
    <w:name w:val="heading 8"/>
    <w:basedOn w:val="1"/>
    <w:next w:val="1"/>
    <w:autoRedefine/>
    <w:unhideWhenUsed/>
    <w:qFormat/>
    <w:uiPriority w:val="0"/>
    <w:pPr>
      <w:keepNext/>
      <w:keepLines/>
      <w:numPr>
        <w:ilvl w:val="7"/>
        <w:numId w:val="1"/>
      </w:numPr>
      <w:spacing w:before="240" w:beforeLines="0" w:beforeAutospacing="0" w:after="64" w:afterLines="0" w:afterAutospacing="0" w:line="317" w:lineRule="auto"/>
      <w:ind w:left="1440" w:hanging="1440" w:firstLineChars="0"/>
      <w:outlineLvl w:val="7"/>
    </w:pPr>
    <w:rPr>
      <w:rFonts w:ascii="Arial" w:hAnsi="Arial" w:eastAsia="黑体"/>
      <w:sz w:val="24"/>
    </w:rPr>
  </w:style>
  <w:style w:type="paragraph" w:styleId="10">
    <w:name w:val="heading 9"/>
    <w:basedOn w:val="1"/>
    <w:next w:val="1"/>
    <w:autoRedefine/>
    <w:unhideWhenUsed/>
    <w:qFormat/>
    <w:uiPriority w:val="0"/>
    <w:pPr>
      <w:keepNext/>
      <w:keepLines/>
      <w:numPr>
        <w:ilvl w:val="8"/>
        <w:numId w:val="1"/>
      </w:numPr>
      <w:spacing w:before="240" w:beforeLines="0" w:beforeAutospacing="0" w:after="64" w:afterLines="0" w:afterAutospacing="0" w:line="317" w:lineRule="auto"/>
      <w:ind w:left="1584" w:hanging="1584" w:firstLineChars="0"/>
      <w:outlineLvl w:val="8"/>
    </w:pPr>
    <w:rPr>
      <w:rFonts w:ascii="Arial" w:hAnsi="Arial" w:eastAsia="黑体"/>
      <w:sz w:val="21"/>
    </w:rPr>
  </w:style>
  <w:style w:type="character" w:default="1" w:styleId="31">
    <w:name w:val="Default Paragraph Font"/>
    <w:autoRedefine/>
    <w:qFormat/>
    <w:uiPriority w:val="0"/>
  </w:style>
  <w:style w:type="table" w:default="1" w:styleId="29">
    <w:name w:val="Normal Table"/>
    <w:semiHidden/>
    <w:qFormat/>
    <w:uiPriority w:val="0"/>
    <w:tblPr>
      <w:tblCellMar>
        <w:top w:w="0" w:type="dxa"/>
        <w:left w:w="108" w:type="dxa"/>
        <w:bottom w:w="0" w:type="dxa"/>
        <w:right w:w="108" w:type="dxa"/>
      </w:tblCellMar>
    </w:tblPr>
  </w:style>
  <w:style w:type="paragraph" w:styleId="11">
    <w:name w:val="caption"/>
    <w:basedOn w:val="1"/>
    <w:next w:val="1"/>
    <w:semiHidden/>
    <w:unhideWhenUsed/>
    <w:qFormat/>
    <w:uiPriority w:val="35"/>
    <w:rPr>
      <w:rFonts w:eastAsia="黑体" w:asciiTheme="majorHAnsi" w:hAnsiTheme="majorHAnsi" w:cstheme="majorBidi"/>
    </w:rPr>
  </w:style>
  <w:style w:type="paragraph" w:styleId="12">
    <w:name w:val="annotation text"/>
    <w:basedOn w:val="1"/>
    <w:autoRedefine/>
    <w:qFormat/>
    <w:uiPriority w:val="0"/>
    <w:pPr>
      <w:jc w:val="left"/>
    </w:pPr>
  </w:style>
  <w:style w:type="paragraph" w:styleId="13">
    <w:name w:val="Body Text"/>
    <w:basedOn w:val="1"/>
    <w:qFormat/>
    <w:uiPriority w:val="0"/>
    <w:pPr>
      <w:spacing w:afterLines="0"/>
      <w:ind w:firstLine="643" w:firstLineChars="200"/>
    </w:pPr>
    <w:rPr>
      <w:rFonts w:hint="eastAsia"/>
      <w:kern w:val="0"/>
    </w:rPr>
  </w:style>
  <w:style w:type="paragraph" w:styleId="14">
    <w:name w:val="Body Text Indent"/>
    <w:basedOn w:val="1"/>
    <w:qFormat/>
    <w:uiPriority w:val="0"/>
    <w:pPr>
      <w:spacing w:line="240" w:lineRule="auto"/>
      <w:ind w:firstLine="570" w:firstLineChars="0"/>
    </w:pPr>
    <w:rPr>
      <w:kern w:val="0"/>
      <w:sz w:val="20"/>
    </w:rPr>
  </w:style>
  <w:style w:type="paragraph" w:styleId="15">
    <w:name w:val="toc 3"/>
    <w:basedOn w:val="1"/>
    <w:next w:val="1"/>
    <w:qFormat/>
    <w:uiPriority w:val="39"/>
    <w:pPr>
      <w:ind w:left="840" w:leftChars="400"/>
    </w:pPr>
    <w:rPr>
      <w:rFonts w:hint="eastAsia"/>
    </w:rPr>
  </w:style>
  <w:style w:type="paragraph" w:styleId="16">
    <w:name w:val="Plain Text"/>
    <w:basedOn w:val="1"/>
    <w:next w:val="17"/>
    <w:autoRedefine/>
    <w:qFormat/>
    <w:uiPriority w:val="0"/>
    <w:pPr>
      <w:widowControl w:val="0"/>
      <w:ind w:left="0"/>
      <w:jc w:val="both"/>
    </w:pPr>
    <w:rPr>
      <w:rFonts w:ascii="宋体" w:hAnsi="Courier New"/>
      <w:spacing w:val="0"/>
      <w:kern w:val="2"/>
      <w:sz w:val="21"/>
      <w:lang w:bidi="ar-SA"/>
    </w:rPr>
  </w:style>
  <w:style w:type="paragraph" w:customStyle="1" w:styleId="17">
    <w:name w:val="Default"/>
    <w:basedOn w:val="18"/>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8">
    <w:name w:val="纯文本1"/>
    <w:basedOn w:val="1"/>
    <w:autoRedefine/>
    <w:qFormat/>
    <w:uiPriority w:val="0"/>
    <w:rPr>
      <w:rFonts w:ascii="宋体" w:hAnsi="Courier New"/>
    </w:rPr>
  </w:style>
  <w:style w:type="paragraph" w:styleId="19">
    <w:name w:val="List Bullet 5"/>
    <w:basedOn w:val="1"/>
    <w:autoRedefine/>
    <w:qFormat/>
    <w:uiPriority w:val="0"/>
    <w:pPr>
      <w:numPr>
        <w:ilvl w:val="0"/>
        <w:numId w:val="3"/>
      </w:numPr>
    </w:pPr>
  </w:style>
  <w:style w:type="paragraph" w:styleId="20">
    <w:name w:val="footer"/>
    <w:basedOn w:val="1"/>
    <w:autoRedefine/>
    <w:qFormat/>
    <w:uiPriority w:val="99"/>
    <w:pPr>
      <w:tabs>
        <w:tab w:val="center" w:pos="4153"/>
        <w:tab w:val="right" w:pos="8306"/>
      </w:tabs>
      <w:snapToGrid w:val="0"/>
      <w:jc w:val="left"/>
    </w:pPr>
    <w:rPr>
      <w:kern w:val="0"/>
      <w:sz w:val="18"/>
      <w:szCs w:val="18"/>
    </w:rPr>
  </w:style>
  <w:style w:type="paragraph" w:styleId="21">
    <w:name w:val="header"/>
    <w:basedOn w:val="1"/>
    <w:next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center"/>
    </w:pPr>
    <w:rPr>
      <w:rFonts w:ascii="Times New Roman" w:hAnsi="Times New Roman"/>
      <w:sz w:val="18"/>
      <w:szCs w:val="18"/>
    </w:rPr>
  </w:style>
  <w:style w:type="paragraph" w:styleId="22">
    <w:name w:val="toc 1"/>
    <w:basedOn w:val="1"/>
    <w:next w:val="1"/>
    <w:autoRedefine/>
    <w:qFormat/>
    <w:uiPriority w:val="39"/>
    <w:pPr>
      <w:tabs>
        <w:tab w:val="right" w:leader="dot" w:pos="8381"/>
      </w:tabs>
      <w:spacing w:line="360" w:lineRule="auto"/>
      <w:jc w:val="left"/>
    </w:pPr>
    <w:rPr>
      <w:b/>
      <w:bCs/>
      <w:caps/>
      <w:sz w:val="32"/>
      <w:szCs w:val="32"/>
    </w:rPr>
  </w:style>
  <w:style w:type="paragraph" w:styleId="23">
    <w:name w:val="index heading"/>
    <w:basedOn w:val="1"/>
    <w:next w:val="24"/>
    <w:qFormat/>
    <w:uiPriority w:val="0"/>
    <w:rPr>
      <w:rFonts w:ascii="宋体"/>
      <w:bCs/>
      <w:sz w:val="24"/>
    </w:rPr>
  </w:style>
  <w:style w:type="paragraph" w:styleId="24">
    <w:name w:val="index 1"/>
    <w:basedOn w:val="1"/>
    <w:next w:val="1"/>
    <w:autoRedefine/>
    <w:qFormat/>
    <w:uiPriority w:val="0"/>
    <w:rPr>
      <w:rFonts w:hint="eastAsia" w:ascii="宋体" w:hAnsi="宋体"/>
    </w:rPr>
  </w:style>
  <w:style w:type="paragraph" w:styleId="25">
    <w:name w:val="toc 2"/>
    <w:basedOn w:val="1"/>
    <w:next w:val="1"/>
    <w:autoRedefine/>
    <w:qFormat/>
    <w:uiPriority w:val="39"/>
    <w:pPr>
      <w:ind w:left="420" w:leftChars="200"/>
    </w:pPr>
    <w:rPr>
      <w:rFonts w:hint="eastAsia"/>
    </w:rPr>
  </w:style>
  <w:style w:type="paragraph" w:styleId="26">
    <w:name w:val="Title"/>
    <w:basedOn w:val="1"/>
    <w:autoRedefine/>
    <w:qFormat/>
    <w:uiPriority w:val="0"/>
    <w:pPr>
      <w:spacing w:before="240" w:beforeLines="0" w:beforeAutospacing="0" w:after="60" w:afterLines="0" w:afterAutospacing="0"/>
      <w:jc w:val="center"/>
      <w:outlineLvl w:val="0"/>
    </w:pPr>
    <w:rPr>
      <w:rFonts w:ascii="Arial" w:hAnsi="Arial"/>
      <w:b/>
      <w:sz w:val="32"/>
    </w:rPr>
  </w:style>
  <w:style w:type="paragraph" w:styleId="27">
    <w:name w:val="Body Text First Indent"/>
    <w:basedOn w:val="13"/>
    <w:next w:val="1"/>
    <w:autoRedefine/>
    <w:qFormat/>
    <w:uiPriority w:val="0"/>
    <w:pPr>
      <w:spacing w:line="360" w:lineRule="auto"/>
      <w:ind w:firstLine="360" w:firstLineChars="200"/>
    </w:pPr>
    <w:rPr>
      <w:sz w:val="24"/>
    </w:rPr>
  </w:style>
  <w:style w:type="paragraph" w:styleId="28">
    <w:name w:val="Body Text First Indent 2"/>
    <w:basedOn w:val="14"/>
    <w:autoRedefine/>
    <w:qFormat/>
    <w:uiPriority w:val="0"/>
    <w:pPr>
      <w:ind w:firstLine="420" w:firstLineChars="200"/>
    </w:pPr>
    <w:rPr>
      <w:rFonts w:ascii="Calibri" w:hAnsi="Calibri"/>
      <w:kern w:val="2"/>
      <w:sz w:val="21"/>
      <w:lang w:val="en-US" w:eastAsia="zh-CN"/>
    </w:rPr>
  </w:style>
  <w:style w:type="table" w:styleId="30">
    <w:name w:val="Table Grid"/>
    <w:basedOn w:val="2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Emphasis"/>
    <w:basedOn w:val="31"/>
    <w:qFormat/>
    <w:uiPriority w:val="0"/>
    <w:rPr>
      <w:i/>
    </w:rPr>
  </w:style>
  <w:style w:type="character" w:styleId="33">
    <w:name w:val="Hyperlink"/>
    <w:basedOn w:val="31"/>
    <w:autoRedefine/>
    <w:qFormat/>
    <w:uiPriority w:val="0"/>
    <w:rPr>
      <w:color w:val="0000FF"/>
      <w:u w:val="single"/>
    </w:rPr>
  </w:style>
  <w:style w:type="paragraph" w:customStyle="1" w:styleId="34">
    <w:name w:val="明显引用1"/>
    <w:next w:val="1"/>
    <w:qFormat/>
    <w:uiPriority w:val="0"/>
    <w:pPr>
      <w:wordWrap w:val="0"/>
      <w:spacing w:before="360" w:after="360"/>
      <w:ind w:left="950" w:right="950"/>
      <w:jc w:val="center"/>
    </w:pPr>
    <w:rPr>
      <w:rFonts w:ascii="Times New Roman" w:hAnsi="Times New Roman" w:eastAsia="宋体" w:cs="Times New Roman"/>
      <w:i/>
      <w:sz w:val="21"/>
      <w:lang w:val="en-US" w:eastAsia="zh-CN" w:bidi="ar-SA"/>
    </w:rPr>
  </w:style>
  <w:style w:type="paragraph" w:customStyle="1" w:styleId="35">
    <w:name w:val="Heading4"/>
    <w:basedOn w:val="1"/>
    <w:next w:val="1"/>
    <w:autoRedefine/>
    <w:qFormat/>
    <w:locked/>
    <w:uiPriority w:val="0"/>
    <w:pPr>
      <w:snapToGrid w:val="0"/>
      <w:spacing w:line="360" w:lineRule="auto"/>
      <w:jc w:val="left"/>
      <w:textAlignment w:val="baseline"/>
    </w:pPr>
    <w:rPr>
      <w:rFonts w:ascii="Times New Roman" w:hAnsi="Times New Roman" w:eastAsia="宋体" w:cs="Times New Roman"/>
      <w:b/>
      <w:bCs/>
      <w:color w:val="000000"/>
      <w:kern w:val="2"/>
      <w:sz w:val="24"/>
      <w:szCs w:val="28"/>
      <w:lang w:val="en-US" w:eastAsia="zh-CN" w:bidi="ar-SA"/>
    </w:rPr>
  </w:style>
  <w:style w:type="paragraph" w:customStyle="1" w:styleId="36">
    <w:name w:val="样式 样式 左 首行缩进:  2 字符 + 首行缩进:  2 字符"/>
    <w:basedOn w:val="1"/>
    <w:autoRedefine/>
    <w:qFormat/>
    <w:uiPriority w:val="0"/>
    <w:pPr>
      <w:adjustRightInd w:val="0"/>
      <w:snapToGrid w:val="0"/>
      <w:ind w:left="1134" w:firstLine="480"/>
      <w:jc w:val="left"/>
    </w:pPr>
    <w:rPr>
      <w:rFonts w:cs="宋体"/>
      <w:color w:val="000000"/>
      <w:szCs w:val="20"/>
    </w:rPr>
  </w:style>
  <w:style w:type="paragraph" w:customStyle="1" w:styleId="37">
    <w:name w:val="KD报告正文"/>
    <w:basedOn w:val="1"/>
    <w:autoRedefine/>
    <w:qFormat/>
    <w:uiPriority w:val="0"/>
    <w:pPr>
      <w:ind w:firstLine="0" w:firstLineChars="0"/>
    </w:pPr>
    <w:rPr>
      <w:kern w:val="0"/>
    </w:rPr>
  </w:style>
  <w:style w:type="character" w:customStyle="1" w:styleId="38">
    <w:name w:val="标题 2 Char"/>
    <w:link w:val="3"/>
    <w:autoRedefine/>
    <w:qFormat/>
    <w:uiPriority w:val="0"/>
    <w:rPr>
      <w:rFonts w:ascii="Arial" w:hAnsi="Arial" w:eastAsia="黑体"/>
      <w:b/>
      <w:sz w:val="32"/>
    </w:rPr>
  </w:style>
  <w:style w:type="character" w:customStyle="1" w:styleId="39">
    <w:name w:val="标题 4 Char"/>
    <w:link w:val="5"/>
    <w:qFormat/>
    <w:uiPriority w:val="0"/>
    <w:rPr>
      <w:rFonts w:ascii="Times New Roman" w:hAnsi="Times New Roman" w:eastAsia="黑体" w:cs="Times New Roman"/>
      <w:b/>
      <w:snapToGrid w:val="0"/>
      <w:color w:val="auto"/>
      <w:kern w:val="0"/>
      <w:sz w:val="28"/>
      <w:szCs w:val="28"/>
      <w:lang w:val="en-US" w:eastAsia="zh-CN" w:bidi="ar-SA"/>
    </w:rPr>
  </w:style>
  <w:style w:type="paragraph" w:customStyle="1" w:styleId="40">
    <w:name w:val="表格表头"/>
    <w:basedOn w:val="41"/>
    <w:autoRedefine/>
    <w:qFormat/>
    <w:uiPriority w:val="0"/>
    <w:pPr>
      <w:adjustRightInd w:val="0"/>
      <w:snapToGrid w:val="0"/>
      <w:spacing w:line="240" w:lineRule="auto"/>
      <w:jc w:val="center"/>
    </w:pPr>
    <w:rPr>
      <w:rFonts w:ascii="Times New Roman" w:hAnsi="Times New Roman" w:eastAsia="宋体"/>
      <w:b/>
      <w:sz w:val="24"/>
      <w:szCs w:val="24"/>
    </w:rPr>
  </w:style>
  <w:style w:type="paragraph" w:customStyle="1" w:styleId="41">
    <w:name w:val="p0"/>
    <w:basedOn w:val="1"/>
    <w:autoRedefine/>
    <w:qFormat/>
    <w:uiPriority w:val="99"/>
    <w:pPr>
      <w:widowControl/>
      <w:jc w:val="left"/>
    </w:pPr>
    <w:rPr>
      <w:kern w:val="0"/>
      <w:szCs w:val="21"/>
    </w:rPr>
  </w:style>
  <w:style w:type="paragraph" w:customStyle="1" w:styleId="42">
    <w:name w:val="表格内容"/>
    <w:basedOn w:val="1"/>
    <w:next w:val="1"/>
    <w:autoRedefine/>
    <w:qFormat/>
    <w:uiPriority w:val="0"/>
    <w:pPr>
      <w:widowControl/>
      <w:tabs>
        <w:tab w:val="left" w:pos="5327"/>
        <w:tab w:val="left" w:pos="6326"/>
        <w:tab w:val="left" w:pos="7230"/>
        <w:tab w:val="left" w:pos="9301"/>
      </w:tabs>
      <w:adjustRightInd/>
      <w:spacing w:line="240" w:lineRule="auto"/>
      <w:ind w:firstLine="0" w:firstLineChars="0"/>
      <w:jc w:val="center"/>
      <w:textAlignment w:val="baseline"/>
    </w:pPr>
    <w:rPr>
      <w:rFonts w:eastAsia="宋体"/>
      <w:kern w:val="0"/>
      <w:sz w:val="21"/>
    </w:rPr>
  </w:style>
  <w:style w:type="paragraph" w:customStyle="1" w:styleId="43">
    <w:name w:val="2-正文"/>
    <w:basedOn w:val="1"/>
    <w:link w:val="44"/>
    <w:autoRedefine/>
    <w:qFormat/>
    <w:uiPriority w:val="0"/>
    <w:pPr>
      <w:keepNext w:val="0"/>
      <w:keepLines w:val="0"/>
      <w:widowControl w:val="0"/>
      <w:suppressLineNumbers w:val="0"/>
      <w:spacing w:before="0" w:beforeAutospacing="0" w:after="0" w:afterAutospacing="0" w:line="480" w:lineRule="exact"/>
      <w:ind w:left="0" w:right="0" w:firstLine="480" w:firstLineChars="200"/>
      <w:jc w:val="both"/>
    </w:pPr>
  </w:style>
  <w:style w:type="character" w:customStyle="1" w:styleId="44">
    <w:name w:val="2-正文 Char"/>
    <w:link w:val="43"/>
    <w:autoRedefine/>
    <w:qFormat/>
    <w:locked/>
    <w:uiPriority w:val="0"/>
  </w:style>
  <w:style w:type="paragraph" w:customStyle="1" w:styleId="45">
    <w:name w:val="Table Paragraph"/>
    <w:basedOn w:val="1"/>
    <w:autoRedefine/>
    <w:qFormat/>
    <w:uiPriority w:val="0"/>
    <w:pPr>
      <w:keepNext w:val="0"/>
      <w:keepLines w:val="0"/>
      <w:widowControl/>
      <w:suppressLineNumbers w:val="0"/>
      <w:spacing w:before="0" w:beforeAutospacing="0" w:after="0" w:afterAutospacing="0"/>
      <w:ind w:left="0" w:right="0"/>
      <w:jc w:val="left"/>
    </w:pPr>
    <w:rPr>
      <w:rFonts w:hint="default" w:ascii="Calibri" w:hAnsi="Calibri" w:eastAsia="宋体" w:cs="宋体"/>
      <w:kern w:val="0"/>
      <w:sz w:val="22"/>
      <w:szCs w:val="22"/>
      <w:lang w:val="en-US" w:eastAsia="zh-CN" w:bidi="ar"/>
    </w:rPr>
  </w:style>
  <w:style w:type="paragraph" w:customStyle="1" w:styleId="46">
    <w:name w:val="Char11"/>
    <w:basedOn w:val="1"/>
    <w:autoRedefine/>
    <w:qFormat/>
    <w:uiPriority w:val="0"/>
    <w:rPr>
      <w:rFonts w:ascii="宋体" w:hAnsi="宋体"/>
      <w:szCs w:val="24"/>
    </w:rPr>
  </w:style>
  <w:style w:type="paragraph" w:customStyle="1" w:styleId="47">
    <w:name w:val="文本内容"/>
    <w:basedOn w:val="1"/>
    <w:autoRedefine/>
    <w:qFormat/>
    <w:uiPriority w:val="0"/>
    <w:pPr>
      <w:ind w:firstLine="200" w:firstLineChars="200"/>
    </w:pPr>
    <w:rPr>
      <w:kern w:val="0"/>
    </w:rPr>
  </w:style>
  <w:style w:type="paragraph" w:customStyle="1" w:styleId="48">
    <w:name w:val="SB表格文字"/>
    <w:basedOn w:val="1"/>
    <w:autoRedefine/>
    <w:qFormat/>
    <w:uiPriority w:val="0"/>
    <w:pPr>
      <w:spacing w:line="240" w:lineRule="exact"/>
      <w:ind w:firstLine="0" w:firstLineChars="0"/>
      <w:jc w:val="center"/>
    </w:pPr>
    <w:rPr>
      <w:rFonts w:ascii="Times New Roman" w:hAnsi="Times New Roman" w:cs="Times New Roman"/>
      <w:sz w:val="18"/>
    </w:rPr>
  </w:style>
  <w:style w:type="table" w:customStyle="1" w:styleId="49">
    <w:name w:val="L表格"/>
    <w:basedOn w:val="29"/>
    <w:autoRedefine/>
    <w:qFormat/>
    <w:uiPriority w:val="99"/>
    <w:pPr>
      <w:adjustRightInd w:val="0"/>
      <w:snapToGrid w:val="0"/>
      <w:jc w:val="center"/>
    </w:pPr>
    <w:tblPr>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
    <w:trPr>
      <w:jc w:val="center"/>
    </w:trPr>
    <w:tcPr>
      <w:vAlign w:val="center"/>
    </w:tcPr>
  </w:style>
  <w:style w:type="paragraph" w:styleId="50">
    <w:name w:val="No Spacing"/>
    <w:next w:val="1"/>
    <w:autoRedefine/>
    <w:qFormat/>
    <w:uiPriority w:val="1"/>
    <w:pPr>
      <w:widowControl w:val="0"/>
      <w:jc w:val="center"/>
    </w:pPr>
    <w:rPr>
      <w:rFonts w:ascii="Times New Roman" w:hAnsi="Times New Roman" w:eastAsia="宋体" w:cs="Times New Roman"/>
      <w:b/>
      <w:kern w:val="2"/>
      <w:sz w:val="21"/>
      <w:szCs w:val="22"/>
      <w:lang w:val="en-US" w:eastAsia="zh-CN" w:bidi="ar-SA"/>
    </w:rPr>
  </w:style>
  <w:style w:type="paragraph" w:customStyle="1" w:styleId="51">
    <w:name w:val="内容"/>
    <w:basedOn w:val="16"/>
    <w:autoRedefine/>
    <w:qFormat/>
    <w:uiPriority w:val="0"/>
    <w:pPr>
      <w:snapToGrid w:val="0"/>
      <w:spacing w:line="560" w:lineRule="exact"/>
      <w:ind w:firstLine="200" w:firstLineChars="200"/>
    </w:pPr>
    <w:rPr>
      <w:rFonts w:ascii="宋体" w:hAnsi="宋体" w:eastAsia="宋体" w:cs="Times New Roman"/>
      <w:kern w:val="2"/>
      <w:sz w:val="24"/>
      <w:lang w:val="en-US" w:eastAsia="zh-CN" w:bidi="ar-SA"/>
    </w:rPr>
  </w:style>
  <w:style w:type="paragraph" w:customStyle="1" w:styleId="52">
    <w:name w:val="正本文字"/>
    <w:basedOn w:val="1"/>
    <w:autoRedefine/>
    <w:qFormat/>
    <w:uiPriority w:val="0"/>
    <w:pPr>
      <w:adjustRightInd w:val="0"/>
      <w:snapToGrid w:val="0"/>
      <w:spacing w:line="360" w:lineRule="auto"/>
      <w:ind w:firstLine="200" w:firstLineChars="200"/>
      <w:jc w:val="left"/>
    </w:pPr>
    <w:rPr>
      <w:rFonts w:cs="宋体"/>
      <w:kern w:val="18"/>
      <w:sz w:val="24"/>
      <w:szCs w:val="20"/>
    </w:rPr>
  </w:style>
  <w:style w:type="paragraph" w:customStyle="1" w:styleId="53">
    <w:name w:val="图表标题 2"/>
    <w:basedOn w:val="1"/>
    <w:autoRedefine/>
    <w:qFormat/>
    <w:uiPriority w:val="0"/>
    <w:pPr>
      <w:ind w:firstLine="0" w:firstLineChars="0"/>
      <w:jc w:val="center"/>
    </w:pPr>
    <w:rPr>
      <w:b/>
      <w:color w:val="FF0000"/>
      <w:sz w:val="21"/>
    </w:rPr>
  </w:style>
  <w:style w:type="paragraph" w:customStyle="1" w:styleId="54">
    <w:name w:val="+正文"/>
    <w:basedOn w:val="1"/>
    <w:autoRedefine/>
    <w:qFormat/>
    <w:uiPriority w:val="0"/>
    <w:pPr>
      <w:spacing w:line="360" w:lineRule="auto"/>
      <w:ind w:firstLine="200" w:firstLineChars="200"/>
    </w:pPr>
    <w:rPr>
      <w:sz w:val="24"/>
      <w:szCs w:val="28"/>
    </w:rPr>
  </w:style>
  <w:style w:type="character" w:customStyle="1" w:styleId="55">
    <w:name w:val="标题 1 Char"/>
    <w:link w:val="2"/>
    <w:autoRedefine/>
    <w:qFormat/>
    <w:uiPriority w:val="0"/>
    <w:rPr>
      <w:rFonts w:ascii="Times New Roman" w:hAnsi="Times New Roman" w:eastAsia="黑体"/>
      <w:b/>
      <w:kern w:val="44"/>
      <w:sz w:val="44"/>
    </w:rPr>
  </w:style>
  <w:style w:type="paragraph" w:customStyle="1" w:styleId="56">
    <w:name w:val="Table Text"/>
    <w:basedOn w:val="1"/>
    <w:autoRedefine/>
    <w:semiHidden/>
    <w:qFormat/>
    <w:uiPriority w:val="0"/>
    <w:rPr>
      <w:rFonts w:ascii="宋体" w:hAnsi="宋体" w:eastAsia="宋体" w:cs="宋体"/>
      <w:sz w:val="21"/>
      <w:szCs w:val="21"/>
      <w:lang w:val="en-US" w:eastAsia="en-US" w:bidi="ar-SA"/>
    </w:rPr>
  </w:style>
  <w:style w:type="table" w:customStyle="1" w:styleId="57">
    <w:name w:val="Table Normal"/>
    <w:basedOn w:val="29"/>
    <w:autoRedefine/>
    <w:semiHidden/>
    <w:unhideWhenUsed/>
    <w:qFormat/>
    <w:uiPriority w:val="0"/>
    <w:tblPr>
      <w:tblCellMar>
        <w:top w:w="0" w:type="dxa"/>
        <w:left w:w="0" w:type="dxa"/>
        <w:bottom w:w="0" w:type="dxa"/>
        <w:right w:w="0" w:type="dxa"/>
      </w:tblCellMar>
    </w:tblPr>
  </w:style>
  <w:style w:type="paragraph" w:customStyle="1" w:styleId="58">
    <w:name w:val="表格1"/>
    <w:basedOn w:val="1"/>
    <w:autoRedefine/>
    <w:qFormat/>
    <w:uiPriority w:val="0"/>
    <w:pPr>
      <w:spacing w:line="240" w:lineRule="auto"/>
      <w:ind w:firstLine="0" w:firstLineChars="0"/>
      <w:jc w:val="center"/>
    </w:pPr>
    <w:rPr>
      <w:kern w:val="0"/>
      <w:sz w:val="21"/>
      <w:szCs w:val="21"/>
    </w:rPr>
  </w:style>
  <w:style w:type="character" w:customStyle="1" w:styleId="59">
    <w:name w:val="Intense Emphasis"/>
    <w:basedOn w:val="31"/>
    <w:autoRedefine/>
    <w:qFormat/>
    <w:uiPriority w:val="21"/>
    <w:rPr>
      <w:b/>
      <w:bCs/>
      <w:i/>
      <w:iCs/>
      <w:color w:val="4F81BD" w:themeColor="accent1"/>
      <w14:textFill>
        <w14:solidFill>
          <w14:schemeClr w14:val="accent1"/>
        </w14:solidFill>
      </w14:textFill>
    </w:rPr>
  </w:style>
  <w:style w:type="character" w:customStyle="1" w:styleId="60">
    <w:name w:val="标题 3 Char"/>
    <w:link w:val="4"/>
    <w:autoRedefine/>
    <w:qFormat/>
    <w:uiPriority w:val="0"/>
    <w:rPr>
      <w:rFonts w:ascii="Times New Roman" w:hAnsi="Times New Roman" w:eastAsia="黑体"/>
      <w:b/>
      <w:sz w:val="28"/>
    </w:rPr>
  </w:style>
  <w:style w:type="character" w:customStyle="1" w:styleId="61">
    <w:name w:val="NormalCharacter"/>
    <w:link w:val="1"/>
    <w:autoRedefine/>
    <w:semiHidden/>
    <w:qFormat/>
    <w:uiPriority w:val="0"/>
    <w:rPr>
      <w:rFonts w:ascii="Times New Roman" w:hAnsi="Times New Roman" w:eastAsia="宋体" w:cs="Times New Roman"/>
      <w:kern w:val="2"/>
      <w:sz w:val="24"/>
      <w:szCs w:val="21"/>
      <w:lang w:val="en-US" w:eastAsia="zh-CN" w:bidi="ar-SA"/>
    </w:rPr>
  </w:style>
  <w:style w:type="paragraph" w:customStyle="1" w:styleId="62">
    <w:name w:val="Body text (2)"/>
    <w:basedOn w:val="1"/>
    <w:link w:val="64"/>
    <w:autoRedefine/>
    <w:unhideWhenUsed/>
    <w:qFormat/>
    <w:uiPriority w:val="99"/>
    <w:pPr>
      <w:shd w:val="clear" w:color="auto" w:fill="FFFFFF"/>
      <w:spacing w:before="180" w:beforeLines="0" w:after="60" w:afterLines="0" w:line="470" w:lineRule="exact"/>
      <w:ind w:hanging="160"/>
    </w:pPr>
    <w:rPr>
      <w:rFonts w:hint="eastAsia" w:ascii="宋体" w:hAnsi="宋体" w:eastAsia="宋体"/>
      <w:sz w:val="22"/>
      <w:szCs w:val="22"/>
    </w:rPr>
  </w:style>
  <w:style w:type="character" w:customStyle="1" w:styleId="63">
    <w:name w:val="Body text (2) + 10 pt"/>
    <w:basedOn w:val="64"/>
    <w:autoRedefine/>
    <w:unhideWhenUsed/>
    <w:qFormat/>
    <w:uiPriority w:val="99"/>
    <w:rPr>
      <w:rFonts w:hint="eastAsia"/>
      <w:sz w:val="20"/>
      <w:szCs w:val="20"/>
    </w:rPr>
  </w:style>
  <w:style w:type="character" w:customStyle="1" w:styleId="64">
    <w:name w:val="Body text (2)_"/>
    <w:basedOn w:val="31"/>
    <w:link w:val="62"/>
    <w:autoRedefine/>
    <w:unhideWhenUsed/>
    <w:qFormat/>
    <w:uiPriority w:val="99"/>
    <w:rPr>
      <w:rFonts w:hint="eastAsia" w:ascii="宋体" w:hAnsi="宋体" w:eastAsia="宋体"/>
      <w:sz w:val="22"/>
      <w:szCs w:val="22"/>
    </w:rPr>
  </w:style>
  <w:style w:type="character" w:customStyle="1" w:styleId="65">
    <w:name w:val="Body text (2) + Georgia"/>
    <w:basedOn w:val="64"/>
    <w:autoRedefine/>
    <w:unhideWhenUsed/>
    <w:qFormat/>
    <w:uiPriority w:val="99"/>
    <w:rPr>
      <w:rFonts w:hint="default" w:ascii="Georgia" w:hAnsi="Georgia" w:eastAsia="Georgia"/>
      <w:sz w:val="22"/>
      <w:szCs w:val="22"/>
      <w:lang w:val="en-US" w:eastAsia="en-US"/>
    </w:rPr>
  </w:style>
  <w:style w:type="character" w:customStyle="1" w:styleId="66">
    <w:name w:val="Heading #4 (2)_"/>
    <w:basedOn w:val="31"/>
    <w:link w:val="67"/>
    <w:autoRedefine/>
    <w:unhideWhenUsed/>
    <w:qFormat/>
    <w:uiPriority w:val="99"/>
    <w:rPr>
      <w:rFonts w:hint="eastAsia" w:ascii="宋体" w:hAnsi="宋体" w:eastAsia="宋体"/>
      <w:sz w:val="22"/>
      <w:szCs w:val="22"/>
    </w:rPr>
  </w:style>
  <w:style w:type="paragraph" w:customStyle="1" w:styleId="67">
    <w:name w:val="Heading #4 (2)"/>
    <w:basedOn w:val="1"/>
    <w:link w:val="66"/>
    <w:autoRedefine/>
    <w:unhideWhenUsed/>
    <w:qFormat/>
    <w:uiPriority w:val="99"/>
    <w:pPr>
      <w:shd w:val="clear" w:color="auto" w:fill="FFFFFF"/>
      <w:spacing w:beforeLines="0" w:afterLines="0" w:line="490" w:lineRule="exact"/>
      <w:jc w:val="both"/>
      <w:outlineLvl w:val="3"/>
    </w:pPr>
    <w:rPr>
      <w:rFonts w:hint="eastAsia" w:ascii="宋体" w:hAnsi="宋体" w:eastAsia="宋体"/>
      <w:sz w:val="22"/>
      <w:szCs w:val="22"/>
    </w:rPr>
  </w:style>
  <w:style w:type="character" w:customStyle="1" w:styleId="68">
    <w:name w:val="Body text (2) + Spacing -1 pt"/>
    <w:basedOn w:val="64"/>
    <w:autoRedefine/>
    <w:unhideWhenUsed/>
    <w:qFormat/>
    <w:uiPriority w:val="99"/>
    <w:rPr>
      <w:rFonts w:hint="default" w:ascii="宋体" w:hAnsi="宋体" w:eastAsia="宋体"/>
      <w:spacing w:val="-30"/>
      <w:sz w:val="22"/>
      <w:szCs w:val="22"/>
      <w:lang w:val="en-US" w:eastAsia="en-US"/>
    </w:rPr>
  </w:style>
  <w:style w:type="character" w:customStyle="1" w:styleId="69">
    <w:name w:val="font11"/>
    <w:basedOn w:val="31"/>
    <w:autoRedefine/>
    <w:qFormat/>
    <w:uiPriority w:val="0"/>
    <w:rPr>
      <w:rFonts w:hint="eastAsia" w:ascii="宋体" w:hAnsi="宋体" w:eastAsia="宋体" w:cs="宋体"/>
      <w:color w:val="000000"/>
      <w:sz w:val="21"/>
      <w:szCs w:val="21"/>
      <w:u w:val="none"/>
    </w:rPr>
  </w:style>
  <w:style w:type="character" w:customStyle="1" w:styleId="70">
    <w:name w:val="font21"/>
    <w:basedOn w:val="31"/>
    <w:autoRedefine/>
    <w:qFormat/>
    <w:uiPriority w:val="0"/>
    <w:rPr>
      <w:rFonts w:hint="default" w:ascii="Times New Roman" w:hAnsi="Times New Roman" w:cs="Times New Roman"/>
      <w:color w:val="000000"/>
      <w:sz w:val="21"/>
      <w:szCs w:val="21"/>
      <w:u w:val="none"/>
    </w:rPr>
  </w:style>
  <w:style w:type="character" w:customStyle="1" w:styleId="71">
    <w:name w:val="Table caption (2)_"/>
    <w:basedOn w:val="31"/>
    <w:link w:val="72"/>
    <w:autoRedefine/>
    <w:unhideWhenUsed/>
    <w:qFormat/>
    <w:uiPriority w:val="99"/>
    <w:rPr>
      <w:rFonts w:hint="eastAsia" w:ascii="宋体" w:hAnsi="宋体" w:eastAsia="宋体"/>
      <w:sz w:val="22"/>
      <w:szCs w:val="22"/>
    </w:rPr>
  </w:style>
  <w:style w:type="paragraph" w:customStyle="1" w:styleId="72">
    <w:name w:val="Table caption (2)"/>
    <w:basedOn w:val="1"/>
    <w:link w:val="71"/>
    <w:autoRedefine/>
    <w:unhideWhenUsed/>
    <w:qFormat/>
    <w:uiPriority w:val="99"/>
    <w:pPr>
      <w:shd w:val="clear" w:color="auto" w:fill="FFFFFF"/>
      <w:spacing w:beforeLines="0" w:afterLines="0" w:line="240" w:lineRule="atLeast"/>
    </w:pPr>
    <w:rPr>
      <w:rFonts w:hint="eastAsia" w:ascii="宋体" w:hAnsi="宋体" w:eastAsia="宋体"/>
      <w:sz w:val="22"/>
      <w:szCs w:val="22"/>
    </w:rPr>
  </w:style>
  <w:style w:type="character" w:customStyle="1" w:styleId="73">
    <w:name w:val="Table caption (2) + Georgia"/>
    <w:basedOn w:val="71"/>
    <w:autoRedefine/>
    <w:unhideWhenUsed/>
    <w:qFormat/>
    <w:uiPriority w:val="99"/>
    <w:rPr>
      <w:rFonts w:hint="default" w:ascii="Georgia" w:hAnsi="Georgia" w:eastAsia="Georgia"/>
      <w:sz w:val="22"/>
      <w:szCs w:val="22"/>
      <w:lang w:val="en-US" w:eastAsia="en-US"/>
    </w:rPr>
  </w:style>
  <w:style w:type="character" w:customStyle="1" w:styleId="74">
    <w:name w:val="Body text (2) + Times New Roman"/>
    <w:basedOn w:val="64"/>
    <w:autoRedefine/>
    <w:unhideWhenUsed/>
    <w:qFormat/>
    <w:uiPriority w:val="99"/>
    <w:rPr>
      <w:rFonts w:hint="eastAsia" w:ascii="Times New Roman" w:hAnsi="Times New Roman" w:eastAsia="Times New Roman"/>
      <w:b/>
      <w:sz w:val="21"/>
      <w:szCs w:val="21"/>
      <w:lang w:val="en-US" w:eastAsia="en-US"/>
    </w:rPr>
  </w:style>
  <w:style w:type="character" w:customStyle="1" w:styleId="75">
    <w:name w:val="Body text (2) + Impact"/>
    <w:basedOn w:val="64"/>
    <w:autoRedefine/>
    <w:unhideWhenUsed/>
    <w:qFormat/>
    <w:uiPriority w:val="99"/>
    <w:rPr>
      <w:rFonts w:hint="eastAsia" w:ascii="Impact" w:hAnsi="Impact" w:eastAsia="Impact"/>
      <w:sz w:val="18"/>
      <w:szCs w:val="18"/>
    </w:rPr>
  </w:style>
  <w:style w:type="paragraph" w:customStyle="1" w:styleId="76">
    <w:name w:val="Body text (8)"/>
    <w:basedOn w:val="1"/>
    <w:link w:val="78"/>
    <w:unhideWhenUsed/>
    <w:qFormat/>
    <w:uiPriority w:val="99"/>
    <w:pPr>
      <w:shd w:val="clear" w:color="auto" w:fill="FFFFFF"/>
      <w:spacing w:before="240" w:beforeLines="0" w:afterLines="0" w:line="240" w:lineRule="atLeast"/>
      <w:jc w:val="center"/>
    </w:pPr>
    <w:rPr>
      <w:rFonts w:hint="eastAsia" w:ascii="宋体" w:hAnsi="宋体" w:eastAsia="宋体"/>
      <w:b/>
      <w:sz w:val="21"/>
      <w:szCs w:val="21"/>
    </w:rPr>
  </w:style>
  <w:style w:type="character" w:customStyle="1" w:styleId="77">
    <w:name w:val="Body text (8) + Spacing 0 pt"/>
    <w:basedOn w:val="78"/>
    <w:unhideWhenUsed/>
    <w:qFormat/>
    <w:uiPriority w:val="99"/>
    <w:rPr>
      <w:rFonts w:hint="eastAsia"/>
      <w:spacing w:val="-10"/>
      <w:sz w:val="21"/>
      <w:szCs w:val="21"/>
    </w:rPr>
  </w:style>
  <w:style w:type="character" w:customStyle="1" w:styleId="78">
    <w:name w:val="Body text (8)_"/>
    <w:basedOn w:val="31"/>
    <w:link w:val="76"/>
    <w:unhideWhenUsed/>
    <w:qFormat/>
    <w:uiPriority w:val="99"/>
    <w:rPr>
      <w:rFonts w:hint="eastAsia" w:ascii="宋体" w:hAnsi="宋体" w:eastAsia="宋体"/>
      <w:b/>
      <w:sz w:val="21"/>
      <w:szCs w:val="21"/>
    </w:rPr>
  </w:style>
  <w:style w:type="character" w:customStyle="1" w:styleId="79">
    <w:name w:val="font01"/>
    <w:basedOn w:val="31"/>
    <w:qFormat/>
    <w:uiPriority w:val="0"/>
    <w:rPr>
      <w:rFonts w:hint="default" w:ascii="Times New Roman" w:hAnsi="Times New Roman" w:cs="Times New Roman"/>
      <w:b/>
      <w:bCs/>
      <w:color w:val="000000"/>
      <w:sz w:val="21"/>
      <w:szCs w:val="21"/>
      <w:u w:val="none"/>
    </w:rPr>
  </w:style>
  <w:style w:type="character" w:customStyle="1" w:styleId="80">
    <w:name w:val="font41"/>
    <w:basedOn w:val="31"/>
    <w:qFormat/>
    <w:uiPriority w:val="0"/>
    <w:rPr>
      <w:rFonts w:hint="eastAsia" w:ascii="宋体" w:hAnsi="宋体" w:eastAsia="宋体" w:cs="宋体"/>
      <w:color w:val="000000"/>
      <w:sz w:val="21"/>
      <w:szCs w:val="21"/>
      <w:u w:val="none"/>
    </w:rPr>
  </w:style>
  <w:style w:type="character" w:customStyle="1" w:styleId="81">
    <w:name w:val="font61"/>
    <w:basedOn w:val="31"/>
    <w:qFormat/>
    <w:uiPriority w:val="0"/>
    <w:rPr>
      <w:rFonts w:hint="eastAsia" w:ascii="宋体" w:hAnsi="宋体" w:eastAsia="宋体" w:cs="宋体"/>
      <w:color w:val="FF0000"/>
      <w:sz w:val="21"/>
      <w:szCs w:val="21"/>
      <w:u w:val="none"/>
    </w:rPr>
  </w:style>
  <w:style w:type="character" w:customStyle="1" w:styleId="82">
    <w:name w:val="font71"/>
    <w:basedOn w:val="31"/>
    <w:autoRedefine/>
    <w:qFormat/>
    <w:uiPriority w:val="0"/>
    <w:rPr>
      <w:rFonts w:hint="default" w:ascii="Times New Roman" w:hAnsi="Times New Roman" w:cs="Times New Roman"/>
      <w:color w:val="000000"/>
      <w:sz w:val="21"/>
      <w:szCs w:val="21"/>
      <w:u w:val="none"/>
    </w:rPr>
  </w:style>
  <w:style w:type="character" w:customStyle="1" w:styleId="83">
    <w:name w:val="Body text (8) + Times New Roman"/>
    <w:basedOn w:val="78"/>
    <w:unhideWhenUsed/>
    <w:qFormat/>
    <w:uiPriority w:val="99"/>
    <w:rPr>
      <w:rFonts w:hint="eastAsia" w:ascii="Times New Roman" w:hAnsi="Times New Roman" w:eastAsia="Times New Roman"/>
      <w:sz w:val="21"/>
      <w:szCs w:val="21"/>
      <w:lang w:val="en-US" w:eastAsia="en-US"/>
    </w:rPr>
  </w:style>
  <w:style w:type="character" w:customStyle="1" w:styleId="84">
    <w:name w:val="Body text (8) + 11.5 pt"/>
    <w:basedOn w:val="78"/>
    <w:unhideWhenUsed/>
    <w:qFormat/>
    <w:uiPriority w:val="99"/>
    <w:rPr>
      <w:rFonts w:hint="eastAsia"/>
      <w:b w:val="0"/>
      <w:i/>
      <w:sz w:val="23"/>
      <w:szCs w:val="23"/>
    </w:rPr>
  </w:style>
  <w:style w:type="paragraph" w:customStyle="1" w:styleId="85">
    <w:name w:val="Body text (14)"/>
    <w:basedOn w:val="1"/>
    <w:link w:val="87"/>
    <w:unhideWhenUsed/>
    <w:qFormat/>
    <w:uiPriority w:val="99"/>
    <w:pPr>
      <w:shd w:val="clear" w:color="auto" w:fill="FFFFFF"/>
      <w:spacing w:beforeLines="0" w:after="660" w:afterLines="0" w:line="240" w:lineRule="atLeast"/>
    </w:pPr>
    <w:rPr>
      <w:rFonts w:hint="default" w:ascii="Georgia" w:hAnsi="Georgia" w:eastAsia="Georgia"/>
      <w:i/>
      <w:spacing w:val="20"/>
      <w:sz w:val="22"/>
      <w:szCs w:val="22"/>
      <w:lang w:val="en-US" w:eastAsia="en-US"/>
    </w:rPr>
  </w:style>
  <w:style w:type="character" w:customStyle="1" w:styleId="86">
    <w:name w:val="Body text (14) + SimSun"/>
    <w:basedOn w:val="87"/>
    <w:unhideWhenUsed/>
    <w:qFormat/>
    <w:uiPriority w:val="99"/>
    <w:rPr>
      <w:rFonts w:hint="eastAsia" w:ascii="宋体" w:hAnsi="宋体" w:eastAsia="宋体"/>
      <w:i w:val="0"/>
      <w:spacing w:val="0"/>
      <w:sz w:val="22"/>
      <w:szCs w:val="22"/>
    </w:rPr>
  </w:style>
  <w:style w:type="character" w:customStyle="1" w:styleId="87">
    <w:name w:val="Body text (14)_"/>
    <w:basedOn w:val="31"/>
    <w:link w:val="85"/>
    <w:unhideWhenUsed/>
    <w:qFormat/>
    <w:uiPriority w:val="99"/>
    <w:rPr>
      <w:rFonts w:hint="default" w:ascii="Georgia" w:hAnsi="Georgia" w:eastAsia="Georgia"/>
      <w:i/>
      <w:spacing w:val="20"/>
      <w:sz w:val="22"/>
      <w:szCs w:val="22"/>
      <w:lang w:val="en-US" w:eastAsia="en-US"/>
    </w:rPr>
  </w:style>
  <w:style w:type="character" w:customStyle="1" w:styleId="88">
    <w:name w:val="Body text (8) + 11 pt"/>
    <w:basedOn w:val="78"/>
    <w:unhideWhenUsed/>
    <w:qFormat/>
    <w:uiPriority w:val="99"/>
    <w:rPr>
      <w:rFonts w:hint="eastAsia"/>
      <w:b w:val="0"/>
      <w:sz w:val="22"/>
      <w:szCs w:val="22"/>
    </w:rPr>
  </w:style>
  <w:style w:type="character" w:customStyle="1" w:styleId="89">
    <w:name w:val="Body text (21) + SimSun"/>
    <w:basedOn w:val="90"/>
    <w:unhideWhenUsed/>
    <w:qFormat/>
    <w:uiPriority w:val="99"/>
    <w:rPr>
      <w:rFonts w:hint="default" w:ascii="宋体" w:hAnsi="宋体" w:eastAsia="宋体"/>
      <w:sz w:val="21"/>
      <w:szCs w:val="21"/>
    </w:rPr>
  </w:style>
  <w:style w:type="character" w:customStyle="1" w:styleId="90">
    <w:name w:val="Body text (21)_"/>
    <w:basedOn w:val="31"/>
    <w:link w:val="91"/>
    <w:unhideWhenUsed/>
    <w:qFormat/>
    <w:uiPriority w:val="99"/>
    <w:rPr>
      <w:rFonts w:hint="eastAsia" w:ascii="Times New Roman" w:hAnsi="Times New Roman" w:eastAsia="Times New Roman"/>
      <w:b/>
      <w:sz w:val="21"/>
      <w:szCs w:val="21"/>
      <w:lang w:val="en-US" w:eastAsia="en-US"/>
    </w:rPr>
  </w:style>
  <w:style w:type="paragraph" w:customStyle="1" w:styleId="91">
    <w:name w:val="Body text (21)"/>
    <w:basedOn w:val="1"/>
    <w:link w:val="90"/>
    <w:unhideWhenUsed/>
    <w:qFormat/>
    <w:uiPriority w:val="99"/>
    <w:pPr>
      <w:shd w:val="clear" w:color="auto" w:fill="FFFFFF"/>
      <w:spacing w:beforeLines="0" w:afterLines="0" w:line="490" w:lineRule="exact"/>
      <w:jc w:val="both"/>
    </w:pPr>
    <w:rPr>
      <w:rFonts w:hint="eastAsia" w:ascii="Times New Roman" w:hAnsi="Times New Roman" w:eastAsia="Times New Roman"/>
      <w:b/>
      <w:sz w:val="21"/>
      <w:szCs w:val="21"/>
      <w:lang w:val="en-US" w:eastAsia="en-US"/>
    </w:rPr>
  </w:style>
  <w:style w:type="character" w:customStyle="1" w:styleId="92">
    <w:name w:val="Table caption_"/>
    <w:basedOn w:val="31"/>
    <w:link w:val="93"/>
    <w:unhideWhenUsed/>
    <w:qFormat/>
    <w:uiPriority w:val="99"/>
    <w:rPr>
      <w:rFonts w:hint="eastAsia" w:ascii="宋体" w:hAnsi="宋体" w:eastAsia="宋体"/>
      <w:b/>
      <w:sz w:val="21"/>
      <w:szCs w:val="21"/>
    </w:rPr>
  </w:style>
  <w:style w:type="paragraph" w:customStyle="1" w:styleId="93">
    <w:name w:val="Table caption"/>
    <w:basedOn w:val="1"/>
    <w:link w:val="92"/>
    <w:unhideWhenUsed/>
    <w:qFormat/>
    <w:uiPriority w:val="99"/>
    <w:pPr>
      <w:shd w:val="clear" w:color="auto" w:fill="FFFFFF"/>
      <w:spacing w:beforeLines="0" w:afterLines="0" w:line="240" w:lineRule="atLeast"/>
    </w:pPr>
    <w:rPr>
      <w:rFonts w:hint="eastAsia" w:ascii="宋体" w:hAnsi="宋体" w:eastAsia="宋体"/>
      <w:b/>
      <w:sz w:val="21"/>
      <w:szCs w:val="21"/>
    </w:rPr>
  </w:style>
  <w:style w:type="character" w:customStyle="1" w:styleId="94">
    <w:name w:val="Body text (2) + 10.5 pt"/>
    <w:basedOn w:val="64"/>
    <w:unhideWhenUsed/>
    <w:qFormat/>
    <w:uiPriority w:val="99"/>
    <w:rPr>
      <w:rFonts w:hint="default" w:ascii="宋体" w:hAnsi="宋体" w:eastAsia="宋体"/>
      <w:b/>
      <w:spacing w:val="-10"/>
      <w:sz w:val="21"/>
      <w:szCs w:val="21"/>
      <w:lang w:val="en-US" w:eastAsia="en-US"/>
    </w:rPr>
  </w:style>
  <w:style w:type="character" w:customStyle="1" w:styleId="95">
    <w:name w:val="Table caption (6)_"/>
    <w:basedOn w:val="31"/>
    <w:link w:val="96"/>
    <w:unhideWhenUsed/>
    <w:qFormat/>
    <w:uiPriority w:val="99"/>
    <w:rPr>
      <w:rFonts w:hint="eastAsia" w:ascii="宋体" w:hAnsi="宋体" w:eastAsia="宋体"/>
      <w:sz w:val="17"/>
      <w:szCs w:val="17"/>
    </w:rPr>
  </w:style>
  <w:style w:type="paragraph" w:customStyle="1" w:styleId="96">
    <w:name w:val="Table caption (6)"/>
    <w:basedOn w:val="1"/>
    <w:link w:val="95"/>
    <w:unhideWhenUsed/>
    <w:qFormat/>
    <w:uiPriority w:val="99"/>
    <w:pPr>
      <w:shd w:val="clear" w:color="auto" w:fill="FFFFFF"/>
      <w:spacing w:beforeLines="0" w:afterLines="0" w:line="240" w:lineRule="atLeast"/>
    </w:pPr>
    <w:rPr>
      <w:rFonts w:hint="eastAsia" w:ascii="宋体" w:hAnsi="宋体" w:eastAsia="宋体"/>
      <w:sz w:val="17"/>
      <w:szCs w:val="17"/>
    </w:rPr>
  </w:style>
  <w:style w:type="character" w:customStyle="1" w:styleId="97">
    <w:name w:val="Body text (9) + SimSun"/>
    <w:basedOn w:val="98"/>
    <w:unhideWhenUsed/>
    <w:qFormat/>
    <w:uiPriority w:val="99"/>
    <w:rPr>
      <w:rFonts w:hint="eastAsia" w:ascii="宋体" w:hAnsi="宋体" w:eastAsia="宋体"/>
      <w:spacing w:val="-20"/>
      <w:sz w:val="22"/>
      <w:szCs w:val="22"/>
    </w:rPr>
  </w:style>
  <w:style w:type="character" w:customStyle="1" w:styleId="98">
    <w:name w:val="Body text (9)_"/>
    <w:basedOn w:val="31"/>
    <w:link w:val="99"/>
    <w:unhideWhenUsed/>
    <w:qFormat/>
    <w:uiPriority w:val="99"/>
    <w:rPr>
      <w:rFonts w:hint="default" w:ascii="Georgia" w:hAnsi="Georgia" w:eastAsia="Georgia"/>
      <w:sz w:val="22"/>
      <w:szCs w:val="22"/>
      <w:lang w:val="en-US" w:eastAsia="en-US"/>
    </w:rPr>
  </w:style>
  <w:style w:type="paragraph" w:customStyle="1" w:styleId="99">
    <w:name w:val="Body text (9)"/>
    <w:basedOn w:val="1"/>
    <w:link w:val="98"/>
    <w:unhideWhenUsed/>
    <w:qFormat/>
    <w:uiPriority w:val="99"/>
    <w:pPr>
      <w:shd w:val="clear" w:color="auto" w:fill="FFFFFF"/>
      <w:spacing w:before="660" w:beforeLines="0" w:after="900" w:afterLines="0" w:line="240" w:lineRule="atLeast"/>
    </w:pPr>
    <w:rPr>
      <w:rFonts w:hint="default" w:ascii="Georgia" w:hAnsi="Georgia" w:eastAsia="Georgia"/>
      <w:sz w:val="22"/>
      <w:szCs w:val="22"/>
      <w:lang w:val="en-US" w:eastAsia="en-US"/>
    </w:rPr>
  </w:style>
  <w:style w:type="character" w:customStyle="1" w:styleId="100">
    <w:name w:val="Body text (8) + Georgia"/>
    <w:basedOn w:val="78"/>
    <w:unhideWhenUsed/>
    <w:qFormat/>
    <w:uiPriority w:val="99"/>
    <w:rPr>
      <w:rFonts w:hint="default" w:ascii="Georgia" w:hAnsi="Georgia" w:eastAsia="Georgia"/>
      <w:b w:val="0"/>
      <w:i/>
      <w:sz w:val="22"/>
      <w:szCs w:val="22"/>
      <w:lang w:val="en-US" w:eastAsia="en-US"/>
    </w:rPr>
  </w:style>
  <w:style w:type="character" w:customStyle="1" w:styleId="101">
    <w:name w:val="Body text (8) + 12 pt"/>
    <w:basedOn w:val="78"/>
    <w:unhideWhenUsed/>
    <w:qFormat/>
    <w:uiPriority w:val="99"/>
    <w:rPr>
      <w:rFonts w:hint="eastAsia"/>
      <w:b w:val="0"/>
      <w:sz w:val="24"/>
      <w:szCs w:val="24"/>
    </w:rPr>
  </w:style>
  <w:style w:type="character" w:customStyle="1" w:styleId="102">
    <w:name w:val="Table caption (6) + Times New Roman"/>
    <w:basedOn w:val="95"/>
    <w:unhideWhenUsed/>
    <w:qFormat/>
    <w:uiPriority w:val="99"/>
    <w:rPr>
      <w:rFonts w:hint="eastAsia" w:ascii="Times New Roman" w:hAnsi="Times New Roman" w:eastAsia="Times New Roman"/>
      <w:sz w:val="17"/>
      <w:szCs w:val="17"/>
      <w:lang w:val="en-US" w:eastAsia="en-US"/>
    </w:rPr>
  </w:style>
  <w:style w:type="paragraph" w:customStyle="1" w:styleId="103">
    <w:name w:val="Heading #4 (3)"/>
    <w:basedOn w:val="1"/>
    <w:link w:val="105"/>
    <w:unhideWhenUsed/>
    <w:qFormat/>
    <w:uiPriority w:val="99"/>
    <w:pPr>
      <w:shd w:val="clear" w:color="auto" w:fill="FFFFFF"/>
      <w:spacing w:beforeLines="0" w:afterLines="0" w:line="485" w:lineRule="exact"/>
      <w:ind w:firstLine="600"/>
      <w:outlineLvl w:val="3"/>
    </w:pPr>
    <w:rPr>
      <w:rFonts w:hint="default" w:ascii="Georgia" w:hAnsi="Georgia" w:eastAsia="Georgia"/>
      <w:sz w:val="22"/>
      <w:szCs w:val="22"/>
      <w:lang w:val="en-US" w:eastAsia="en-US"/>
    </w:rPr>
  </w:style>
  <w:style w:type="character" w:customStyle="1" w:styleId="104">
    <w:name w:val="Heading #4 (3) + SimSun"/>
    <w:basedOn w:val="105"/>
    <w:unhideWhenUsed/>
    <w:qFormat/>
    <w:uiPriority w:val="99"/>
    <w:rPr>
      <w:rFonts w:hint="eastAsia" w:ascii="宋体" w:hAnsi="宋体" w:eastAsia="宋体"/>
      <w:sz w:val="22"/>
      <w:szCs w:val="22"/>
    </w:rPr>
  </w:style>
  <w:style w:type="character" w:customStyle="1" w:styleId="105">
    <w:name w:val="Heading #4 (3)_"/>
    <w:basedOn w:val="31"/>
    <w:link w:val="103"/>
    <w:unhideWhenUsed/>
    <w:qFormat/>
    <w:uiPriority w:val="99"/>
    <w:rPr>
      <w:rFonts w:hint="default" w:ascii="Georgia" w:hAnsi="Georgia" w:eastAsia="Georgia"/>
      <w:sz w:val="22"/>
      <w:szCs w:val="22"/>
      <w:lang w:val="en-US" w:eastAsia="en-US"/>
    </w:rPr>
  </w:style>
  <w:style w:type="paragraph" w:customStyle="1" w:styleId="106">
    <w:name w:val="Body text (22)"/>
    <w:basedOn w:val="1"/>
    <w:link w:val="107"/>
    <w:unhideWhenUsed/>
    <w:qFormat/>
    <w:uiPriority w:val="99"/>
    <w:pPr>
      <w:shd w:val="clear" w:color="auto" w:fill="FFFFFF"/>
      <w:spacing w:beforeLines="0" w:after="300" w:afterLines="0" w:line="240" w:lineRule="atLeast"/>
      <w:jc w:val="distribute"/>
    </w:pPr>
    <w:rPr>
      <w:rFonts w:hint="eastAsia" w:ascii="宋体" w:hAnsi="宋体" w:eastAsia="宋体"/>
      <w:sz w:val="20"/>
      <w:szCs w:val="20"/>
    </w:rPr>
  </w:style>
  <w:style w:type="character" w:customStyle="1" w:styleId="107">
    <w:name w:val="Body text (22)_"/>
    <w:basedOn w:val="31"/>
    <w:link w:val="106"/>
    <w:unhideWhenUsed/>
    <w:qFormat/>
    <w:uiPriority w:val="99"/>
    <w:rPr>
      <w:rFonts w:hint="eastAsia" w:ascii="宋体" w:hAnsi="宋体" w:eastAsia="宋体"/>
      <w:sz w:val="20"/>
      <w:szCs w:val="20"/>
    </w:rPr>
  </w:style>
  <w:style w:type="character" w:customStyle="1" w:styleId="108">
    <w:name w:val="Body text (22) + 10.5 pt"/>
    <w:basedOn w:val="107"/>
    <w:unhideWhenUsed/>
    <w:qFormat/>
    <w:uiPriority w:val="99"/>
    <w:rPr>
      <w:rFonts w:hint="default" w:ascii="宋体" w:hAnsi="宋体" w:eastAsia="宋体"/>
      <w:b/>
      <w:sz w:val="21"/>
      <w:szCs w:val="21"/>
      <w:lang w:val="en-US" w:eastAsia="en-US"/>
    </w:rPr>
  </w:style>
  <w:style w:type="character" w:customStyle="1" w:styleId="109">
    <w:name w:val="Body text (22) + Times New Roman"/>
    <w:basedOn w:val="107"/>
    <w:unhideWhenUsed/>
    <w:qFormat/>
    <w:uiPriority w:val="99"/>
    <w:rPr>
      <w:rFonts w:hint="eastAsia" w:ascii="Times New Roman" w:hAnsi="Times New Roman" w:eastAsia="Times New Roman"/>
      <w:b/>
      <w:sz w:val="21"/>
      <w:szCs w:val="21"/>
      <w:lang w:val="en-US" w:eastAsia="en-US"/>
    </w:rPr>
  </w:style>
  <w:style w:type="character" w:customStyle="1" w:styleId="110">
    <w:name w:val="Body text (22) + Courier New"/>
    <w:basedOn w:val="107"/>
    <w:unhideWhenUsed/>
    <w:qFormat/>
    <w:uiPriority w:val="99"/>
    <w:rPr>
      <w:rFonts w:hint="default" w:ascii="Courier New" w:hAnsi="Courier New"/>
      <w:spacing w:val="-20"/>
      <w:sz w:val="23"/>
      <w:szCs w:val="23"/>
      <w:lang w:val="en-US" w:eastAsia="en-US"/>
    </w:rPr>
  </w:style>
  <w:style w:type="character" w:customStyle="1" w:styleId="111">
    <w:name w:val="Heading #4 (2)1"/>
    <w:basedOn w:val="66"/>
    <w:unhideWhenUsed/>
    <w:qFormat/>
    <w:uiPriority w:val="99"/>
    <w:rPr>
      <w:rFonts w:hint="eastAsia"/>
      <w:sz w:val="22"/>
      <w:szCs w:val="22"/>
    </w:rPr>
  </w:style>
  <w:style w:type="paragraph" w:customStyle="1" w:styleId="112">
    <w:name w:val="图表标题"/>
    <w:next w:val="1"/>
    <w:qFormat/>
    <w:uiPriority w:val="0"/>
    <w:pPr>
      <w:jc w:val="center"/>
    </w:pPr>
    <w:rPr>
      <w:rFonts w:ascii="Times New Roman" w:hAnsi="Times New Roman" w:eastAsia="宋体" w:cs="Times New Roman"/>
      <w:b/>
      <w:sz w:val="21"/>
      <w:lang w:val="en-US" w:eastAsia="zh-CN" w:bidi="ar-SA"/>
    </w:rPr>
  </w:style>
  <w:style w:type="paragraph" w:customStyle="1" w:styleId="113">
    <w:name w:val="表格（新）"/>
    <w:basedOn w:val="1"/>
    <w:next w:val="1"/>
    <w:qFormat/>
    <w:uiPriority w:val="0"/>
    <w:pPr>
      <w:spacing w:line="240" w:lineRule="auto"/>
      <w:ind w:firstLine="0" w:firstLineChars="0"/>
      <w:jc w:val="center"/>
    </w:pPr>
    <w:rPr>
      <w:rFonts w:ascii="Times New Roman" w:hAnsi="Times New Roman" w:eastAsia="宋体" w:cs="Times New Roman"/>
      <w:kern w:val="2"/>
      <w:sz w:val="21"/>
      <w:szCs w:val="22"/>
    </w:rPr>
  </w:style>
  <w:style w:type="paragraph" w:customStyle="1" w:styleId="114">
    <w:name w:val="00正文1 + 首行缩进2 字符"/>
    <w:basedOn w:val="1"/>
    <w:qFormat/>
    <w:uiPriority w:val="0"/>
    <w:pPr>
      <w:spacing w:line="360" w:lineRule="auto"/>
      <w:ind w:firstLine="560" w:firstLineChars="200"/>
    </w:pPr>
    <w:rPr>
      <w:rFonts w:ascii="Times New Roman" w:hAnsi="Times New Roman" w:eastAsia="宋体" w:cs="宋体"/>
      <w:szCs w:val="20"/>
    </w:rPr>
  </w:style>
  <w:style w:type="paragraph" w:customStyle="1" w:styleId="115">
    <w:name w:val="表格标题"/>
    <w:basedOn w:val="11"/>
    <w:qFormat/>
    <w:uiPriority w:val="0"/>
    <w:pPr>
      <w:adjustRightInd w:val="0"/>
      <w:spacing w:after="0" w:line="240" w:lineRule="auto"/>
      <w:ind w:left="0" w:leftChars="0" w:firstLine="0" w:firstLineChars="0"/>
      <w:jc w:val="center"/>
      <w:textAlignment w:val="baseline"/>
    </w:pPr>
    <w:rPr>
      <w:rFonts w:ascii="Times New Roman" w:hAnsi="Times New Roman" w:eastAsia="宋体" w:cs="宋体"/>
      <w:b/>
      <w:bCs/>
      <w:kern w:val="0"/>
    </w:rPr>
  </w:style>
  <w:style w:type="character" w:customStyle="1" w:styleId="116">
    <w:name w:val="font31"/>
    <w:basedOn w:val="31"/>
    <w:qFormat/>
    <w:uiPriority w:val="0"/>
    <w:rPr>
      <w:rFonts w:hint="default" w:ascii="Times New Roman" w:hAnsi="Times New Roman" w:cs="Times New Roman"/>
      <w:color w:val="FF0000"/>
      <w:sz w:val="21"/>
      <w:szCs w:val="21"/>
      <w:u w:val="none"/>
    </w:rPr>
  </w:style>
  <w:style w:type="character" w:customStyle="1" w:styleId="117">
    <w:name w:val="font81"/>
    <w:basedOn w:val="31"/>
    <w:qFormat/>
    <w:uiPriority w:val="0"/>
    <w:rPr>
      <w:rFonts w:hint="eastAsia" w:ascii="宋体" w:hAnsi="宋体" w:eastAsia="宋体" w:cs="宋体"/>
      <w:color w:val="FF0000"/>
      <w:sz w:val="21"/>
      <w:szCs w:val="21"/>
      <w:u w:val="none"/>
    </w:rPr>
  </w:style>
  <w:style w:type="character" w:customStyle="1" w:styleId="118">
    <w:name w:val="font91"/>
    <w:basedOn w:val="31"/>
    <w:qFormat/>
    <w:uiPriority w:val="0"/>
    <w:rPr>
      <w:rFonts w:hint="eastAsia" w:ascii="宋体" w:hAnsi="宋体" w:eastAsia="宋体" w:cs="宋体"/>
      <w:color w:val="FF0000"/>
      <w:sz w:val="21"/>
      <w:szCs w:val="21"/>
      <w:u w:val="none"/>
    </w:rPr>
  </w:style>
  <w:style w:type="character" w:customStyle="1" w:styleId="119">
    <w:name w:val="font51"/>
    <w:basedOn w:val="31"/>
    <w:qFormat/>
    <w:uiPriority w:val="0"/>
    <w:rPr>
      <w:rFonts w:hint="eastAsia" w:ascii="宋体" w:hAnsi="宋体" w:eastAsia="宋体" w:cs="宋体"/>
      <w:color w:val="000000"/>
      <w:sz w:val="22"/>
      <w:szCs w:val="22"/>
      <w:u w:val="none"/>
    </w:rPr>
  </w:style>
  <w:style w:type="paragraph" w:customStyle="1" w:styleId="120">
    <w:name w:val="0-正文"/>
    <w:basedOn w:val="1"/>
    <w:qFormat/>
    <w:uiPriority w:val="0"/>
    <w:pPr>
      <w:spacing w:line="360" w:lineRule="auto"/>
      <w:ind w:firstLine="480" w:firstLineChars="200"/>
      <w:jc w:val="both"/>
    </w:pPr>
    <w:rPr>
      <w:rFonts w:ascii="Times New Roman" w:hAnsi="Times New Roman" w:eastAsia="宋体"/>
      <w:sz w:val="24"/>
      <w:szCs w:val="21"/>
    </w:rPr>
  </w:style>
  <w:style w:type="paragraph" w:customStyle="1" w:styleId="121">
    <w:name w:val="表头"/>
    <w:basedOn w:val="1"/>
    <w:next w:val="1"/>
    <w:qFormat/>
    <w:uiPriority w:val="0"/>
    <w:pPr>
      <w:snapToGrid w:val="0"/>
      <w:ind w:firstLine="0" w:firstLineChars="0"/>
      <w:jc w:val="center"/>
    </w:pPr>
    <w:rPr>
      <w:b/>
      <w:bCs/>
      <w:kern w:val="32"/>
      <w:szCs w:val="28"/>
    </w:rPr>
  </w:style>
  <w:style w:type="paragraph" w:customStyle="1" w:styleId="122">
    <w:name w:val="表中文字"/>
    <w:qFormat/>
    <w:uiPriority w:val="0"/>
    <w:pPr>
      <w:jc w:val="center"/>
    </w:pPr>
    <w:rPr>
      <w:rFonts w:ascii="Times New Roman" w:hAnsi="Times New Roman" w:eastAsia="宋体" w:cs="Times New Roman"/>
      <w:lang w:val="en-US" w:eastAsia="zh-CN" w:bidi="ar-SA"/>
    </w:rPr>
  </w:style>
  <w:style w:type="paragraph" w:customStyle="1" w:styleId="123">
    <w:name w:val="表内字"/>
    <w:basedOn w:val="1"/>
    <w:qFormat/>
    <w:uiPriority w:val="0"/>
    <w:rPr>
      <w:kern w:val="0"/>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77.png"/><Relationship Id="rId98" Type="http://schemas.openxmlformats.org/officeDocument/2006/relationships/image" Target="media/image76.png"/><Relationship Id="rId97" Type="http://schemas.openxmlformats.org/officeDocument/2006/relationships/image" Target="media/image75.png"/><Relationship Id="rId96" Type="http://schemas.openxmlformats.org/officeDocument/2006/relationships/image" Target="media/image74.png"/><Relationship Id="rId95" Type="http://schemas.openxmlformats.org/officeDocument/2006/relationships/image" Target="media/image73.png"/><Relationship Id="rId94" Type="http://schemas.openxmlformats.org/officeDocument/2006/relationships/image" Target="media/image72.png"/><Relationship Id="rId93" Type="http://schemas.openxmlformats.org/officeDocument/2006/relationships/image" Target="media/image71.png"/><Relationship Id="rId92" Type="http://schemas.openxmlformats.org/officeDocument/2006/relationships/image" Target="media/image70.wmf"/><Relationship Id="rId91" Type="http://schemas.openxmlformats.org/officeDocument/2006/relationships/oleObject" Target="embeddings/oleObject8.bin"/><Relationship Id="rId90" Type="http://schemas.openxmlformats.org/officeDocument/2006/relationships/image" Target="media/image69.wmf"/><Relationship Id="rId9" Type="http://schemas.openxmlformats.org/officeDocument/2006/relationships/footer" Target="footer4.xml"/><Relationship Id="rId89" Type="http://schemas.openxmlformats.org/officeDocument/2006/relationships/oleObject" Target="embeddings/oleObject7.bin"/><Relationship Id="rId88" Type="http://schemas.openxmlformats.org/officeDocument/2006/relationships/image" Target="media/image68.wmf"/><Relationship Id="rId87" Type="http://schemas.openxmlformats.org/officeDocument/2006/relationships/oleObject" Target="embeddings/oleObject6.bin"/><Relationship Id="rId86" Type="http://schemas.openxmlformats.org/officeDocument/2006/relationships/image" Target="media/image67.wmf"/><Relationship Id="rId85" Type="http://schemas.openxmlformats.org/officeDocument/2006/relationships/oleObject" Target="embeddings/oleObject5.bin"/><Relationship Id="rId84" Type="http://schemas.openxmlformats.org/officeDocument/2006/relationships/chart" Target="charts/chart1.xml"/><Relationship Id="rId83" Type="http://schemas.openxmlformats.org/officeDocument/2006/relationships/image" Target="media/image66.png"/><Relationship Id="rId82" Type="http://schemas.openxmlformats.org/officeDocument/2006/relationships/image" Target="media/image65.png"/><Relationship Id="rId81" Type="http://schemas.openxmlformats.org/officeDocument/2006/relationships/image" Target="media/image64.png"/><Relationship Id="rId80" Type="http://schemas.openxmlformats.org/officeDocument/2006/relationships/image" Target="media/image63.png"/><Relationship Id="rId8" Type="http://schemas.openxmlformats.org/officeDocument/2006/relationships/footer" Target="footer3.xml"/><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jpe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footer" Target="footer2.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wmf"/><Relationship Id="rId6" Type="http://schemas.openxmlformats.org/officeDocument/2006/relationships/footer" Target="footer1.xml"/><Relationship Id="rId59" Type="http://schemas.openxmlformats.org/officeDocument/2006/relationships/image" Target="media/image42.wmf"/><Relationship Id="rId58" Type="http://schemas.openxmlformats.org/officeDocument/2006/relationships/image" Target="media/image41.png"/><Relationship Id="rId57" Type="http://schemas.openxmlformats.org/officeDocument/2006/relationships/image" Target="media/image40.wmf"/><Relationship Id="rId56" Type="http://schemas.openxmlformats.org/officeDocument/2006/relationships/image" Target="media/image39.png"/><Relationship Id="rId55" Type="http://schemas.openxmlformats.org/officeDocument/2006/relationships/image" Target="media/image38.emf"/><Relationship Id="rId54" Type="http://schemas.openxmlformats.org/officeDocument/2006/relationships/oleObject" Target="embeddings/oleObject4.bin"/><Relationship Id="rId53" Type="http://schemas.openxmlformats.org/officeDocument/2006/relationships/image" Target="media/image37.emf"/><Relationship Id="rId52" Type="http://schemas.openxmlformats.org/officeDocument/2006/relationships/oleObject" Target="embeddings/oleObject3.bin"/><Relationship Id="rId51" Type="http://schemas.openxmlformats.org/officeDocument/2006/relationships/image" Target="media/image36.emf"/><Relationship Id="rId50" Type="http://schemas.openxmlformats.org/officeDocument/2006/relationships/image" Target="media/image35.emf"/><Relationship Id="rId5" Type="http://schemas.openxmlformats.org/officeDocument/2006/relationships/header" Target="header1.xml"/><Relationship Id="rId49" Type="http://schemas.openxmlformats.org/officeDocument/2006/relationships/image" Target="media/image34.emf"/><Relationship Id="rId48" Type="http://schemas.openxmlformats.org/officeDocument/2006/relationships/oleObject" Target="embeddings/oleObject2.bin"/><Relationship Id="rId47" Type="http://schemas.openxmlformats.org/officeDocument/2006/relationships/image" Target="media/image33.jpeg"/><Relationship Id="rId46" Type="http://schemas.openxmlformats.org/officeDocument/2006/relationships/image" Target="media/image32.emf"/><Relationship Id="rId45" Type="http://schemas.openxmlformats.org/officeDocument/2006/relationships/oleObject" Target="embeddings/oleObject1.bin"/><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jpeg"/><Relationship Id="rId32" Type="http://schemas.openxmlformats.org/officeDocument/2006/relationships/image" Target="media/image19.jpeg"/><Relationship Id="rId31" Type="http://schemas.openxmlformats.org/officeDocument/2006/relationships/image" Target="media/image18.jpeg"/><Relationship Id="rId30" Type="http://schemas.openxmlformats.org/officeDocument/2006/relationships/image" Target="media/image17.jpeg"/><Relationship Id="rId3" Type="http://schemas.openxmlformats.org/officeDocument/2006/relationships/footnotes" Target="footnotes.xml"/><Relationship Id="rId29" Type="http://schemas.openxmlformats.org/officeDocument/2006/relationships/image" Target="media/image16.jpeg"/><Relationship Id="rId28" Type="http://schemas.openxmlformats.org/officeDocument/2006/relationships/image" Target="media/image15.jpeg"/><Relationship Id="rId27" Type="http://schemas.openxmlformats.org/officeDocument/2006/relationships/image" Target="media/image14.jpeg"/><Relationship Id="rId26" Type="http://schemas.openxmlformats.org/officeDocument/2006/relationships/image" Target="media/image13.jpeg"/><Relationship Id="rId25" Type="http://schemas.openxmlformats.org/officeDocument/2006/relationships/image" Target="media/image12.jpeg"/><Relationship Id="rId24" Type="http://schemas.openxmlformats.org/officeDocument/2006/relationships/image" Target="media/image11.jpeg"/><Relationship Id="rId23" Type="http://schemas.openxmlformats.org/officeDocument/2006/relationships/image" Target="media/image10.jpeg"/><Relationship Id="rId22" Type="http://schemas.openxmlformats.org/officeDocument/2006/relationships/image" Target="media/image9.jpeg"/><Relationship Id="rId21" Type="http://schemas.openxmlformats.org/officeDocument/2006/relationships/image" Target="media/image8.jpe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6.xml"/><Relationship Id="rId113" Type="http://schemas.openxmlformats.org/officeDocument/2006/relationships/fontTable" Target="fontTable.xml"/><Relationship Id="rId112" Type="http://schemas.openxmlformats.org/officeDocument/2006/relationships/numbering" Target="numbering.xml"/><Relationship Id="rId111" Type="http://schemas.openxmlformats.org/officeDocument/2006/relationships/customXml" Target="../customXml/item1.xml"/><Relationship Id="rId110" Type="http://schemas.openxmlformats.org/officeDocument/2006/relationships/image" Target="media/image88.png"/><Relationship Id="rId11" Type="http://schemas.openxmlformats.org/officeDocument/2006/relationships/footer" Target="footer5.xml"/><Relationship Id="rId109" Type="http://schemas.openxmlformats.org/officeDocument/2006/relationships/image" Target="media/image87.jpeg"/><Relationship Id="rId108" Type="http://schemas.openxmlformats.org/officeDocument/2006/relationships/image" Target="media/image86.jpeg"/><Relationship Id="rId107" Type="http://schemas.openxmlformats.org/officeDocument/2006/relationships/image" Target="media/image85.jpeg"/><Relationship Id="rId106" Type="http://schemas.openxmlformats.org/officeDocument/2006/relationships/image" Target="media/image84.jpeg"/><Relationship Id="rId105" Type="http://schemas.openxmlformats.org/officeDocument/2006/relationships/image" Target="media/image83.jpeg"/><Relationship Id="rId104" Type="http://schemas.openxmlformats.org/officeDocument/2006/relationships/image" Target="media/image82.jpeg"/><Relationship Id="rId103" Type="http://schemas.openxmlformats.org/officeDocument/2006/relationships/image" Target="media/image81.png"/><Relationship Id="rId102" Type="http://schemas.openxmlformats.org/officeDocument/2006/relationships/image" Target="media/image80.png"/><Relationship Id="rId101" Type="http://schemas.openxmlformats.org/officeDocument/2006/relationships/image" Target="media/image79.png"/><Relationship Id="rId100" Type="http://schemas.openxmlformats.org/officeDocument/2006/relationships/image" Target="media/image78.png"/><Relationship Id="rId10" Type="http://schemas.openxmlformats.org/officeDocument/2006/relationships/header" Target="header2.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4" Type="http://schemas.microsoft.com/office/2011/relationships/chartColorStyle" Target="colors1.xml"/><Relationship Id="rId3" Type="http://schemas.microsoft.com/office/2011/relationships/chartStyle" Target="style1.xml"/><Relationship Id="rId2" Type="http://schemas.openxmlformats.org/officeDocument/2006/relationships/themeOverride" Target="../theme/themeOverride1.xml"/><Relationship Id="rId1" Type="http://schemas.openxmlformats.org/officeDocument/2006/relationships/oleObject" Target="&#24037;&#20316;&#31807;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forceAA="0"/>
          <a:lstStyle/>
          <a:p>
            <a:pPr>
              <a:defRPr lang="zh-CN" sz="14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r>
              <a:t>本项目补水前后界牌箐水库水位对比图</a:t>
            </a:r>
          </a:p>
        </c:rich>
      </c:tx>
      <c:layout>
        <c:manualLayout>
          <c:xMode val="edge"/>
          <c:yMode val="edge"/>
          <c:x val="0.182635792280713"/>
          <c:y val="0.0255068229842573"/>
        </c:manualLayout>
      </c:layout>
      <c:overlay val="0"/>
      <c:spPr>
        <a:noFill/>
        <a:ln>
          <a:noFill/>
        </a:ln>
        <a:effectLst/>
      </c:spPr>
    </c:title>
    <c:autoTitleDeleted val="0"/>
    <c:plotArea>
      <c:layout>
        <c:manualLayout>
          <c:layoutTarget val="inner"/>
          <c:xMode val="edge"/>
          <c:yMode val="edge"/>
          <c:x val="0.0762576767280805"/>
          <c:y val="0.179744324443465"/>
          <c:w val="0.747079576636613"/>
          <c:h val="0.638726030416575"/>
        </c:manualLayout>
      </c:layout>
      <c:lineChart>
        <c:grouping val="standard"/>
        <c:varyColors val="0"/>
        <c:ser>
          <c:idx val="0"/>
          <c:order val="0"/>
          <c:tx>
            <c:strRef>
              <c:f>[工作簿1]Sheet1!$A$44</c:f>
              <c:strCache>
                <c:ptCount val="1"/>
                <c:pt idx="0">
                  <c:v>补水前-运行水位（m）</c:v>
                </c:pt>
              </c:strCache>
            </c:strRef>
          </c:tx>
          <c:spPr>
            <a:ln w="28575" cap="rnd">
              <a:solidFill>
                <a:schemeClr val="accent1"/>
              </a:solidFill>
              <a:round/>
            </a:ln>
            <a:effectLst/>
          </c:spPr>
          <c:marker>
            <c:symbol val="none"/>
          </c:marker>
          <c:dLbls>
            <c:delete val="1"/>
          </c:dLbls>
          <c:cat>
            <c:strRef>
              <c:f>[工作簿1]Sheet1!$B$43:$M$43</c:f>
              <c:strCache>
                <c:ptCount val="12"/>
                <c:pt idx="0">
                  <c:v>6月</c:v>
                </c:pt>
                <c:pt idx="1">
                  <c:v>7月</c:v>
                </c:pt>
                <c:pt idx="2">
                  <c:v>8月</c:v>
                </c:pt>
                <c:pt idx="3">
                  <c:v>9月</c:v>
                </c:pt>
                <c:pt idx="4">
                  <c:v>10月</c:v>
                </c:pt>
                <c:pt idx="5">
                  <c:v>11月</c:v>
                </c:pt>
                <c:pt idx="6">
                  <c:v>12月</c:v>
                </c:pt>
                <c:pt idx="7">
                  <c:v>1月</c:v>
                </c:pt>
                <c:pt idx="8">
                  <c:v>2月</c:v>
                </c:pt>
                <c:pt idx="9">
                  <c:v>3月</c:v>
                </c:pt>
                <c:pt idx="10">
                  <c:v>4月</c:v>
                </c:pt>
                <c:pt idx="11">
                  <c:v>5月</c:v>
                </c:pt>
              </c:strCache>
            </c:strRef>
          </c:cat>
          <c:val>
            <c:numRef>
              <c:f>[工作簿1]Sheet1!$B$44:$M$44</c:f>
              <c:numCache>
                <c:formatCode>General</c:formatCode>
                <c:ptCount val="12"/>
                <c:pt idx="0">
                  <c:v>1902.77</c:v>
                </c:pt>
                <c:pt idx="1">
                  <c:v>1903.43</c:v>
                </c:pt>
                <c:pt idx="2">
                  <c:v>1903.63</c:v>
                </c:pt>
                <c:pt idx="3">
                  <c:v>1903.48</c:v>
                </c:pt>
                <c:pt idx="4">
                  <c:v>1902.17</c:v>
                </c:pt>
                <c:pt idx="5">
                  <c:v>1900.76</c:v>
                </c:pt>
                <c:pt idx="6">
                  <c:v>1900.65</c:v>
                </c:pt>
                <c:pt idx="7">
                  <c:v>1900.59</c:v>
                </c:pt>
                <c:pt idx="8">
                  <c:v>1900.26</c:v>
                </c:pt>
                <c:pt idx="9">
                  <c:v>1900.44</c:v>
                </c:pt>
                <c:pt idx="10">
                  <c:v>1900.03</c:v>
                </c:pt>
                <c:pt idx="11">
                  <c:v>1900</c:v>
                </c:pt>
              </c:numCache>
            </c:numRef>
          </c:val>
          <c:smooth val="0"/>
        </c:ser>
        <c:ser>
          <c:idx val="1"/>
          <c:order val="1"/>
          <c:tx>
            <c:strRef>
              <c:f>[工作簿1]Sheet1!$A$46</c:f>
              <c:strCache>
                <c:ptCount val="1"/>
                <c:pt idx="0">
                  <c:v>补水后-运行水位（m）</c:v>
                </c:pt>
              </c:strCache>
            </c:strRef>
          </c:tx>
          <c:spPr>
            <a:ln w="28575" cap="rnd">
              <a:solidFill>
                <a:schemeClr val="accent2"/>
              </a:solidFill>
              <a:round/>
            </a:ln>
            <a:effectLst/>
          </c:spPr>
          <c:marker>
            <c:symbol val="none"/>
          </c:marker>
          <c:dLbls>
            <c:delete val="1"/>
          </c:dLbls>
          <c:cat>
            <c:strRef>
              <c:f>[工作簿1]Sheet1!$B$43:$M$43</c:f>
              <c:strCache>
                <c:ptCount val="12"/>
                <c:pt idx="0">
                  <c:v>6月</c:v>
                </c:pt>
                <c:pt idx="1">
                  <c:v>7月</c:v>
                </c:pt>
                <c:pt idx="2">
                  <c:v>8月</c:v>
                </c:pt>
                <c:pt idx="3">
                  <c:v>9月</c:v>
                </c:pt>
                <c:pt idx="4">
                  <c:v>10月</c:v>
                </c:pt>
                <c:pt idx="5">
                  <c:v>11月</c:v>
                </c:pt>
                <c:pt idx="6">
                  <c:v>12月</c:v>
                </c:pt>
                <c:pt idx="7">
                  <c:v>1月</c:v>
                </c:pt>
                <c:pt idx="8">
                  <c:v>2月</c:v>
                </c:pt>
                <c:pt idx="9">
                  <c:v>3月</c:v>
                </c:pt>
                <c:pt idx="10">
                  <c:v>4月</c:v>
                </c:pt>
                <c:pt idx="11">
                  <c:v>5月</c:v>
                </c:pt>
              </c:strCache>
            </c:strRef>
          </c:cat>
          <c:val>
            <c:numRef>
              <c:f>[工作簿1]Sheet1!$B$46:$M$46</c:f>
              <c:numCache>
                <c:formatCode>General</c:formatCode>
                <c:ptCount val="12"/>
                <c:pt idx="0">
                  <c:v>1903.36</c:v>
                </c:pt>
                <c:pt idx="1">
                  <c:v>1903.89</c:v>
                </c:pt>
                <c:pt idx="2">
                  <c:v>1904.06</c:v>
                </c:pt>
                <c:pt idx="3">
                  <c:v>1903.92</c:v>
                </c:pt>
                <c:pt idx="4">
                  <c:v>1902.54</c:v>
                </c:pt>
                <c:pt idx="5">
                  <c:v>1901.54</c:v>
                </c:pt>
                <c:pt idx="6">
                  <c:v>1900.65</c:v>
                </c:pt>
                <c:pt idx="7">
                  <c:v>1900.59</c:v>
                </c:pt>
                <c:pt idx="8">
                  <c:v>1900.26</c:v>
                </c:pt>
                <c:pt idx="9">
                  <c:v>1900.44</c:v>
                </c:pt>
                <c:pt idx="10">
                  <c:v>1900.03</c:v>
                </c:pt>
                <c:pt idx="11">
                  <c:v>1900</c:v>
                </c:pt>
              </c:numCache>
            </c:numRef>
          </c:val>
          <c:smooth val="0"/>
        </c:ser>
        <c:dLbls>
          <c:showLegendKey val="0"/>
          <c:showVal val="0"/>
          <c:showCatName val="0"/>
          <c:showSerName val="0"/>
          <c:showPercent val="0"/>
          <c:showBubbleSize val="0"/>
        </c:dLbls>
        <c:marker val="0"/>
        <c:smooth val="0"/>
        <c:axId val="923963480"/>
        <c:axId val="537696803"/>
      </c:lineChart>
      <c:catAx>
        <c:axId val="923963480"/>
        <c:scaling>
          <c:orientation val="minMax"/>
        </c:scaling>
        <c:delete val="0"/>
        <c:axPos val="b"/>
        <c:majorGridlines>
          <c:spPr>
            <a:ln w="6350" cap="flat" cmpd="sng" algn="ctr">
              <a:solidFill>
                <a:schemeClr val="tx1">
                  <a:lumMod val="50000"/>
                  <a:lumOff val="50000"/>
                  <a:alpha val="25000"/>
                </a:schemeClr>
              </a:solidFill>
              <a:round/>
            </a:ln>
            <a:effectLst/>
          </c:spPr>
        </c:majorGridlines>
        <c:numFmt formatCode="General" sourceLinked="1"/>
        <c:majorTickMark val="none"/>
        <c:minorTickMark val="none"/>
        <c:tickLblPos val="nextTo"/>
        <c:spPr>
          <a:noFill/>
          <a:ln w="6350" cap="flat" cmpd="sng" algn="ctr">
            <a:solidFill>
              <a:schemeClr val="tx1">
                <a:lumMod val="50000"/>
                <a:lumOff val="50000"/>
                <a:alpha val="25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537696803"/>
        <c:crosses val="autoZero"/>
        <c:auto val="1"/>
        <c:lblAlgn val="ctr"/>
        <c:lblOffset val="100"/>
        <c:noMultiLvlLbl val="0"/>
      </c:catAx>
      <c:valAx>
        <c:axId val="537696803"/>
        <c:scaling>
          <c:orientation val="minMax"/>
        </c:scaling>
        <c:delete val="0"/>
        <c:axPos val="l"/>
        <c:majorGridlines>
          <c:spPr>
            <a:ln w="6350" cap="flat" cmpd="sng" algn="ctr">
              <a:solidFill>
                <a:schemeClr val="tx1">
                  <a:lumMod val="50000"/>
                  <a:lumOff val="50000"/>
                  <a:alpha val="2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crossAx val="923963480"/>
        <c:crosses val="autoZero"/>
        <c:crossBetween val="between"/>
      </c:valAx>
      <c:spPr>
        <a:noFill/>
        <a:ln>
          <a:noFill/>
        </a:ln>
        <a:effectLst/>
      </c:spPr>
    </c:plotArea>
    <c:legend>
      <c:legendPos val="r"/>
      <c:layout>
        <c:manualLayout>
          <c:xMode val="edge"/>
          <c:yMode val="edge"/>
          <c:x val="0.674473684210526"/>
          <c:y val="0.260438292964245"/>
        </c:manualLayout>
      </c:layou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75000"/>
                  <a:lumOff val="25000"/>
                </a:schemeClr>
              </a:solidFill>
              <a:latin typeface="微软雅黑" panose="020B0503020204020204" charset="-122"/>
              <a:ea typeface="微软雅黑" panose="020B0503020204020204" charset="-122"/>
              <a:cs typeface="微软雅黑" panose="020B0503020204020204" charset="-122"/>
              <a:sym typeface="微软雅黑" panose="020B0503020204020204" charset="-122"/>
            </a:defRPr>
          </a:pPr>
        </a:p>
      </c:txPr>
    </c:legend>
    <c:plotVisOnly val="1"/>
    <c:dispBlanksAs val="gap"/>
    <c:showDLblsOverMax val="0"/>
  </c:chart>
  <c:spPr>
    <a:solidFill>
      <a:schemeClr val="bg1"/>
    </a:solidFill>
    <a:ln w="6350" cap="flat" cmpd="sng" algn="ctr">
      <a:solidFill>
        <a:schemeClr val="tx1">
          <a:lumMod val="50000"/>
          <a:lumOff val="50000"/>
          <a:alpha val="25000"/>
        </a:schemeClr>
      </a:solidFill>
      <a:round/>
    </a:ln>
    <a:effectLst>
      <a:outerShdw blurRad="63500" dist="37357" dir="2700000" sx="0" sy="0" rotWithShape="0">
        <a:scrgbClr r="0" g="0" b="0"/>
      </a:outerShdw>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28">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WPS">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279</Pages>
  <Words>175195</Words>
  <Characters>210985</Characters>
  <Lines>1</Lines>
  <Paragraphs>1</Paragraphs>
  <TotalTime>171</TotalTime>
  <ScaleCrop>false</ScaleCrop>
  <LinksUpToDate>false</LinksUpToDate>
  <CharactersWithSpaces>212529</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2021-06-30T03:46:00Z</dcterms:created>
  <dc:creator>SL04</dc:creator>
  <cp:lastModifiedBy>这是一个微信昵称</cp:lastModifiedBy>
  <cp:lastPrinted>2024-05-10T07:30:00Z</cp:lastPrinted>
  <dcterms:modified xsi:type="dcterms:W3CDTF">2024-06-06T06:48:24Z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91D24C9817CE465BB9852A84F6890642_13</vt:lpwstr>
  </property>
</Properties>
</file>